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41" w:rsidRPr="00CB6CDA" w:rsidRDefault="00E9183C" w:rsidP="002E1977">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0" w:name="_Ref197757600"/>
      <w:r w:rsidRPr="00CB6CDA">
        <w:rPr>
          <w:rStyle w:val="Odwoanieprzypisudolnego"/>
          <w:rFonts w:ascii="Arial" w:hAnsi="Arial" w:cs="Arial"/>
          <w:b w:val="0"/>
          <w:sz w:val="22"/>
          <w:szCs w:val="22"/>
        </w:rPr>
        <w:footnoteReference w:id="2"/>
      </w:r>
      <w:bookmarkEnd w:id="0"/>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2E1977">
      <w:pPr>
        <w:pStyle w:val="Tytu"/>
        <w:spacing w:before="60" w:after="120"/>
        <w:jc w:val="both"/>
        <w:rPr>
          <w:rFonts w:ascii="Arial" w:hAnsi="Arial" w:cs="Arial"/>
          <w:sz w:val="22"/>
          <w:szCs w:val="22"/>
        </w:rPr>
      </w:pPr>
    </w:p>
    <w:p w:rsidR="00D45041" w:rsidRPr="00CB6CDA" w:rsidRDefault="00D45041" w:rsidP="002E1977">
      <w:pPr>
        <w:spacing w:before="60" w:after="120"/>
        <w:jc w:val="both"/>
        <w:rPr>
          <w:rFonts w:ascii="Arial" w:hAnsi="Arial" w:cs="Arial"/>
          <w:i/>
          <w:sz w:val="22"/>
          <w:szCs w:val="22"/>
        </w:rPr>
      </w:pPr>
    </w:p>
    <w:p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2E1977">
      <w:pPr>
        <w:spacing w:after="120"/>
        <w:ind w:left="38"/>
        <w:jc w:val="both"/>
        <w:rPr>
          <w:rFonts w:ascii="Arial" w:hAnsi="Arial" w:cs="Arial"/>
          <w:sz w:val="22"/>
          <w:szCs w:val="22"/>
        </w:rPr>
      </w:pP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1" w:name="_Ref250372594"/>
      <w:r w:rsidRPr="00CB6CDA">
        <w:rPr>
          <w:rStyle w:val="Odwoanieprzypisudolnego"/>
          <w:rFonts w:ascii="Arial" w:hAnsi="Arial"/>
          <w:sz w:val="22"/>
          <w:szCs w:val="22"/>
        </w:rPr>
        <w:footnoteReference w:id="6"/>
      </w:r>
      <w:bookmarkEnd w:id="1"/>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r w:rsidR="00094051">
        <w:rPr>
          <w:rFonts w:ascii="Arial" w:hAnsi="Arial" w:cs="Arial"/>
          <w:sz w:val="22"/>
          <w:szCs w:val="22"/>
        </w:rPr>
        <w:t>.</w:t>
      </w:r>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xml:space="preserve">”,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2E1977">
      <w:pPr>
        <w:spacing w:after="120"/>
        <w:jc w:val="both"/>
        <w:rPr>
          <w:rFonts w:ascii="Arial" w:hAnsi="Arial" w:cs="Arial"/>
          <w:sz w:val="22"/>
          <w:szCs w:val="22"/>
        </w:rPr>
      </w:pP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2E1977">
      <w:pPr>
        <w:spacing w:before="120" w:after="120"/>
        <w:jc w:val="center"/>
        <w:rPr>
          <w:rFonts w:ascii="Arial" w:hAnsi="Arial" w:cs="Arial"/>
          <w:b/>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CB6CDA">
        <w:rPr>
          <w:rStyle w:val="Odwoanieprzypisudolnego"/>
          <w:rFonts w:ascii="Arial" w:hAnsi="Arial" w:cs="Arial"/>
          <w:i/>
          <w:iCs/>
          <w:sz w:val="22"/>
          <w:szCs w:val="22"/>
        </w:rPr>
        <w:footnoteReference w:id="7"/>
      </w:r>
      <w:bookmarkEnd w:id="2"/>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lastRenderedPageBreak/>
        <w:t>Harmonogram Realizacji Projektu</w:t>
      </w:r>
      <w:r w:rsidR="005554BF">
        <w:rPr>
          <w:rFonts w:ascii="Arial" w:hAnsi="Arial" w:cs="Arial"/>
          <w:sz w:val="22"/>
          <w:szCs w:val="22"/>
        </w:rPr>
        <w:t>,</w:t>
      </w:r>
    </w:p>
    <w:p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t>Harmonogram Płatności,</w:t>
      </w:r>
      <w:r w:rsidR="00D62EB2" w:rsidRPr="005554BF">
        <w:rPr>
          <w:rFonts w:ascii="Arial" w:hAnsi="Arial" w:cs="Arial"/>
          <w:sz w:val="22"/>
          <w:szCs w:val="22"/>
        </w:rPr>
        <w:t xml:space="preserve"> </w:t>
      </w:r>
    </w:p>
    <w:p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POIiŚ 2014-2020</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w:t>
      </w:r>
      <w:proofErr w:type="spellStart"/>
      <w:r w:rsidRPr="00CB6CDA">
        <w:rPr>
          <w:rFonts w:ascii="Arial" w:hAnsi="Arial" w:cs="Arial"/>
          <w:sz w:val="22"/>
          <w:szCs w:val="22"/>
        </w:rPr>
        <w:t>tj</w:t>
      </w:r>
      <w:proofErr w:type="spellEnd"/>
      <w:r w:rsidRPr="00CB6CDA">
        <w:rPr>
          <w:rFonts w:ascii="Arial" w:hAnsi="Arial" w:cs="Arial"/>
          <w:sz w:val="22"/>
          <w:szCs w:val="22"/>
        </w:rPr>
        <w:t xml:space="preserve">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lastRenderedPageBreak/>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 xml:space="preserve">Zaleceniach w zakresie wzoru wniosku o płatność </w:t>
      </w:r>
      <w:r w:rsidRPr="00CB6CDA">
        <w:rPr>
          <w:rFonts w:ascii="Arial" w:hAnsi="Arial" w:cs="Arial"/>
          <w:i/>
          <w:sz w:val="22"/>
          <w:szCs w:val="22"/>
        </w:rPr>
        <w:lastRenderedPageBreak/>
        <w:t>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B75597" w:rsidRPr="004D5218" w:rsidRDefault="00D45041" w:rsidP="00B7559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osobę prawną albo jednostkę organizacyjną nie posiadającą osobowości prawnej,</w:t>
      </w:r>
      <w:r w:rsidR="00B75597" w:rsidRPr="00B75597">
        <w:rPr>
          <w:rFonts w:ascii="Arial" w:hAnsi="Arial" w:cs="Arial"/>
          <w:bCs/>
          <w:sz w:val="22"/>
          <w:szCs w:val="22"/>
        </w:rPr>
        <w:t xml:space="preserve"> </w:t>
      </w:r>
      <w:r w:rsidR="00B75597" w:rsidRPr="00A0347E">
        <w:rPr>
          <w:rFonts w:ascii="Arial" w:hAnsi="Arial" w:cs="Arial"/>
          <w:bCs/>
          <w:sz w:val="22"/>
          <w:szCs w:val="22"/>
        </w:rPr>
        <w:t>która oferuje na rynku wykonanie robót budowlanych lub obiektu budowlanego, dostawę produktów lub świadczenie usług lub ubiega się o udzielenie zamówienia,</w:t>
      </w:r>
      <w:r w:rsidRPr="00B75597">
        <w:rPr>
          <w:rFonts w:ascii="Arial" w:hAnsi="Arial" w:cs="Arial"/>
          <w:sz w:val="22"/>
          <w:szCs w:val="22"/>
        </w:rPr>
        <w:t xml:space="preserve"> złożyła ofertę, </w:t>
      </w:r>
      <w:r w:rsidR="00745FFC" w:rsidRPr="00B75597">
        <w:rPr>
          <w:rFonts w:ascii="Arial" w:hAnsi="Arial" w:cs="Arial"/>
          <w:sz w:val="22"/>
          <w:szCs w:val="22"/>
        </w:rPr>
        <w:t>lub</w:t>
      </w:r>
      <w:r w:rsidRPr="00B75597">
        <w:rPr>
          <w:rFonts w:ascii="Arial" w:hAnsi="Arial" w:cs="Arial"/>
          <w:sz w:val="22"/>
          <w:szCs w:val="22"/>
        </w:rPr>
        <w:t xml:space="preserve"> zawarła z Beneficjentem umowę związaną z realizacją Projektu</w:t>
      </w:r>
      <w:r w:rsidR="00DC2892">
        <w:rPr>
          <w:rFonts w:ascii="Arial" w:hAnsi="Arial" w:cs="Arial"/>
          <w:bCs/>
          <w:sz w:val="22"/>
          <w:szCs w:val="22"/>
        </w:rPr>
        <w:t>;</w:t>
      </w:r>
      <w:bookmarkStart w:id="3" w:name="_GoBack"/>
      <w:bookmarkEnd w:id="3"/>
      <w:r w:rsidR="00B75597" w:rsidRPr="00B75597">
        <w:rPr>
          <w:rFonts w:ascii="Arial" w:hAnsi="Arial" w:cs="Arial"/>
          <w:bCs/>
          <w:sz w:val="22"/>
          <w:szCs w:val="22"/>
        </w:rPr>
        <w:t xml:space="preserve"> </w:t>
      </w:r>
    </w:p>
    <w:p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rsidR="00B75597" w:rsidRPr="00B75597" w:rsidRDefault="00633E97" w:rsidP="00B7559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należy przez to rozumieć umowę odpłatną, zawartą pomiędzy Beneficjentem a wykonawcą</w:t>
      </w:r>
      <w:r w:rsidR="000F4ACA">
        <w:rPr>
          <w:rFonts w:ascii="Arial" w:hAnsi="Arial" w:cs="Arial"/>
          <w:sz w:val="22"/>
          <w:szCs w:val="22"/>
        </w:rPr>
        <w:t>,</w:t>
      </w:r>
      <w:r w:rsidR="00B75597">
        <w:rPr>
          <w:rFonts w:ascii="Arial" w:hAnsi="Arial" w:cs="Arial"/>
          <w:sz w:val="22"/>
          <w:szCs w:val="22"/>
        </w:rPr>
        <w:t xml:space="preserve"> </w:t>
      </w:r>
      <w:r w:rsidR="00B75597" w:rsidRPr="00B75597">
        <w:rPr>
          <w:rFonts w:ascii="Arial" w:hAnsi="Arial" w:cs="Arial"/>
          <w:sz w:val="22"/>
          <w:szCs w:val="22"/>
        </w:rPr>
        <w:t>której przedmiotem jest nabycie przez zamawiającego od wybranego wy</w:t>
      </w:r>
      <w:r w:rsidR="00B75597" w:rsidRPr="00325975">
        <w:rPr>
          <w:rFonts w:ascii="Arial" w:hAnsi="Arial" w:cs="Arial"/>
          <w:sz w:val="22"/>
          <w:szCs w:val="22"/>
        </w:rPr>
        <w:t>konawcy robót budowlanych, dostaw lub usług</w:t>
      </w:r>
      <w:r w:rsidR="00B75597" w:rsidRPr="00B75597">
        <w:rPr>
          <w:rFonts w:ascii="Arial" w:hAnsi="Arial" w:cs="Arial"/>
          <w:sz w:val="22"/>
          <w:szCs w:val="22"/>
        </w:rPr>
        <w:t>;</w:t>
      </w:r>
    </w:p>
    <w:p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2E1977">
      <w:pPr>
        <w:spacing w:before="60" w:after="120"/>
        <w:rPr>
          <w:rFonts w:ascii="Arial" w:hAnsi="Arial" w:cs="Arial"/>
          <w:b/>
          <w:sz w:val="22"/>
          <w:szCs w:val="22"/>
        </w:rPr>
      </w:pP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2E1977">
      <w:pPr>
        <w:spacing w:before="60" w:after="120"/>
        <w:jc w:val="both"/>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lastRenderedPageBreak/>
        <w:t>zasad polityk unijnych, które są dla niego wiążące, w tym przepisów dotyczących konkurencji, pomocy publicznej, udzielania zamówień publicznych, ochrony środowiska oraz polityki równych szans;</w:t>
      </w:r>
    </w:p>
    <w:p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8"/>
      </w:r>
      <w:bookmarkEnd w:id="4"/>
      <w:r w:rsidR="00094051">
        <w:rPr>
          <w:rFonts w:ascii="Arial" w:hAnsi="Arial" w:cs="Arial"/>
          <w:sz w:val="22"/>
          <w:szCs w:val="22"/>
        </w:rPr>
        <w:t>.</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lastRenderedPageBreak/>
        <w:t>wnioskiem o dofinansowanie;</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0"/>
      </w:r>
      <w:bookmarkEnd w:id="5"/>
      <w:r w:rsidR="00094051">
        <w:rPr>
          <w:rFonts w:ascii="Arial" w:hAnsi="Arial" w:cs="Arial"/>
          <w:sz w:val="22"/>
          <w:szCs w:val="22"/>
        </w:rPr>
        <w:t>;</w:t>
      </w:r>
    </w:p>
    <w:p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w:t>
      </w:r>
      <w:r w:rsidR="00A34114" w:rsidRPr="00CB6CDA">
        <w:rPr>
          <w:rFonts w:ascii="Arial" w:hAnsi="Arial" w:cs="Arial"/>
          <w:sz w:val="22"/>
          <w:szCs w:val="22"/>
        </w:rPr>
        <w:lastRenderedPageBreak/>
        <w:t xml:space="preserve">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lastRenderedPageBreak/>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2E1977">
      <w:pPr>
        <w:pStyle w:val="Tekstpodstawowy2"/>
        <w:spacing w:before="60" w:after="120"/>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lastRenderedPageBreak/>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094051">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rsidR="00D45041" w:rsidRPr="00CB6CDA" w:rsidRDefault="00D45041" w:rsidP="002E1977">
      <w:pPr>
        <w:spacing w:after="120"/>
        <w:rPr>
          <w:rFonts w:ascii="Arial" w:hAnsi="Arial" w:cs="Arial"/>
          <w:sz w:val="22"/>
          <w:szCs w:val="22"/>
        </w:rPr>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lastRenderedPageBreak/>
        <w:t>za zgodność z oryginałem przez osoby (organy) uprawnione do reprezentowania Beneficjenta:</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Beneficjent jest zobowiązany do zapewnienia sfinansowania wszelkich wydatków </w:t>
      </w:r>
      <w:r w:rsidRPr="00CB6CDA">
        <w:rPr>
          <w:rFonts w:ascii="Arial" w:hAnsi="Arial" w:cs="Arial"/>
          <w:sz w:val="22"/>
          <w:szCs w:val="22"/>
        </w:rPr>
        <w:lastRenderedPageBreak/>
        <w:t>niekwalifikowalnych niezbędnych dla realizacji Projektu w pełnym zakresie.</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0"/>
      </w:r>
      <w:r w:rsidRPr="00CB6CDA">
        <w:rPr>
          <w:rFonts w:ascii="Arial" w:hAnsi="Arial" w:cs="Arial"/>
          <w:sz w:val="22"/>
          <w:szCs w:val="22"/>
        </w:rPr>
        <w:t>.</w:t>
      </w:r>
    </w:p>
    <w:p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1"/>
      </w:r>
    </w:p>
    <w:p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lastRenderedPageBreak/>
        <w:t>Z zastrzeżeniem ust. 5</w:t>
      </w:r>
      <w:r w:rsidR="005867E9">
        <w:rPr>
          <w:rStyle w:val="Odwoanieprzypisudolnego"/>
          <w:rFonts w:ascii="Arial" w:hAnsi="Arial"/>
          <w:sz w:val="22"/>
          <w:szCs w:val="22"/>
        </w:rPr>
        <w:footnoteReference w:id="33"/>
      </w:r>
      <w:r w:rsidRPr="00CB6CDA">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4"/>
      </w:r>
      <w:r w:rsidRPr="00CB6CDA">
        <w:rPr>
          <w:rFonts w:ascii="Arial" w:hAnsi="Arial" w:cs="Arial"/>
          <w:sz w:val="22"/>
          <w:szCs w:val="22"/>
        </w:rPr>
        <w:t>.</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5"/>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6"/>
      </w:r>
    </w:p>
    <w:p w:rsidR="00D45041" w:rsidRPr="00CB6CDA" w:rsidRDefault="00D45041" w:rsidP="002E1977">
      <w:pPr>
        <w:pStyle w:val="Tekstpodstawowy2"/>
        <w:widowControl w:val="0"/>
        <w:spacing w:before="120" w:after="120"/>
        <w:rPr>
          <w:rFonts w:ascii="Arial" w:hAnsi="Arial" w:cs="Arial"/>
          <w:b/>
          <w:sz w:val="22"/>
          <w:szCs w:val="22"/>
        </w:rPr>
      </w:pPr>
    </w:p>
    <w:p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7"/>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 xml:space="preserve">możliwość uznania za </w:t>
      </w:r>
      <w:r w:rsidR="00741419">
        <w:rPr>
          <w:rFonts w:ascii="Arial" w:hAnsi="Arial" w:cs="Arial"/>
          <w:sz w:val="22"/>
          <w:szCs w:val="22"/>
        </w:rPr>
        <w:lastRenderedPageBreak/>
        <w:t>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8"/>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9"/>
      </w:r>
      <w:r w:rsidRPr="00CB6CDA">
        <w:rPr>
          <w:rFonts w:ascii="Arial" w:hAnsi="Arial" w:cs="Arial"/>
          <w:sz w:val="22"/>
          <w:szCs w:val="22"/>
        </w:rPr>
        <w:t>]</w:t>
      </w:r>
      <w:r w:rsidRPr="00CB6CDA">
        <w:rPr>
          <w:sz w:val="24"/>
          <w:szCs w:val="24"/>
        </w:rPr>
        <w:t xml:space="preserve"> </w:t>
      </w:r>
    </w:p>
    <w:p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0"/>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lastRenderedPageBreak/>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1"/>
      </w:r>
    </w:p>
    <w:p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2"/>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we wniosku o płatność </w:t>
      </w:r>
      <w:r w:rsidRPr="00CB6CDA">
        <w:rPr>
          <w:rFonts w:ascii="Arial" w:hAnsi="Arial" w:cs="Arial"/>
          <w:sz w:val="22"/>
          <w:szCs w:val="22"/>
        </w:rPr>
        <w:lastRenderedPageBreak/>
        <w:t>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4"/>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w:t>
      </w:r>
      <w:r w:rsidR="00D45041" w:rsidRPr="00CB6CDA">
        <w:rPr>
          <w:rFonts w:ascii="Arial" w:hAnsi="Arial" w:cs="Arial"/>
          <w:sz w:val="22"/>
          <w:szCs w:val="22"/>
        </w:rPr>
        <w:t>.</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5"/>
      </w:r>
      <w:r w:rsidRPr="00CB6CDA">
        <w:rPr>
          <w:rFonts w:ascii="Arial" w:hAnsi="Arial" w:cs="Arial"/>
          <w:sz w:val="22"/>
          <w:szCs w:val="22"/>
        </w:rPr>
        <w:t xml:space="preserve"> lub decyzji IZ zmieniającej wartość lub okres realizacji Projektu,</w:t>
      </w:r>
    </w:p>
    <w:p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lastRenderedPageBreak/>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6"/>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7"/>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lastRenderedPageBreak/>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8"/>
      </w:r>
      <w:r w:rsidR="00FF423C"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49"/>
      </w:r>
      <w:r w:rsidRPr="00CB6CDA">
        <w:rPr>
          <w:rStyle w:val="Odwoanieprzypisudolnego"/>
          <w:rFonts w:ascii="Arial" w:hAnsi="Arial" w:cs="Arial"/>
          <w:sz w:val="22"/>
          <w:szCs w:val="22"/>
        </w:rPr>
        <w:t xml:space="preserve"> </w:t>
      </w:r>
    </w:p>
    <w:p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 xml:space="preserve">podejrzenie naruszenia prawa lub postanowień </w:t>
      </w:r>
      <w:r w:rsidRPr="00CB6CDA">
        <w:rPr>
          <w:rFonts w:ascii="Arial" w:hAnsi="Arial" w:cs="Arial"/>
          <w:color w:val="000000"/>
          <w:sz w:val="22"/>
          <w:szCs w:val="22"/>
        </w:rPr>
        <w:lastRenderedPageBreak/>
        <w:t>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0"/>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1"/>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lastRenderedPageBreak/>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2"/>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xml:space="preserve">,  Beneficjent jest zobowiązany do współpracy z podmiotami upoważnionymi przez IZ, </w:t>
      </w:r>
      <w:r w:rsidRPr="00FB40FC">
        <w:rPr>
          <w:rFonts w:ascii="Arial" w:hAnsi="Arial" w:cs="Arial"/>
          <w:sz w:val="22"/>
          <w:szCs w:val="22"/>
        </w:rPr>
        <w:lastRenderedPageBreak/>
        <w:t>Instytucję Pośredniczącą lub Komisję Europejską do przeprowadzania ewaluacji Projektu. W szczególności Beneficjent jest zobowiązany do:</w:t>
      </w:r>
    </w:p>
    <w:p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2E1977">
      <w:pPr>
        <w:autoSpaceDE w:val="0"/>
        <w:autoSpaceDN w:val="0"/>
        <w:adjustRightInd w:val="0"/>
        <w:spacing w:before="120" w:after="120"/>
        <w:jc w:val="both"/>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 przypadkach braku bądź niepełnego wykonania wskaźnika, którego zaplanowana wartość docelowa była brana pod uwagę przy ocenie wniosku o dofinansowanie, </w:t>
      </w:r>
      <w:r w:rsidRPr="00CB6CDA">
        <w:rPr>
          <w:rFonts w:ascii="Arial" w:hAnsi="Arial" w:cs="Arial"/>
          <w:sz w:val="22"/>
          <w:szCs w:val="22"/>
        </w:rPr>
        <w:lastRenderedPageBreak/>
        <w:t>Instytucja Pośrednicząca weryfikuje, z zastosowaniem postanowień § 4 ust 12 i 13 Umowy, czy pomimo niewykonania wskaźnika Projekt nadal spełnia kryteria rekomendujące do dofinansowania.</w:t>
      </w:r>
    </w:p>
    <w:p w:rsidR="00D45041" w:rsidRPr="00CB6CDA" w:rsidRDefault="00D45041" w:rsidP="002E1977">
      <w:pPr>
        <w:tabs>
          <w:tab w:val="left" w:pos="2436"/>
          <w:tab w:val="left" w:pos="6521"/>
        </w:tabs>
        <w:spacing w:before="120" w:after="120"/>
        <w:ind w:left="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w:t>
      </w:r>
      <w:r w:rsidR="00325975">
        <w:rPr>
          <w:rFonts w:ascii="Arial" w:hAnsi="Arial" w:cs="Arial"/>
          <w:sz w:val="22"/>
          <w:szCs w:val="22"/>
        </w:rPr>
        <w:t xml:space="preserve">przepisów ustawy z dnia </w:t>
      </w:r>
      <w:r w:rsidR="000B592F">
        <w:rPr>
          <w:rFonts w:ascii="Arial" w:hAnsi="Arial" w:cs="Arial"/>
          <w:sz w:val="22"/>
          <w:szCs w:val="22"/>
        </w:rPr>
        <w:t>11 września 2019 r. Prawo zamówień publicznych (Dz. U. z 2019 r. poz. 2019, z</w:t>
      </w:r>
      <w:r w:rsidR="003A65CE">
        <w:rPr>
          <w:rFonts w:ascii="Arial" w:hAnsi="Arial" w:cs="Arial"/>
          <w:sz w:val="22"/>
          <w:szCs w:val="22"/>
        </w:rPr>
        <w:t xml:space="preserve"> </w:t>
      </w:r>
      <w:proofErr w:type="spellStart"/>
      <w:r w:rsidR="003A65CE">
        <w:rPr>
          <w:rFonts w:ascii="Arial" w:hAnsi="Arial" w:cs="Arial"/>
          <w:sz w:val="22"/>
          <w:szCs w:val="22"/>
        </w:rPr>
        <w:t>późn</w:t>
      </w:r>
      <w:proofErr w:type="spellEnd"/>
      <w:r w:rsidR="003A65CE">
        <w:rPr>
          <w:rFonts w:ascii="Arial" w:hAnsi="Arial" w:cs="Arial"/>
          <w:sz w:val="22"/>
          <w:szCs w:val="22"/>
        </w:rPr>
        <w:t>.</w:t>
      </w:r>
      <w:r w:rsidR="000B592F">
        <w:rPr>
          <w:rFonts w:ascii="Arial" w:hAnsi="Arial" w:cs="Arial"/>
          <w:sz w:val="22"/>
          <w:szCs w:val="22"/>
        </w:rPr>
        <w:t xml:space="preserve"> zm.)</w:t>
      </w:r>
      <w:r w:rsidR="00946CB5">
        <w:rPr>
          <w:rStyle w:val="Odwoanieprzypisudolnego"/>
          <w:rFonts w:ascii="Arial" w:hAnsi="Arial"/>
          <w:sz w:val="22"/>
          <w:szCs w:val="22"/>
        </w:rPr>
        <w:footnoteReference w:id="53"/>
      </w:r>
      <w:r w:rsidRPr="00CB6CDA">
        <w:rPr>
          <w:rFonts w:ascii="Arial" w:hAnsi="Arial" w:cs="Arial"/>
          <w:sz w:val="22"/>
          <w:szCs w:val="22"/>
        </w:rPr>
        <w:t xml:space="preserve"> </w:t>
      </w:r>
      <w:r w:rsidR="000B592F" w:rsidRPr="003B2B34">
        <w:rPr>
          <w:rFonts w:ascii="Arial" w:hAnsi="Arial" w:cs="Arial"/>
          <w:sz w:val="22"/>
          <w:szCs w:val="22"/>
        </w:rPr>
        <w:t>zwanej</w:t>
      </w:r>
      <w:r w:rsidR="000B592F" w:rsidRPr="00CB6CDA">
        <w:rPr>
          <w:rFonts w:ascii="Arial" w:hAnsi="Arial" w:cs="Arial"/>
          <w:sz w:val="22"/>
          <w:szCs w:val="22"/>
        </w:rPr>
        <w:t xml:space="preserve"> dalej „ustawą </w:t>
      </w:r>
      <w:proofErr w:type="spellStart"/>
      <w:r w:rsidR="000B592F" w:rsidRPr="00CB6CDA">
        <w:rPr>
          <w:rFonts w:ascii="Arial" w:hAnsi="Arial" w:cs="Arial"/>
          <w:sz w:val="22"/>
          <w:szCs w:val="22"/>
        </w:rPr>
        <w:t>Pzp</w:t>
      </w:r>
      <w:proofErr w:type="spellEnd"/>
      <w:r w:rsidR="000B592F" w:rsidRPr="00CB6CDA">
        <w:rPr>
          <w:rFonts w:ascii="Arial" w:hAnsi="Arial" w:cs="Arial"/>
          <w:sz w:val="22"/>
          <w:szCs w:val="22"/>
        </w:rPr>
        <w:t>”,</w:t>
      </w:r>
      <w:r w:rsidR="000B592F">
        <w:rPr>
          <w:rFonts w:ascii="Arial" w:hAnsi="Arial" w:cs="Arial"/>
          <w:sz w:val="22"/>
          <w:szCs w:val="22"/>
        </w:rPr>
        <w:t xml:space="preserve"> </w:t>
      </w:r>
      <w:r w:rsidRPr="00CB6CDA">
        <w:rPr>
          <w:rFonts w:ascii="Arial" w:hAnsi="Arial" w:cs="Arial"/>
          <w:sz w:val="22"/>
          <w:szCs w:val="22"/>
        </w:rPr>
        <w:t>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bookmarkStart w:id="6" w:name="_Hlk69135040"/>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bookmarkEnd w:id="6"/>
      <w:r w:rsidRPr="00CB6CDA">
        <w:rPr>
          <w:rFonts w:ascii="Arial" w:hAnsi="Arial" w:cs="Arial"/>
          <w:sz w:val="22"/>
          <w:szCs w:val="22"/>
        </w:rPr>
        <w:t>.</w:t>
      </w:r>
      <w:r w:rsidR="00422E0C" w:rsidRPr="00CB6CDA">
        <w:rPr>
          <w:rStyle w:val="Odwoanieprzypisudolnego"/>
          <w:rFonts w:ascii="Arial" w:hAnsi="Arial"/>
          <w:sz w:val="22"/>
          <w:szCs w:val="22"/>
        </w:rPr>
        <w:footnoteReference w:id="54"/>
      </w:r>
      <w:r w:rsidR="00422E0C" w:rsidRPr="00CB6CDA">
        <w:rPr>
          <w:rFonts w:ascii="Arial" w:hAnsi="Arial" w:cs="Arial"/>
          <w:sz w:val="22"/>
          <w:szCs w:val="22"/>
        </w:rPr>
        <w:t xml:space="preserve"> </w:t>
      </w:r>
    </w:p>
    <w:p w:rsidR="00E55C73" w:rsidRPr="00381CF0" w:rsidRDefault="00250A39" w:rsidP="00D64F90">
      <w:pPr>
        <w:numPr>
          <w:ilvl w:val="0"/>
          <w:numId w:val="13"/>
        </w:numPr>
        <w:tabs>
          <w:tab w:val="left" w:pos="2436"/>
          <w:tab w:val="left" w:pos="6521"/>
        </w:tabs>
        <w:spacing w:before="120" w:after="120"/>
        <w:jc w:val="both"/>
        <w:rPr>
          <w:bCs/>
          <w:u w:val="single"/>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xml:space="preserve">, które wystąpiły lub zostały wykryte zarówno po, jak i przed wejściem w życie tych przepisów. Zmiany warunków i stawek określonych w przepisach wydanych na podstawie art. 24 ust. 13 ustawy obowiązują od daty wynikającej z właściwych przepisów </w:t>
      </w:r>
      <w:r w:rsidR="00422E0C" w:rsidRPr="00381CF0">
        <w:rPr>
          <w:rFonts w:ascii="Arial" w:hAnsi="Arial" w:cs="Arial"/>
          <w:sz w:val="22"/>
          <w:szCs w:val="22"/>
        </w:rPr>
        <w:t>wprowadzających te zmiany.</w:t>
      </w:r>
    </w:p>
    <w:p w:rsidR="00E55C73" w:rsidRPr="00381CF0" w:rsidRDefault="006A4DB7" w:rsidP="00D64F90">
      <w:pPr>
        <w:numPr>
          <w:ilvl w:val="0"/>
          <w:numId w:val="13"/>
        </w:numPr>
        <w:tabs>
          <w:tab w:val="left" w:pos="2436"/>
          <w:tab w:val="left" w:pos="6521"/>
        </w:tabs>
        <w:spacing w:before="120" w:after="120"/>
        <w:jc w:val="both"/>
        <w:rPr>
          <w:rFonts w:ascii="Arial" w:hAnsi="Arial" w:cs="Arial"/>
          <w:sz w:val="22"/>
          <w:szCs w:val="22"/>
        </w:rPr>
      </w:pPr>
      <w:r w:rsidRPr="00381CF0">
        <w:rPr>
          <w:rFonts w:ascii="Arial" w:hAnsi="Arial" w:cs="Arial"/>
          <w:sz w:val="22"/>
          <w:szCs w:val="22"/>
        </w:rPr>
        <w:t>Be</w:t>
      </w:r>
      <w:r w:rsidR="00703134" w:rsidRPr="00381CF0">
        <w:rPr>
          <w:rFonts w:ascii="Arial" w:hAnsi="Arial" w:cs="Arial"/>
          <w:sz w:val="22"/>
          <w:szCs w:val="22"/>
        </w:rPr>
        <w:t>neficjent</w:t>
      </w:r>
      <w:r w:rsidRPr="00381CF0">
        <w:rPr>
          <w:rFonts w:ascii="Arial" w:hAnsi="Arial" w:cs="Arial"/>
          <w:sz w:val="22"/>
          <w:szCs w:val="22"/>
        </w:rPr>
        <w:t xml:space="preserve"> zapewnia, że w ramach Projektu</w:t>
      </w:r>
      <w:r w:rsidR="006272EC" w:rsidRPr="004D5218">
        <w:rPr>
          <w:rFonts w:ascii="Arial" w:hAnsi="Arial" w:cs="Arial"/>
          <w:sz w:val="22"/>
          <w:szCs w:val="22"/>
        </w:rPr>
        <w:t>,</w:t>
      </w:r>
      <w:r w:rsidRPr="00381CF0">
        <w:rPr>
          <w:rFonts w:ascii="Arial" w:hAnsi="Arial" w:cs="Arial"/>
          <w:sz w:val="22"/>
          <w:szCs w:val="22"/>
        </w:rPr>
        <w:t xml:space="preserve"> z</w:t>
      </w:r>
      <w:r w:rsidRPr="00381CF0">
        <w:rPr>
          <w:rFonts w:ascii="Arial" w:hAnsi="Arial"/>
          <w:sz w:val="22"/>
        </w:rPr>
        <w:t>amówienia</w:t>
      </w:r>
      <w:r w:rsidRPr="00381CF0">
        <w:rPr>
          <w:rFonts w:ascii="Arial" w:hAnsi="Arial" w:cs="Arial"/>
          <w:iCs/>
          <w:sz w:val="22"/>
          <w:szCs w:val="22"/>
        </w:rPr>
        <w:t xml:space="preserve"> o charakterze zamówień sektorowych o wartości równej lub wyższej niż próg określony w przepisach wydanych na podstawie art. 3 ustawy </w:t>
      </w:r>
      <w:proofErr w:type="spellStart"/>
      <w:r w:rsidRPr="00381CF0">
        <w:rPr>
          <w:rFonts w:ascii="Arial" w:hAnsi="Arial" w:cs="Arial"/>
          <w:iCs/>
          <w:sz w:val="22"/>
          <w:szCs w:val="22"/>
        </w:rPr>
        <w:t>Pzp</w:t>
      </w:r>
      <w:proofErr w:type="spellEnd"/>
      <w:r w:rsidR="006272EC" w:rsidRPr="004D5218">
        <w:rPr>
          <w:rFonts w:ascii="Arial" w:hAnsi="Arial" w:cs="Arial"/>
          <w:iCs/>
          <w:sz w:val="22"/>
          <w:szCs w:val="22"/>
        </w:rPr>
        <w:t>,</w:t>
      </w:r>
      <w:r w:rsidRPr="00381CF0">
        <w:rPr>
          <w:rFonts w:ascii="Arial" w:hAnsi="Arial" w:cs="Arial"/>
          <w:iCs/>
          <w:sz w:val="22"/>
          <w:szCs w:val="22"/>
        </w:rPr>
        <w:t xml:space="preserve"> udzielane przez:</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1 </w:t>
      </w:r>
      <w:r w:rsidR="0047542A">
        <w:rPr>
          <w:rFonts w:ascii="Arial" w:hAnsi="Arial" w:cs="Arial"/>
          <w:iCs/>
        </w:rPr>
        <w:t xml:space="preserve">ustawy </w:t>
      </w:r>
      <w:proofErr w:type="spellStart"/>
      <w:r w:rsidR="0047542A">
        <w:rPr>
          <w:rFonts w:ascii="Arial" w:hAnsi="Arial" w:cs="Arial"/>
          <w:iCs/>
        </w:rPr>
        <w:t>Pzp</w:t>
      </w:r>
      <w:proofErr w:type="spellEnd"/>
      <w:r w:rsidR="00C53A6C">
        <w:rPr>
          <w:rFonts w:ascii="Arial" w:hAnsi="Arial" w:cs="Arial"/>
          <w:iCs/>
        </w:rPr>
        <w:t xml:space="preserve"> </w:t>
      </w:r>
      <w:r>
        <w:rPr>
          <w:rFonts w:ascii="Arial" w:hAnsi="Arial" w:cs="Arial"/>
          <w:iCs/>
        </w:rPr>
        <w:t>w przypadku zamówień na dostawy,</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2 </w:t>
      </w:r>
      <w:r w:rsidR="0047542A">
        <w:rPr>
          <w:rFonts w:ascii="Arial" w:hAnsi="Arial" w:cs="Arial"/>
          <w:iCs/>
        </w:rPr>
        <w:t xml:space="preserve">ustawy </w:t>
      </w:r>
      <w:proofErr w:type="spellStart"/>
      <w:r w:rsidR="0047542A">
        <w:rPr>
          <w:rFonts w:ascii="Arial" w:hAnsi="Arial" w:cs="Arial"/>
          <w:iCs/>
        </w:rPr>
        <w:t>Pzp</w:t>
      </w:r>
      <w:proofErr w:type="spellEnd"/>
      <w:r w:rsidR="0047542A">
        <w:rPr>
          <w:rFonts w:ascii="Arial" w:hAnsi="Arial" w:cs="Arial"/>
          <w:iCs/>
        </w:rPr>
        <w:t xml:space="preserve"> </w:t>
      </w:r>
      <w:r>
        <w:rPr>
          <w:rFonts w:ascii="Arial" w:hAnsi="Arial" w:cs="Arial"/>
          <w:iCs/>
        </w:rPr>
        <w:t>w przypadku zamówień na usługi,</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3 </w:t>
      </w:r>
      <w:r w:rsidR="0047542A">
        <w:rPr>
          <w:rFonts w:ascii="Arial" w:hAnsi="Arial" w:cs="Arial"/>
          <w:iCs/>
        </w:rPr>
        <w:t xml:space="preserve">ustawy </w:t>
      </w:r>
      <w:proofErr w:type="spellStart"/>
      <w:r w:rsidR="0047542A">
        <w:rPr>
          <w:rFonts w:ascii="Arial" w:hAnsi="Arial" w:cs="Arial"/>
          <w:iCs/>
        </w:rPr>
        <w:t>Pzp</w:t>
      </w:r>
      <w:proofErr w:type="spellEnd"/>
      <w:r w:rsidR="0047542A">
        <w:rPr>
          <w:rFonts w:ascii="Arial" w:hAnsi="Arial" w:cs="Arial"/>
          <w:iCs/>
        </w:rPr>
        <w:t xml:space="preserve"> </w:t>
      </w:r>
      <w:r>
        <w:rPr>
          <w:rFonts w:ascii="Arial" w:hAnsi="Arial" w:cs="Arial"/>
          <w:iCs/>
        </w:rPr>
        <w:t>w przypadku zamówień na roboty budowlane;</w:t>
      </w:r>
    </w:p>
    <w:p w:rsidR="001D0088" w:rsidRPr="004D5218" w:rsidRDefault="001D0088" w:rsidP="00D64F90">
      <w:pPr>
        <w:pStyle w:val="Akapitzlist"/>
        <w:numPr>
          <w:ilvl w:val="0"/>
          <w:numId w:val="71"/>
        </w:numPr>
        <w:spacing w:after="200" w:line="276" w:lineRule="auto"/>
        <w:jc w:val="both"/>
        <w:rPr>
          <w:rFonts w:ascii="Arial" w:hAnsi="Arial" w:cs="Arial"/>
          <w:iCs/>
        </w:rPr>
      </w:pPr>
      <w:r w:rsidRPr="001D0088">
        <w:rPr>
          <w:rFonts w:ascii="Arial" w:hAnsi="Arial" w:cs="Arial"/>
          <w:iCs/>
        </w:rPr>
        <w:lastRenderedPageBreak/>
        <w:t>podmiot utworzony przez zamawiających w celu wspólnego wykonywania działalności,</w:t>
      </w:r>
      <w:r>
        <w:rPr>
          <w:rFonts w:ascii="Arial" w:hAnsi="Arial" w:cs="Arial"/>
          <w:iCs/>
        </w:rPr>
        <w:t xml:space="preserve"> o którym mowa w art. 366</w:t>
      </w:r>
      <w:r w:rsidRPr="001D0088">
        <w:rPr>
          <w:rFonts w:ascii="Arial" w:hAnsi="Arial" w:cs="Arial"/>
          <w:iCs/>
        </w:rPr>
        <w:t xml:space="preserve"> ustawy </w:t>
      </w:r>
      <w:proofErr w:type="spellStart"/>
      <w:r w:rsidRPr="001D0088">
        <w:rPr>
          <w:rFonts w:ascii="Arial" w:hAnsi="Arial" w:cs="Arial"/>
          <w:iCs/>
        </w:rPr>
        <w:t>Pzp</w:t>
      </w:r>
      <w:proofErr w:type="spellEnd"/>
    </w:p>
    <w:p w:rsidR="000B0E1C" w:rsidRPr="004D5218" w:rsidRDefault="003A65CE" w:rsidP="004D5218">
      <w:pPr>
        <w:pStyle w:val="Akapitzlist"/>
        <w:tabs>
          <w:tab w:val="left" w:pos="2436"/>
          <w:tab w:val="left" w:pos="6521"/>
        </w:tabs>
        <w:ind w:firstLine="0"/>
        <w:jc w:val="both"/>
        <w:rPr>
          <w:rFonts w:ascii="Arial" w:hAnsi="Arial" w:cs="Arial"/>
          <w:iCs/>
        </w:rPr>
      </w:pPr>
      <w:r w:rsidRPr="00703134">
        <w:rPr>
          <w:rFonts w:ascii="Arial" w:hAnsi="Arial" w:cs="Arial"/>
          <w:bCs/>
          <w:iCs/>
          <w:u w:val="single"/>
        </w:rPr>
        <w:t>–</w:t>
      </w:r>
      <w:r w:rsidR="006A4DB7" w:rsidRPr="004D5218">
        <w:rPr>
          <w:rFonts w:ascii="Arial" w:hAnsi="Arial" w:cs="Arial"/>
          <w:iCs/>
        </w:rPr>
        <w:t xml:space="preserve"> </w:t>
      </w:r>
      <w:r w:rsidR="000B0E1C" w:rsidRPr="004D5218">
        <w:rPr>
          <w:rFonts w:ascii="Arial" w:hAnsi="Arial" w:cs="Arial"/>
          <w:iCs/>
        </w:rPr>
        <w:t xml:space="preserve">jeżeli podmioty te udzielają takich zamówień w celu realizacji zamówień sektorowych, które zostały im </w:t>
      </w:r>
      <w:r w:rsidR="003D3ADE">
        <w:rPr>
          <w:rFonts w:ascii="Arial" w:hAnsi="Arial" w:cs="Arial"/>
          <w:iCs/>
        </w:rPr>
        <w:t>udzielone</w:t>
      </w:r>
      <w:r w:rsidR="000B0E1C" w:rsidRPr="004D5218">
        <w:rPr>
          <w:rFonts w:ascii="Arial" w:hAnsi="Arial" w:cs="Arial"/>
          <w:iCs/>
        </w:rPr>
        <w:t xml:space="preserve"> w oparciu o wyłączenia wynikające z ar</w:t>
      </w:r>
      <w:r w:rsidR="00D37DEA" w:rsidRPr="004D5218">
        <w:rPr>
          <w:rFonts w:ascii="Arial" w:hAnsi="Arial" w:cs="Arial"/>
          <w:iCs/>
        </w:rPr>
        <w:t>t</w:t>
      </w:r>
      <w:r w:rsidR="000B0E1C" w:rsidRPr="004D5218">
        <w:rPr>
          <w:rFonts w:ascii="Arial" w:hAnsi="Arial" w:cs="Arial"/>
          <w:iCs/>
        </w:rPr>
        <w:t>. 365</w:t>
      </w:r>
      <w:r w:rsidR="001D0088">
        <w:rPr>
          <w:rFonts w:ascii="Arial" w:hAnsi="Arial" w:cs="Arial"/>
          <w:iCs/>
        </w:rPr>
        <w:t xml:space="preserve"> oraz art. 366</w:t>
      </w:r>
      <w:r w:rsidR="000B0E1C" w:rsidRPr="004D5218">
        <w:rPr>
          <w:rFonts w:ascii="Arial" w:hAnsi="Arial" w:cs="Arial"/>
          <w:iCs/>
        </w:rPr>
        <w:t xml:space="preserve"> ustawy </w:t>
      </w:r>
      <w:proofErr w:type="spellStart"/>
      <w:r w:rsidR="000B0E1C" w:rsidRPr="004D5218">
        <w:rPr>
          <w:rFonts w:ascii="Arial" w:hAnsi="Arial" w:cs="Arial"/>
          <w:iCs/>
        </w:rPr>
        <w:t>Pzp</w:t>
      </w:r>
      <w:proofErr w:type="spellEnd"/>
      <w:r w:rsidR="000B0E1C" w:rsidRPr="004D5218">
        <w:rPr>
          <w:rFonts w:ascii="Arial" w:hAnsi="Arial" w:cs="Arial"/>
          <w:iCs/>
        </w:rPr>
        <w:t xml:space="preserve">, będą udzielane z analogicznym zastosowaniem procedur </w:t>
      </w:r>
      <w:r w:rsidR="000B0E1C" w:rsidRPr="004D5218">
        <w:rPr>
          <w:rFonts w:ascii="Arial" w:hAnsi="Arial" w:cs="Arial"/>
          <w:bCs/>
          <w:iCs/>
        </w:rPr>
        <w:t xml:space="preserve">dotyczących udzielania zamówień sektorowych, w szczególności zgodnie z art. </w:t>
      </w:r>
      <w:r w:rsidR="00770864" w:rsidRPr="004D5218">
        <w:rPr>
          <w:rFonts w:ascii="Arial" w:hAnsi="Arial" w:cs="Arial"/>
          <w:bCs/>
          <w:iCs/>
        </w:rPr>
        <w:t xml:space="preserve">5 i art. 376 </w:t>
      </w:r>
      <w:r w:rsidR="000B0E1C" w:rsidRPr="004D5218">
        <w:rPr>
          <w:rFonts w:ascii="Arial" w:hAnsi="Arial" w:cs="Arial"/>
          <w:bCs/>
          <w:iCs/>
        </w:rPr>
        <w:t xml:space="preserve">ustawy </w:t>
      </w:r>
      <w:proofErr w:type="spellStart"/>
      <w:r w:rsidR="000B0E1C" w:rsidRPr="004D5218">
        <w:rPr>
          <w:rFonts w:ascii="Arial" w:hAnsi="Arial" w:cs="Arial"/>
          <w:bCs/>
          <w:iCs/>
        </w:rPr>
        <w:t>Pzp</w:t>
      </w:r>
      <w:proofErr w:type="spellEnd"/>
      <w:r w:rsidR="000B0E1C" w:rsidRPr="004D5218">
        <w:rPr>
          <w:rFonts w:ascii="Arial" w:hAnsi="Arial" w:cs="Arial"/>
          <w:bCs/>
          <w:iCs/>
        </w:rPr>
        <w:t>, a w zakresie obowiązku upubliczniania zapytania ofertowego przy zachowaniu wymogów właściwych dla zasady konkurencyjności</w:t>
      </w:r>
      <w:r w:rsidR="00E55C73" w:rsidRPr="000B0E1C">
        <w:rPr>
          <w:bCs/>
          <w:vertAlign w:val="superscript"/>
        </w:rPr>
        <w:footnoteReference w:id="55"/>
      </w:r>
      <w:r w:rsidR="000B0E1C" w:rsidRPr="004D5218">
        <w:rPr>
          <w:rFonts w:ascii="Arial" w:hAnsi="Arial" w:cs="Arial"/>
          <w:bCs/>
          <w:iCs/>
        </w:rPr>
        <w:t xml:space="preserve">, określonej w </w:t>
      </w:r>
      <w:r w:rsidR="000B0E1C" w:rsidRPr="004D5218">
        <w:rPr>
          <w:rFonts w:ascii="Arial" w:hAnsi="Arial" w:cs="Arial"/>
          <w:i/>
        </w:rPr>
        <w:t>Wytycznych w zakresie</w:t>
      </w:r>
      <w:r w:rsidR="000B0E1C" w:rsidRPr="004D5218">
        <w:rPr>
          <w:rFonts w:ascii="Arial" w:hAnsi="Arial" w:cs="Arial"/>
          <w:b/>
          <w:bCs/>
          <w:iCs/>
        </w:rPr>
        <w:t xml:space="preserve"> </w:t>
      </w:r>
      <w:r w:rsidR="000B0E1C" w:rsidRPr="004D5218">
        <w:rPr>
          <w:rFonts w:ascii="Arial" w:hAnsi="Arial" w:cs="Arial"/>
          <w:i/>
        </w:rPr>
        <w:t>kwalifikowalności wydatków w ramach Europejskiego Funduszu Rozwoju Regionalnego, Europejskiego Funduszu Społecznego oraz Funduszu Spójności na lata 2014-2020</w:t>
      </w:r>
      <w:r w:rsidR="00E55C73" w:rsidRPr="000B0E1C">
        <w:rPr>
          <w:bCs/>
          <w:vertAlign w:val="superscript"/>
        </w:rPr>
        <w:footnoteReference w:id="56"/>
      </w:r>
      <w:r w:rsidR="000B0E1C" w:rsidRPr="004D5218">
        <w:rPr>
          <w:rFonts w:ascii="Arial" w:hAnsi="Arial" w:cs="Arial"/>
          <w:bCs/>
          <w:iCs/>
        </w:rPr>
        <w:t xml:space="preserve">. Niedopełnienie tego wymogu </w:t>
      </w:r>
      <w:r w:rsidR="0024540A" w:rsidRPr="00381CF0">
        <w:rPr>
          <w:rFonts w:ascii="Arial" w:hAnsi="Arial" w:cs="Arial"/>
          <w:bCs/>
          <w:iCs/>
        </w:rPr>
        <w:t>skutkować będzie</w:t>
      </w:r>
      <w:r w:rsidR="000B0E1C" w:rsidRPr="004D5218">
        <w:rPr>
          <w:rFonts w:ascii="Arial" w:hAnsi="Arial" w:cs="Arial"/>
          <w:bCs/>
          <w:iCs/>
        </w:rPr>
        <w:t xml:space="preserve"> </w:t>
      </w:r>
      <w:proofErr w:type="spellStart"/>
      <w:r w:rsidR="000B0E1C" w:rsidRPr="004D5218">
        <w:rPr>
          <w:rFonts w:ascii="Arial" w:hAnsi="Arial" w:cs="Arial"/>
          <w:bCs/>
          <w:iCs/>
        </w:rPr>
        <w:t>niekwalifikowalnoś</w:t>
      </w:r>
      <w:r w:rsidR="0024540A" w:rsidRPr="00381CF0">
        <w:rPr>
          <w:rFonts w:ascii="Arial" w:hAnsi="Arial" w:cs="Arial"/>
          <w:bCs/>
          <w:iCs/>
        </w:rPr>
        <w:t>cią</w:t>
      </w:r>
      <w:proofErr w:type="spellEnd"/>
      <w:r w:rsidR="000B0E1C" w:rsidRPr="004D5218">
        <w:rPr>
          <w:rFonts w:ascii="Arial" w:hAnsi="Arial" w:cs="Arial"/>
          <w:bCs/>
          <w:iCs/>
        </w:rPr>
        <w:t xml:space="preserve"> wydatków.</w:t>
      </w:r>
    </w:p>
    <w:p w:rsidR="00703134" w:rsidRPr="004D5218" w:rsidRDefault="00703134" w:rsidP="00703134">
      <w:pPr>
        <w:pStyle w:val="Akapitzlist"/>
        <w:numPr>
          <w:ilvl w:val="0"/>
          <w:numId w:val="76"/>
        </w:numPr>
        <w:tabs>
          <w:tab w:val="left" w:pos="2436"/>
          <w:tab w:val="left" w:pos="6521"/>
        </w:tabs>
        <w:jc w:val="both"/>
        <w:rPr>
          <w:rFonts w:ascii="Arial" w:hAnsi="Arial" w:cs="Arial"/>
          <w:bCs/>
          <w:iCs/>
        </w:rPr>
      </w:pPr>
      <w:r w:rsidRPr="004D5218">
        <w:rPr>
          <w:rFonts w:ascii="Arial" w:hAnsi="Arial" w:cs="Arial"/>
          <w:bCs/>
          <w:iCs/>
        </w:rPr>
        <w:t>Beneficjent zapewnia, że w ramach Projektu</w:t>
      </w:r>
      <w:r w:rsidR="009125F4" w:rsidRPr="004D5218">
        <w:rPr>
          <w:rFonts w:ascii="Arial" w:hAnsi="Arial" w:cs="Arial"/>
          <w:bCs/>
          <w:iCs/>
          <w:highlight w:val="cyan"/>
        </w:rPr>
        <w:t>,</w:t>
      </w:r>
      <w:r w:rsidRPr="004D5218">
        <w:rPr>
          <w:rFonts w:ascii="Arial" w:hAnsi="Arial" w:cs="Arial"/>
          <w:bCs/>
          <w:iCs/>
        </w:rPr>
        <w:t xml:space="preserve"> zamówienia o charakterze zamówień sektorowych o wartości równej lub wyższej niż próg określony w przepisach wydanych na podstawie art. 11 ust. 8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 xml:space="preserve"> udzielane przez:</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podmioty, będące wykonawcami, o których mowa w pkt 1 – 4 art. 136 ust. 1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 powiązany, o którym mowa w art. 136 ust. 2 pkt 2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 xml:space="preserve">podmiot utworzony przez zamawiających w celu wspólnego wykonywania działalności, o którym mowa w art. 136 ust. 3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tabs>
          <w:tab w:val="left" w:pos="2436"/>
          <w:tab w:val="left" w:pos="6521"/>
        </w:tabs>
        <w:ind w:left="360" w:firstLine="0"/>
        <w:jc w:val="both"/>
        <w:rPr>
          <w:rFonts w:ascii="Arial" w:hAnsi="Arial" w:cs="Arial"/>
          <w:bCs/>
          <w:iCs/>
        </w:rPr>
      </w:pPr>
      <w:r w:rsidRPr="004D5218">
        <w:rPr>
          <w:rFonts w:ascii="Arial" w:hAnsi="Arial" w:cs="Arial"/>
          <w:bCs/>
          <w:iCs/>
        </w:rPr>
        <w:t xml:space="preserve">– jeżeli podmioty te udzielają takich zamówień w celu realizacji zamówień sektorowych, które zostały im </w:t>
      </w:r>
      <w:r w:rsidR="003D3ADE" w:rsidRPr="004D5218">
        <w:rPr>
          <w:rFonts w:ascii="Arial" w:hAnsi="Arial" w:cs="Arial"/>
          <w:bCs/>
          <w:iCs/>
        </w:rPr>
        <w:t xml:space="preserve">udzielone </w:t>
      </w:r>
      <w:r w:rsidRPr="004D5218">
        <w:rPr>
          <w:rFonts w:ascii="Arial" w:hAnsi="Arial" w:cs="Arial"/>
          <w:bCs/>
          <w:iCs/>
        </w:rPr>
        <w:t xml:space="preserve">w oparciu o wyłączenia wynikające z art. 136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0047542A" w:rsidRPr="004D5218">
        <w:rPr>
          <w:rFonts w:ascii="Arial" w:hAnsi="Arial" w:cs="Arial"/>
          <w:bCs/>
          <w:iCs/>
        </w:rPr>
        <w:t>, są</w:t>
      </w:r>
      <w:r w:rsidRPr="004D5218">
        <w:rPr>
          <w:rFonts w:ascii="Arial" w:hAnsi="Arial" w:cs="Arial"/>
          <w:bCs/>
          <w:iCs/>
        </w:rPr>
        <w:t xml:space="preserve"> udzielane z analogicznym zastosowaniem procedur dotyczących udzielania zamówień sektorowych, w szczególności zgodnie z art. 133 i 134 ustawy </w:t>
      </w:r>
      <w:proofErr w:type="spellStart"/>
      <w:r w:rsidRPr="004D5218">
        <w:rPr>
          <w:rFonts w:ascii="Arial" w:hAnsi="Arial" w:cs="Arial"/>
          <w:bCs/>
          <w:iCs/>
        </w:rPr>
        <w:t>Pzp</w:t>
      </w:r>
      <w:proofErr w:type="spellEnd"/>
      <w:r w:rsidR="007C1C7F" w:rsidRPr="004D5218">
        <w:rPr>
          <w:rFonts w:ascii="Arial" w:hAnsi="Arial" w:cs="Arial"/>
          <w:bCs/>
          <w:iCs/>
        </w:rPr>
        <w:t xml:space="preserve"> z 2004 r.</w:t>
      </w:r>
      <w:r w:rsidRPr="004D5218">
        <w:rPr>
          <w:rFonts w:ascii="Arial" w:hAnsi="Arial" w:cs="Arial"/>
          <w:bCs/>
          <w:iCs/>
        </w:rPr>
        <w:t>, a w zakresie obowiązku upubliczniania zapytania ofertowego przy zachowaniu wymogów właściw</w:t>
      </w:r>
      <w:r w:rsidR="007C1C7F" w:rsidRPr="004D5218">
        <w:rPr>
          <w:rFonts w:ascii="Arial" w:hAnsi="Arial" w:cs="Arial"/>
          <w:bCs/>
          <w:iCs/>
        </w:rPr>
        <w:t>ych dla zasady konkurencyjności</w:t>
      </w:r>
      <w:r w:rsidRPr="004D5218">
        <w:rPr>
          <w:rFonts w:ascii="Arial" w:hAnsi="Arial" w:cs="Arial"/>
          <w:bCs/>
          <w:iCs/>
        </w:rPr>
        <w:t xml:space="preserve">, określonej w </w:t>
      </w:r>
      <w:r w:rsidRPr="004D5218">
        <w:rPr>
          <w:rFonts w:ascii="Arial" w:hAnsi="Arial" w:cs="Arial"/>
          <w:bCs/>
          <w:i/>
          <w:iCs/>
        </w:rPr>
        <w:t xml:space="preserve">Wytycznych w zakresie kwalifikowalności wydatków w ramach Europejskiego Funduszu Rozwoju Regionalnego, Europejskiego Funduszu Społecznego oraz Funduszu Spójności na lata 2014-2020. </w:t>
      </w:r>
      <w:r w:rsidRPr="004D5218">
        <w:rPr>
          <w:rFonts w:ascii="Arial" w:hAnsi="Arial" w:cs="Arial"/>
          <w:bCs/>
          <w:iCs/>
        </w:rPr>
        <w:t xml:space="preserve">Niedopełnienie tego wymogu </w:t>
      </w:r>
      <w:r w:rsidR="00B62422" w:rsidRPr="004D5218">
        <w:rPr>
          <w:rFonts w:ascii="Arial" w:hAnsi="Arial" w:cs="Arial"/>
          <w:bCs/>
          <w:iCs/>
        </w:rPr>
        <w:t xml:space="preserve">skutkować będzie </w:t>
      </w:r>
      <w:proofErr w:type="spellStart"/>
      <w:r w:rsidRPr="004D5218">
        <w:rPr>
          <w:rFonts w:ascii="Arial" w:hAnsi="Arial" w:cs="Arial"/>
          <w:bCs/>
          <w:iCs/>
        </w:rPr>
        <w:t>niekwalifikowalnoś</w:t>
      </w:r>
      <w:r w:rsidR="00B62422" w:rsidRPr="004D5218">
        <w:rPr>
          <w:rFonts w:ascii="Arial" w:hAnsi="Arial" w:cs="Arial"/>
          <w:bCs/>
          <w:iCs/>
        </w:rPr>
        <w:t>cią</w:t>
      </w:r>
      <w:proofErr w:type="spellEnd"/>
      <w:r w:rsidRPr="004D5218">
        <w:rPr>
          <w:rFonts w:ascii="Arial" w:hAnsi="Arial" w:cs="Arial"/>
          <w:bCs/>
          <w:iCs/>
        </w:rPr>
        <w:t xml:space="preserve"> wydatków.</w:t>
      </w:r>
      <w:r w:rsidRPr="004D5218">
        <w:rPr>
          <w:rStyle w:val="Odwoanieprzypisudolnego"/>
          <w:rFonts w:ascii="Arial" w:hAnsi="Arial"/>
          <w:bCs/>
          <w:iCs/>
        </w:rPr>
        <w:footnoteReference w:id="57"/>
      </w:r>
      <w:r w:rsidRPr="004D5218">
        <w:rPr>
          <w:rFonts w:ascii="Arial" w:hAnsi="Arial" w:cs="Arial"/>
          <w:bCs/>
          <w:iCs/>
        </w:rPr>
        <w:t xml:space="preserve"> </w:t>
      </w:r>
    </w:p>
    <w:p w:rsidR="00927421" w:rsidRPr="00CB6CDA" w:rsidRDefault="00927421" w:rsidP="004D5218">
      <w:pPr>
        <w:tabs>
          <w:tab w:val="left" w:pos="2436"/>
          <w:tab w:val="left" w:pos="6521"/>
        </w:tabs>
        <w:spacing w:before="120" w:after="120"/>
        <w:jc w:val="both"/>
        <w:rPr>
          <w:rFonts w:ascii="Arial" w:hAnsi="Arial" w:cs="Arial"/>
          <w:bCs/>
          <w:iCs/>
          <w:sz w:val="22"/>
          <w:szCs w:val="22"/>
          <w:u w:val="single"/>
        </w:rPr>
      </w:pPr>
    </w:p>
    <w:p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lastRenderedPageBreak/>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61FF2">
        <w:rPr>
          <w:rFonts w:ascii="Arial" w:hAnsi="Arial" w:cs="Arial"/>
          <w:sz w:val="22"/>
          <w:szCs w:val="22"/>
        </w:rPr>
        <w:t xml:space="preserve">specyfikacji istotnych warunków zamówienia (dalej </w:t>
      </w:r>
      <w:r w:rsidRPr="00CB6CDA">
        <w:rPr>
          <w:rFonts w:ascii="Arial" w:hAnsi="Arial" w:cs="Arial"/>
          <w:sz w:val="22"/>
          <w:szCs w:val="22"/>
        </w:rPr>
        <w:t>SIWZ</w:t>
      </w:r>
      <w:r w:rsidR="00C61FF2">
        <w:rPr>
          <w:rFonts w:ascii="Arial" w:hAnsi="Arial" w:cs="Arial"/>
          <w:sz w:val="22"/>
          <w:szCs w:val="22"/>
        </w:rPr>
        <w:t>)</w:t>
      </w:r>
      <w:r w:rsidR="008F687B">
        <w:rPr>
          <w:rFonts w:ascii="Arial" w:hAnsi="Arial" w:cs="Arial"/>
          <w:sz w:val="22"/>
          <w:szCs w:val="22"/>
        </w:rPr>
        <w:t>/</w:t>
      </w:r>
      <w:r w:rsidR="00C61FF2">
        <w:rPr>
          <w:rFonts w:ascii="Arial" w:hAnsi="Arial" w:cs="Arial"/>
          <w:sz w:val="22"/>
          <w:szCs w:val="22"/>
        </w:rPr>
        <w:t xml:space="preserve"> specyfikacji warunków zamówienia (dalej </w:t>
      </w:r>
      <w:r w:rsidR="008F687B">
        <w:rPr>
          <w:rFonts w:ascii="Arial" w:hAnsi="Arial" w:cs="Arial"/>
          <w:sz w:val="22"/>
          <w:szCs w:val="22"/>
        </w:rPr>
        <w:t>SWZ</w:t>
      </w:r>
      <w:r w:rsidR="00C61FF2">
        <w:rPr>
          <w:rFonts w:ascii="Arial" w:hAnsi="Arial" w:cs="Arial"/>
          <w:sz w:val="22"/>
          <w:szCs w:val="22"/>
        </w:rPr>
        <w:t>)</w:t>
      </w:r>
      <w:r w:rsidRPr="00CB6CDA">
        <w:rPr>
          <w:rFonts w:ascii="Arial" w:hAnsi="Arial" w:cs="Arial"/>
          <w:sz w:val="22"/>
          <w:szCs w:val="22"/>
        </w:rPr>
        <w:t xml:space="preserve"> lub w umowie,</w:t>
      </w:r>
    </w:p>
    <w:p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przypadku umów, w których określono wynagrodzenie ryczałtowe oraz w SIWZ</w:t>
      </w:r>
      <w:r w:rsidR="00C46023">
        <w:rPr>
          <w:rFonts w:ascii="Arial" w:hAnsi="Arial" w:cs="Arial"/>
          <w:sz w:val="22"/>
          <w:szCs w:val="22"/>
        </w:rPr>
        <w:t>/SWZ</w:t>
      </w:r>
      <w:r w:rsidRPr="00710B62">
        <w:rPr>
          <w:rFonts w:ascii="Arial" w:hAnsi="Arial" w:cs="Arial"/>
          <w:sz w:val="22"/>
          <w:szCs w:val="22"/>
        </w:rPr>
        <w:t xml:space="preserve"> </w:t>
      </w:r>
      <w:r w:rsidRPr="00CB6CDA">
        <w:rPr>
          <w:rFonts w:ascii="Arial" w:hAnsi="Arial" w:cs="Arial"/>
          <w:sz w:val="22"/>
          <w:szCs w:val="22"/>
        </w:rPr>
        <w:t xml:space="preserve">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lastRenderedPageBreak/>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8"/>
      </w:r>
      <w:r w:rsidR="00E743C1">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C46023">
        <w:rPr>
          <w:rFonts w:ascii="Arial" w:hAnsi="Arial" w:cs="Arial"/>
          <w:sz w:val="22"/>
          <w:szCs w:val="22"/>
        </w:rPr>
        <w:t>/SWZ</w:t>
      </w:r>
      <w:r w:rsidRPr="00CB6CDA">
        <w:rPr>
          <w:rFonts w:ascii="Arial" w:hAnsi="Arial" w:cs="Arial"/>
          <w:sz w:val="22"/>
          <w:szCs w:val="22"/>
        </w:rPr>
        <w:t xml:space="preserve"> lub zapytaniu ofertowym, </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rsidR="00D45041" w:rsidRPr="006733FD" w:rsidRDefault="00302974" w:rsidP="00302974">
      <w:pPr>
        <w:numPr>
          <w:ilvl w:val="0"/>
          <w:numId w:val="54"/>
        </w:numPr>
        <w:tabs>
          <w:tab w:val="left" w:pos="2436"/>
          <w:tab w:val="left" w:pos="6521"/>
        </w:tabs>
        <w:spacing w:before="120" w:after="120"/>
        <w:jc w:val="both"/>
        <w:rPr>
          <w:rFonts w:ascii="Arial" w:hAnsi="Arial" w:cs="Arial"/>
          <w:sz w:val="22"/>
          <w:szCs w:val="22"/>
        </w:rPr>
      </w:pPr>
      <w:r w:rsidRPr="00302974">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lastRenderedPageBreak/>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w:t>
      </w:r>
      <w:r w:rsidR="008F687B">
        <w:rPr>
          <w:rFonts w:ascii="Arial" w:hAnsi="Arial" w:cs="Arial"/>
          <w:sz w:val="22"/>
          <w:szCs w:val="22"/>
        </w:rPr>
        <w:t>art. 4, 5, 6</w:t>
      </w:r>
      <w:r w:rsidR="00422E0C" w:rsidRPr="00CB6CDA">
        <w:rPr>
          <w:rFonts w:ascii="Arial" w:hAnsi="Arial" w:cs="Arial"/>
          <w:sz w:val="22"/>
          <w:szCs w:val="22"/>
        </w:rPr>
        <w:t xml:space="preserve"> tej ustawy</w:t>
      </w:r>
      <w:r w:rsidR="006A4DB7">
        <w:rPr>
          <w:rStyle w:val="Odwoanieprzypisudolnego"/>
          <w:rFonts w:ascii="Arial" w:hAnsi="Arial"/>
          <w:sz w:val="22"/>
          <w:szCs w:val="22"/>
        </w:rPr>
        <w:footnoteReference w:id="59"/>
      </w:r>
      <w:r w:rsidR="00422E0C" w:rsidRPr="00CB6CDA">
        <w:rPr>
          <w:rFonts w:ascii="Arial" w:hAnsi="Arial" w:cs="Arial"/>
          <w:sz w:val="22"/>
          <w:szCs w:val="22"/>
        </w:rPr>
        <w:t xml:space="preserve">, są weryfikowane pod względem zgodności z prawem,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7"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wyborze najkorzystniejszej oferty</w:t>
      </w:r>
      <w:r w:rsidR="008F687B">
        <w:rPr>
          <w:rFonts w:ascii="Arial" w:hAnsi="Arial" w:cs="Arial"/>
          <w:sz w:val="22"/>
          <w:szCs w:val="22"/>
        </w:rPr>
        <w:t xml:space="preserve"> oraz danych </w:t>
      </w:r>
      <w:r w:rsidR="00727E33">
        <w:rPr>
          <w:rFonts w:ascii="Arial" w:hAnsi="Arial" w:cs="Arial"/>
          <w:sz w:val="22"/>
          <w:szCs w:val="22"/>
        </w:rPr>
        <w:t xml:space="preserve">o </w:t>
      </w:r>
      <w:r w:rsidR="008F687B">
        <w:rPr>
          <w:rFonts w:ascii="Arial" w:hAnsi="Arial" w:cs="Arial"/>
          <w:sz w:val="22"/>
          <w:szCs w:val="22"/>
        </w:rPr>
        <w:t xml:space="preserve">wszystkich </w:t>
      </w:r>
      <w:r w:rsidR="00C46023">
        <w:rPr>
          <w:rFonts w:ascii="Arial" w:hAnsi="Arial" w:cs="Arial"/>
          <w:sz w:val="22"/>
          <w:szCs w:val="22"/>
        </w:rPr>
        <w:t>wykonawcach</w:t>
      </w:r>
      <w:r w:rsidR="008F687B">
        <w:rPr>
          <w:rFonts w:ascii="Arial" w:hAnsi="Arial" w:cs="Arial"/>
          <w:sz w:val="22"/>
          <w:szCs w:val="22"/>
        </w:rPr>
        <w:t>, którzy złożyli oferty</w:t>
      </w:r>
      <w:r w:rsidRPr="00CB6CDA">
        <w:rPr>
          <w:rFonts w:ascii="Arial" w:hAnsi="Arial" w:cs="Arial"/>
          <w:sz w:val="22"/>
          <w:szCs w:val="22"/>
        </w:rPr>
        <w:t xml:space="preserve">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Instytucja Pośrednicząca wskazuje stwierdzone naruszenia procedury zawierania umów </w:t>
      </w:r>
      <w:r w:rsidRPr="00CB6CDA">
        <w:rPr>
          <w:rFonts w:ascii="Arial" w:hAnsi="Arial" w:cs="Arial"/>
          <w:sz w:val="22"/>
          <w:szCs w:val="22"/>
        </w:rPr>
        <w:lastRenderedPageBreak/>
        <w:t>oraz wydaje informację pokontrolną zawierającą ustalenia na temat stwierdzonych naruszeń.</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7"/>
    <w:p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60"/>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61"/>
      </w:r>
      <w:r w:rsidRPr="00CB6CDA">
        <w:rPr>
          <w:rFonts w:ascii="Arial" w:hAnsi="Arial" w:cs="Arial"/>
          <w:sz w:val="22"/>
          <w:szCs w:val="22"/>
        </w:rPr>
        <w: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lastRenderedPageBreak/>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w:t>
      </w:r>
      <w:r w:rsidR="009D74C9" w:rsidRPr="00CB6CDA">
        <w:rPr>
          <w:rFonts w:ascii="Arial" w:hAnsi="Arial" w:cs="Arial"/>
          <w:sz w:val="22"/>
          <w:szCs w:val="22"/>
        </w:rPr>
        <w:lastRenderedPageBreak/>
        <w:t>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62"/>
      </w:r>
    </w:p>
    <w:p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3"/>
      </w:r>
      <w:r w:rsidRPr="002E1977">
        <w:rPr>
          <w:rFonts w:ascii="Arial" w:hAnsi="Arial" w:cs="Arial"/>
          <w:sz w:val="22"/>
          <w:szCs w:val="22"/>
        </w:rPr>
        <w:t>,</w:t>
      </w:r>
    </w:p>
    <w:p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xml:space="preserve">, podejmuje decyzję o przeprowadzeniu kontroli (dalej ”kontroli Projektu zaawansowanego finansowo”), której celem będzie potwierdzenie realizowania przez Beneficjenta Projektu zgodnie z zasadami i regułami obowiązującymi w ramach PO </w:t>
      </w:r>
      <w:proofErr w:type="spellStart"/>
      <w:r>
        <w:rPr>
          <w:rFonts w:ascii="Arial" w:hAnsi="Arial" w:cs="Arial"/>
        </w:rPr>
        <w:t>IiŚ</w:t>
      </w:r>
      <w:proofErr w:type="spellEnd"/>
      <w:r>
        <w:rPr>
          <w:rFonts w:ascii="Arial" w:hAnsi="Arial" w:cs="Arial"/>
        </w:rPr>
        <w:t>.</w:t>
      </w:r>
    </w:p>
    <w:p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4"/>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5"/>
      </w:r>
    </w:p>
    <w:p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6"/>
      </w:r>
    </w:p>
    <w:p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7"/>
      </w:r>
      <w:r w:rsidRPr="002E1977">
        <w:rPr>
          <w:rFonts w:ascii="Arial" w:hAnsi="Arial" w:cs="Arial"/>
        </w:rPr>
        <w:t xml:space="preserve">. W przypadku, gdy wniosek o płatność zawiera </w:t>
      </w:r>
      <w:r w:rsidRPr="002E1977">
        <w:rPr>
          <w:rFonts w:ascii="Arial" w:hAnsi="Arial" w:cs="Arial"/>
        </w:rPr>
        <w:lastRenderedPageBreak/>
        <w:t>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rsidR="00D45041" w:rsidRPr="00CB6CDA" w:rsidRDefault="00D45041" w:rsidP="002E1977">
      <w:pPr>
        <w:tabs>
          <w:tab w:val="left" w:pos="2436"/>
          <w:tab w:val="left" w:pos="6521"/>
        </w:tabs>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z zastrzeżeniem ust. 2, a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lastRenderedPageBreak/>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8"/>
      </w:r>
      <w:r w:rsidRPr="00CB6CDA">
        <w:rPr>
          <w:rFonts w:ascii="Arial" w:hAnsi="Arial" w:cs="Arial"/>
          <w:sz w:val="22"/>
          <w:szCs w:val="22"/>
        </w:rPr>
        <w:t xml:space="preserve"> w razie:</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2E1977">
      <w:pPr>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F60B87">
      <w:pPr>
        <w:numPr>
          <w:ilvl w:val="2"/>
          <w:numId w:val="26"/>
        </w:numPr>
        <w:tabs>
          <w:tab w:val="clear" w:pos="2160"/>
          <w:tab w:val="num" w:pos="1080"/>
        </w:tabs>
        <w:spacing w:before="120" w:after="120"/>
        <w:ind w:left="1080" w:hanging="654"/>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lastRenderedPageBreak/>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4913A0" w:rsidRDefault="00D45041" w:rsidP="004913A0">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BD1D98" w:rsidRPr="002B7841" w:rsidRDefault="00BD1D98" w:rsidP="00BD1D98">
      <w:pPr>
        <w:pStyle w:val="Akapitzlist"/>
        <w:numPr>
          <w:ilvl w:val="0"/>
          <w:numId w:val="40"/>
        </w:numPr>
        <w:jc w:val="both"/>
        <w:rPr>
          <w:rFonts w:ascii="Arial" w:hAnsi="Arial" w:cs="Arial"/>
        </w:rPr>
      </w:pPr>
      <w:r w:rsidRPr="002B7841">
        <w:rPr>
          <w:rFonts w:ascii="Arial" w:hAnsi="Arial" w:cs="Arial"/>
        </w:rPr>
        <w:t>Beneficjent jest zobowiązany do poinformowania IZ o:</w:t>
      </w:r>
    </w:p>
    <w:p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planowanych wydarzeniach informacyjno-promocyjnych związanych z Projektem oraz</w:t>
      </w:r>
    </w:p>
    <w:p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innych planowanych wydarzeniach i okolicznościach istotnych w zakresie realizacji Projektu, które mogą mieć znaczenie dla opinii publicznej i mogą służyć budowaniu marki Funduszy Europejskich (w szczególności o planowanej dacie zawarcia umowy z wykonawcą, rozpoczęcia robót, oddania inwestycji do użytku).</w:t>
      </w:r>
    </w:p>
    <w:p w:rsidR="00BD1D98" w:rsidRDefault="00BD1D98" w:rsidP="002B7841">
      <w:pPr>
        <w:ind w:left="426"/>
        <w:jc w:val="both"/>
        <w:rPr>
          <w:rFonts w:ascii="Arial" w:hAnsi="Arial" w:cs="Arial"/>
          <w:sz w:val="22"/>
          <w:szCs w:val="22"/>
        </w:rPr>
      </w:pPr>
      <w:r w:rsidRPr="002B7841">
        <w:rPr>
          <w:rFonts w:ascii="Arial" w:hAnsi="Arial" w:cs="Arial"/>
          <w:sz w:val="22"/>
          <w:szCs w:val="22"/>
        </w:rPr>
        <w:t xml:space="preserve">Beneficjent przekazuje niezwłocznie informacje o planowanych wydarzeniach, o których mowa powyżej, za pośrednictwem poczty elektronicznej na adres </w:t>
      </w:r>
      <w:hyperlink r:id="rId9" w:history="1">
        <w:r w:rsidRPr="002B7841">
          <w:rPr>
            <w:rStyle w:val="Hipercze"/>
            <w:rFonts w:ascii="Arial" w:hAnsi="Arial" w:cs="Arial"/>
            <w:sz w:val="22"/>
            <w:szCs w:val="22"/>
          </w:rPr>
          <w:t>infopromopoiis@mfipr.gov.pl</w:t>
        </w:r>
      </w:hyperlink>
      <w:r w:rsidRPr="002B7841">
        <w:rPr>
          <w:rFonts w:ascii="Arial" w:hAnsi="Arial" w:cs="Arial"/>
          <w:sz w:val="22"/>
          <w:szCs w:val="22"/>
        </w:rPr>
        <w:t xml:space="preserve">. Informacja powinna wskazywać </w:t>
      </w:r>
      <w:bookmarkStart w:id="8" w:name="_Hlk41282619"/>
      <w:r w:rsidRPr="002B7841">
        <w:rPr>
          <w:rFonts w:ascii="Arial" w:hAnsi="Arial" w:cs="Arial"/>
          <w:sz w:val="22"/>
          <w:szCs w:val="22"/>
        </w:rPr>
        <w:t>dane kontaktowe osób ze strony Beneficjenta zaangażowanych w wydarzenie</w:t>
      </w:r>
      <w:bookmarkEnd w:id="8"/>
      <w:r w:rsidRPr="002B7841">
        <w:rPr>
          <w:rFonts w:ascii="Arial" w:hAnsi="Arial" w:cs="Arial"/>
          <w:sz w:val="22"/>
          <w:szCs w:val="22"/>
        </w:rPr>
        <w:t>. 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rsidR="002B7841" w:rsidRPr="002B7841" w:rsidRDefault="002B7841" w:rsidP="002B7841">
      <w:pPr>
        <w:ind w:left="426"/>
        <w:jc w:val="both"/>
        <w:rPr>
          <w:rFonts w:ascii="Arial" w:hAnsi="Arial" w:cs="Arial"/>
          <w:sz w:val="22"/>
          <w:szCs w:val="22"/>
        </w:rPr>
      </w:pPr>
    </w:p>
    <w:p w:rsidR="004913A0" w:rsidRPr="002B7841" w:rsidRDefault="00BD1D98" w:rsidP="002B7841">
      <w:pPr>
        <w:ind w:left="426" w:hanging="426"/>
        <w:jc w:val="both"/>
        <w:rPr>
          <w:rFonts w:ascii="Arial" w:hAnsi="Arial" w:cs="Arial"/>
          <w:sz w:val="22"/>
          <w:szCs w:val="22"/>
        </w:rPr>
      </w:pPr>
      <w:r w:rsidRPr="002B7841">
        <w:rPr>
          <w:rFonts w:ascii="Arial" w:hAnsi="Arial" w:cs="Arial"/>
          <w:sz w:val="22"/>
          <w:szCs w:val="22"/>
        </w:rPr>
        <w:t>4.</w:t>
      </w:r>
      <w:r w:rsidRPr="002B7841">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rsidR="005F3ABF" w:rsidRPr="00CB6CDA" w:rsidRDefault="005F3ABF"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w:t>
      </w:r>
      <w:r w:rsidRPr="00CB6CDA">
        <w:rPr>
          <w:rFonts w:ascii="Arial" w:hAnsi="Arial" w:cs="Arial"/>
          <w:sz w:val="22"/>
          <w:szCs w:val="22"/>
        </w:rPr>
        <w:lastRenderedPageBreak/>
        <w:t>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9"/>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70"/>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71"/>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72"/>
      </w:r>
      <w:r w:rsidRPr="00CB6CDA">
        <w:rPr>
          <w:rFonts w:ascii="Arial" w:hAnsi="Arial" w:cs="Arial"/>
          <w:sz w:val="22"/>
          <w:szCs w:val="22"/>
        </w:rPr>
        <w:t xml:space="preserve"> danej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w:t>
      </w:r>
      <w:r w:rsidR="00987FA1" w:rsidRPr="00CB6CDA">
        <w:rPr>
          <w:rFonts w:ascii="Arial" w:hAnsi="Arial" w:cs="Arial"/>
          <w:sz w:val="22"/>
          <w:szCs w:val="22"/>
        </w:rPr>
        <w:lastRenderedPageBreak/>
        <w:t>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3"/>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4"/>
      </w:r>
      <w:r w:rsidRPr="00CB6CDA">
        <w:rPr>
          <w:rFonts w:ascii="Arial" w:hAnsi="Arial" w:cs="Arial"/>
          <w:sz w:val="22"/>
          <w:szCs w:val="22"/>
        </w:rPr>
        <w:t xml:space="preserve"> od otrzymania informacji, o której mowa w ust. 13.</w:t>
      </w:r>
    </w:p>
    <w:p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2E1977">
      <w:pPr>
        <w:pStyle w:val="Tekstpodstawowy2"/>
        <w:spacing w:before="120" w:after="120"/>
        <w:rPr>
          <w:rFonts w:ascii="Arial" w:hAnsi="Arial" w:cs="Arial"/>
          <w:sz w:val="22"/>
          <w:szCs w:val="22"/>
        </w:rPr>
      </w:pPr>
    </w:p>
    <w:p w:rsidR="005042A5" w:rsidRPr="00CB6CDA" w:rsidRDefault="005042A5" w:rsidP="002E1977">
      <w:pPr>
        <w:pStyle w:val="Tekstpodstawowy2"/>
        <w:spacing w:before="120" w:after="120"/>
        <w:ind w:left="720" w:hanging="36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5"/>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lastRenderedPageBreak/>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6"/>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lastRenderedPageBreak/>
        <w:t>Umowa wygasa w przypadku wykonania przez Strony wszelkich wynikających z niej zobowiązań.</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7"/>
      </w:r>
    </w:p>
    <w:p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8"/>
      </w:r>
    </w:p>
    <w:p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9"/>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lastRenderedPageBreak/>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r w:rsidR="00610C30">
        <w:rPr>
          <w:rFonts w:ascii="Arial" w:hAnsi="Arial" w:cs="Arial"/>
          <w:sz w:val="22"/>
          <w:szCs w:val="22"/>
        </w:rPr>
        <w:t xml:space="preserve"> lub</w:t>
      </w:r>
    </w:p>
    <w:p w:rsidR="00610C30" w:rsidRPr="007577F7" w:rsidRDefault="00610C30" w:rsidP="002E1977">
      <w:pPr>
        <w:pStyle w:val="Tekstpodstawowy2"/>
        <w:numPr>
          <w:ilvl w:val="0"/>
          <w:numId w:val="35"/>
        </w:numPr>
        <w:spacing w:before="120" w:after="120"/>
        <w:rPr>
          <w:rFonts w:ascii="Arial" w:hAnsi="Arial" w:cs="Arial"/>
          <w:sz w:val="22"/>
          <w:szCs w:val="22"/>
        </w:rPr>
      </w:pPr>
      <w:r w:rsidRPr="00C36DCB">
        <w:rPr>
          <w:rFonts w:ascii="Arial" w:hAnsi="Arial" w:cs="Arial"/>
          <w:sz w:val="22"/>
          <w:szCs w:val="22"/>
        </w:rPr>
        <w:t>na skutek zadeklarowania</w:t>
      </w:r>
      <w:r w:rsidRPr="00C36DCB">
        <w:rPr>
          <w:rFonts w:ascii="Arial" w:hAnsi="Arial" w:cs="Arial"/>
          <w:iCs/>
          <w:sz w:val="22"/>
          <w:szCs w:val="22"/>
        </w:rPr>
        <w:t xml:space="preserve"> we wniosku o płatność wystąpienia dochodu, o którym mowa w </w:t>
      </w:r>
      <w:r w:rsidRPr="00C36DCB">
        <w:rPr>
          <w:rFonts w:ascii="Arial" w:hAnsi="Arial" w:cs="Arial"/>
          <w:sz w:val="22"/>
          <w:szCs w:val="22"/>
        </w:rPr>
        <w:t>§ 8</w:t>
      </w:r>
      <w:r w:rsidRPr="00C36DCB">
        <w:rPr>
          <w:rFonts w:ascii="Arial" w:hAnsi="Arial" w:cs="Arial"/>
          <w:iCs/>
          <w:sz w:val="22"/>
          <w:szCs w:val="22"/>
        </w:rPr>
        <w:t xml:space="preserve"> ust. 26, nastąpi pomniejszenie maksymalnej kwoty wydatków kwalifikowalnych, o której mow</w:t>
      </w:r>
      <w:r>
        <w:rPr>
          <w:rFonts w:ascii="Arial" w:hAnsi="Arial" w:cs="Arial"/>
          <w:iCs/>
          <w:sz w:val="22"/>
          <w:szCs w:val="22"/>
        </w:rPr>
        <w:t xml:space="preserve">a w </w:t>
      </w:r>
      <w:r w:rsidRPr="00C36DCB">
        <w:rPr>
          <w:rFonts w:ascii="Arial" w:hAnsi="Arial" w:cs="Arial"/>
          <w:sz w:val="22"/>
          <w:szCs w:val="22"/>
        </w:rPr>
        <w:t xml:space="preserve">§ 5 ust. 2 Umowy, </w:t>
      </w:r>
      <w:r w:rsidRPr="00C36DCB">
        <w:rPr>
          <w:rFonts w:ascii="Arial" w:hAnsi="Arial" w:cs="Arial"/>
          <w:iCs/>
          <w:sz w:val="22"/>
          <w:szCs w:val="22"/>
        </w:rPr>
        <w:t>o dochód nieuwzględniony w ramach kalkulacji luki w finansowaniu</w:t>
      </w:r>
      <w:r w:rsidRPr="00C36DCB">
        <w:rPr>
          <w:rStyle w:val="Odwoanieprzypisudolnego"/>
          <w:rFonts w:ascii="Arial" w:hAnsi="Arial" w:cs="Arial"/>
          <w:iCs/>
          <w:sz w:val="22"/>
          <w:szCs w:val="22"/>
        </w:rPr>
        <w:footnoteReference w:id="80"/>
      </w:r>
      <w:r>
        <w:rPr>
          <w:rFonts w:ascii="Arial" w:hAnsi="Arial" w:cs="Arial"/>
          <w:iCs/>
          <w:sz w:val="22"/>
          <w:szCs w:val="22"/>
        </w:rPr>
        <w:t>,</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610C30">
        <w:rPr>
          <w:rFonts w:ascii="Arial" w:hAnsi="Arial" w:cs="Arial"/>
          <w:sz w:val="22"/>
          <w:szCs w:val="22"/>
        </w:rPr>
        <w:t xml:space="preserve"> i 3</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w:t>
      </w:r>
      <w:r w:rsidR="000E52E7">
        <w:rPr>
          <w:rFonts w:ascii="Arial" w:hAnsi="Arial" w:cs="Arial"/>
          <w:sz w:val="22"/>
          <w:szCs w:val="22"/>
        </w:rPr>
        <w:t xml:space="preserve">, </w:t>
      </w:r>
      <w:r w:rsidR="000E52E7" w:rsidRPr="00CB6CDA">
        <w:rPr>
          <w:rFonts w:ascii="Arial" w:hAnsi="Arial" w:cs="Arial"/>
          <w:sz w:val="22"/>
          <w:szCs w:val="22"/>
        </w:rPr>
        <w:t xml:space="preserve">§ </w:t>
      </w:r>
      <w:r w:rsidR="000E52E7">
        <w:rPr>
          <w:rFonts w:ascii="Arial" w:hAnsi="Arial" w:cs="Arial"/>
          <w:sz w:val="22"/>
          <w:szCs w:val="22"/>
        </w:rPr>
        <w:t>18 ust. 3</w:t>
      </w:r>
      <w:r w:rsidRPr="00CB6CDA">
        <w:rPr>
          <w:rFonts w:ascii="Arial" w:hAnsi="Arial" w:cs="Arial"/>
          <w:sz w:val="22"/>
          <w:szCs w:val="22"/>
        </w:rPr>
        <w:t xml:space="preserve">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 xml:space="preserve">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w:t>
      </w:r>
      <w:r w:rsidRPr="00CB6CDA">
        <w:rPr>
          <w:rFonts w:ascii="Arial" w:hAnsi="Arial" w:cs="Arial"/>
          <w:sz w:val="22"/>
          <w:szCs w:val="22"/>
        </w:rPr>
        <w:lastRenderedPageBreak/>
        <w:t>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 xml:space="preserve">Oświadczenia woli składane w formie elektronicznej doręcza się wyłącznie za pośrednictwem SL2014 lub </w:t>
      </w:r>
      <w:proofErr w:type="spellStart"/>
      <w:r w:rsidR="0051744F" w:rsidRPr="001B6678">
        <w:rPr>
          <w:rFonts w:ascii="Arial" w:hAnsi="Arial" w:cs="Arial"/>
          <w:sz w:val="22"/>
          <w:szCs w:val="22"/>
        </w:rPr>
        <w:t>ePUAP</w:t>
      </w:r>
      <w:proofErr w:type="spellEnd"/>
      <w:r w:rsidR="0051744F" w:rsidRPr="001B6678">
        <w:rPr>
          <w:rFonts w:ascii="Arial" w:hAnsi="Arial" w:cs="Arial"/>
          <w:sz w:val="22"/>
          <w:szCs w:val="22"/>
        </w:rPr>
        <w:t>.</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8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8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4"/>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6"/>
      </w:r>
      <w:r w:rsidRPr="00CB6CDA">
        <w:rPr>
          <w:rFonts w:ascii="Arial" w:hAnsi="Arial" w:cs="Arial"/>
          <w:sz w:val="22"/>
          <w:szCs w:val="22"/>
        </w:rPr>
        <w:t xml:space="preserve"> dla potrzeb przekazywania refundacji poniesionych wydatków.</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7"/>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8"/>
      </w:r>
      <w:r w:rsidRPr="00CB6CDA">
        <w:rPr>
          <w:rFonts w:ascii="Arial" w:hAnsi="Arial" w:cs="Arial"/>
          <w:sz w:val="22"/>
          <w:szCs w:val="22"/>
        </w:rPr>
        <w:t>.</w:t>
      </w:r>
    </w:p>
    <w:p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lastRenderedPageBreak/>
        <w:t>Zestawienie wskaźników do monitorowania postępu rzeczowego Projektu.</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9"/>
      </w:r>
    </w:p>
    <w:p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10"/>
      <w:footerReference w:type="default" r:id="rId11"/>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34" w:rsidRDefault="000A0534">
      <w:r>
        <w:separator/>
      </w:r>
    </w:p>
  </w:endnote>
  <w:endnote w:type="continuationSeparator" w:id="0">
    <w:p w:rsidR="000A0534" w:rsidRDefault="000A0534">
      <w:r>
        <w:continuationSeparator/>
      </w:r>
    </w:p>
  </w:endnote>
  <w:endnote w:type="continuationNotice" w:id="1">
    <w:p w:rsidR="000A0534" w:rsidRDefault="000A0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4" w:rsidRDefault="000A0534"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0A0534" w:rsidRDefault="000A05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4" w:rsidRDefault="000A0534"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DC2892">
      <w:rPr>
        <w:rStyle w:val="Numerstrony"/>
        <w:rFonts w:ascii="Arial" w:hAnsi="Arial" w:cs="Arial"/>
        <w:noProof/>
      </w:rPr>
      <w:t>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DC2892">
      <w:rPr>
        <w:rStyle w:val="Numerstrony"/>
        <w:rFonts w:ascii="Arial" w:hAnsi="Arial" w:cs="Arial"/>
        <w:noProof/>
      </w:rPr>
      <w:t>40</w:t>
    </w:r>
    <w:r>
      <w:rPr>
        <w:rStyle w:val="Numerstrony"/>
        <w:rFonts w:ascii="Arial" w:hAnsi="Arial" w:cs="Arial"/>
      </w:rPr>
      <w:fldChar w:fldCharType="end"/>
    </w:r>
  </w:p>
  <w:p w:rsidR="000A0534" w:rsidRDefault="000A0534">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34" w:rsidRDefault="000A0534">
      <w:r>
        <w:separator/>
      </w:r>
    </w:p>
  </w:footnote>
  <w:footnote w:type="continuationSeparator" w:id="0">
    <w:p w:rsidR="000A0534" w:rsidRDefault="000A0534">
      <w:r>
        <w:continuationSeparator/>
      </w:r>
    </w:p>
  </w:footnote>
  <w:footnote w:type="continuationNotice" w:id="1">
    <w:p w:rsidR="000A0534" w:rsidRDefault="000A0534"/>
  </w:footnote>
  <w:footnote w:id="2">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0A0534" w:rsidRDefault="000A0534"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rsidR="000A0534" w:rsidRDefault="000A0534"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0A0534" w:rsidRDefault="000A0534"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0A0534" w:rsidRPr="00804A5F" w:rsidRDefault="000A0534"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0A0534" w:rsidRPr="003B3708" w:rsidRDefault="000A0534"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0A0534" w:rsidRDefault="000A0534"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rsidR="000A0534" w:rsidRDefault="000A0534"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rsidR="000A0534" w:rsidRDefault="000A0534"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rsidR="000A0534" w:rsidRDefault="000A0534"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rsidR="000A0534" w:rsidRPr="00737B30" w:rsidRDefault="000A0534"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rsidR="000A0534" w:rsidRDefault="000A0534">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rsidR="000A0534" w:rsidRDefault="000A0534"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rsidR="000A0534" w:rsidRDefault="000A0534">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rsidR="000A0534" w:rsidRDefault="000A0534"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rsidR="000A0534" w:rsidRDefault="000A0534"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rsidR="000A0534" w:rsidRDefault="000A0534"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4">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6">
    <w:p w:rsidR="000A0534" w:rsidRDefault="000A0534"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7">
    <w:p w:rsidR="000A0534" w:rsidRPr="00BB1724" w:rsidRDefault="000A0534"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BB1724">
        <w:rPr>
          <w:rFonts w:ascii="Arial" w:hAnsi="Arial" w:cs="Arial"/>
          <w:sz w:val="18"/>
          <w:szCs w:val="18"/>
        </w:rPr>
        <w:t>SzOOP</w:t>
      </w:r>
      <w:proofErr w:type="spellEnd"/>
      <w:r w:rsidRPr="00BB1724">
        <w:rPr>
          <w:rFonts w:ascii="Arial" w:hAnsi="Arial" w:cs="Arial"/>
          <w:sz w:val="18"/>
          <w:szCs w:val="18"/>
        </w:rPr>
        <w:t xml:space="preserve"> </w:t>
      </w:r>
      <w:proofErr w:type="spellStart"/>
      <w:r w:rsidRPr="00BB1724">
        <w:rPr>
          <w:rFonts w:ascii="Arial" w:hAnsi="Arial" w:cs="Arial"/>
          <w:sz w:val="18"/>
          <w:szCs w:val="18"/>
        </w:rPr>
        <w:t>POIiŚ</w:t>
      </w:r>
      <w:proofErr w:type="spellEnd"/>
      <w:r w:rsidRPr="00BB1724">
        <w:rPr>
          <w:rFonts w:ascii="Arial" w:hAnsi="Arial" w:cs="Arial"/>
          <w:sz w:val="18"/>
          <w:szCs w:val="18"/>
        </w:rPr>
        <w:t xml:space="preserve">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8">
    <w:p w:rsidR="000A0534" w:rsidRPr="00877A73"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9">
    <w:p w:rsidR="000A0534" w:rsidRPr="00100849"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0">
    <w:p w:rsidR="000A0534" w:rsidRDefault="000A0534"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1">
    <w:p w:rsidR="000A0534" w:rsidRDefault="000A0534"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2">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3">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rsidR="000A0534" w:rsidRPr="00AE11FB" w:rsidRDefault="000A0534"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5">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6">
    <w:p w:rsidR="000A0534" w:rsidRDefault="000A0534"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7">
    <w:p w:rsidR="000A0534" w:rsidRDefault="000A0534">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8">
    <w:p w:rsidR="000A0534" w:rsidRDefault="000A0534"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0">
    <w:p w:rsidR="000A0534" w:rsidRDefault="000A0534"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51">
    <w:p w:rsidR="000A0534" w:rsidRDefault="000A0534"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2">
    <w:p w:rsidR="000A0534" w:rsidRDefault="000A0534"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3">
    <w:p w:rsidR="000A0534" w:rsidRPr="004D5218" w:rsidRDefault="000A0534" w:rsidP="004D5218">
      <w:pPr>
        <w:pStyle w:val="Tekstprzypisudolnego"/>
        <w:jc w:val="both"/>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4D5218">
        <w:rPr>
          <w:rFonts w:ascii="Arial" w:hAnsi="Arial" w:cs="Arial"/>
          <w:sz w:val="18"/>
          <w:szCs w:val="18"/>
        </w:rPr>
        <w:t>zm.</w:t>
      </w:r>
      <w:r w:rsidR="00C429E2">
        <w:rPr>
          <w:rFonts w:ascii="Arial" w:hAnsi="Arial" w:cs="Arial"/>
          <w:sz w:val="18"/>
          <w:szCs w:val="18"/>
        </w:rPr>
        <w:t>)</w:t>
      </w:r>
      <w:r>
        <w:rPr>
          <w:rFonts w:ascii="Arial" w:hAnsi="Arial" w:cs="Arial"/>
          <w:sz w:val="18"/>
          <w:szCs w:val="18"/>
        </w:rPr>
        <w:t>, zwanej dalej</w:t>
      </w:r>
      <w:r w:rsidR="007B7887">
        <w:rPr>
          <w:rFonts w:ascii="Arial" w:hAnsi="Arial" w:cs="Arial"/>
          <w:sz w:val="18"/>
          <w:szCs w:val="18"/>
        </w:rPr>
        <w:t xml:space="preserve"> „</w:t>
      </w:r>
      <w:r>
        <w:rPr>
          <w:rFonts w:ascii="Arial" w:hAnsi="Arial" w:cs="Arial"/>
          <w:sz w:val="18"/>
          <w:szCs w:val="18"/>
        </w:rPr>
        <w:t xml:space="preserve">ustawą </w:t>
      </w:r>
      <w:proofErr w:type="spellStart"/>
      <w:r>
        <w:rPr>
          <w:rFonts w:ascii="Arial" w:hAnsi="Arial" w:cs="Arial"/>
          <w:sz w:val="18"/>
          <w:szCs w:val="18"/>
        </w:rPr>
        <w:t>Pzp</w:t>
      </w:r>
      <w:proofErr w:type="spellEnd"/>
      <w:r>
        <w:rPr>
          <w:rFonts w:ascii="Arial" w:hAnsi="Arial" w:cs="Arial"/>
          <w:sz w:val="18"/>
          <w:szCs w:val="18"/>
        </w:rPr>
        <w:t xml:space="preserve"> z 2004 r.</w:t>
      </w:r>
      <w:r w:rsidR="004D5218">
        <w:rPr>
          <w:rFonts w:ascii="Arial" w:hAnsi="Arial" w:cs="Arial"/>
          <w:sz w:val="18"/>
          <w:szCs w:val="18"/>
        </w:rPr>
        <w:t>”</w:t>
      </w:r>
      <w:r w:rsidR="007B7887">
        <w:rPr>
          <w:rFonts w:ascii="Arial" w:hAnsi="Arial" w:cs="Arial"/>
          <w:sz w:val="18"/>
          <w:szCs w:val="18"/>
        </w:rPr>
        <w:t>.</w:t>
      </w:r>
    </w:p>
  </w:footnote>
  <w:footnote w:id="54">
    <w:p w:rsidR="000A0534" w:rsidRPr="00AA3B2A" w:rsidRDefault="000A0534"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5">
    <w:p w:rsidR="000A0534" w:rsidRPr="004D5218" w:rsidRDefault="000A0534" w:rsidP="000B0E1C">
      <w:pPr>
        <w:pStyle w:val="Tekstprzypisudolnego"/>
        <w:jc w:val="both"/>
        <w:rPr>
          <w:rFonts w:ascii="Arial" w:hAnsi="Arial" w:cs="Arial"/>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w:t>
      </w:r>
      <w:r w:rsidRPr="005F5836">
        <w:rPr>
          <w:rFonts w:ascii="Arial" w:hAnsi="Arial" w:cs="Arial"/>
          <w:sz w:val="18"/>
          <w:szCs w:val="18"/>
        </w:rPr>
        <w:t>w</w:t>
      </w:r>
      <w:r w:rsidRPr="00703134">
        <w:rPr>
          <w:rFonts w:ascii="Arial" w:hAnsi="Arial" w:cs="Arial"/>
          <w:sz w:val="18"/>
          <w:szCs w:val="18"/>
        </w:rPr>
        <w:t>ytycznych z dnia 21 grudnia 2020 roku wymogi te określono w sekcji 6.5.2 pkt 11.</w:t>
      </w:r>
    </w:p>
  </w:footnote>
  <w:footnote w:id="56">
    <w:p w:rsidR="000A0534" w:rsidRPr="00CB706B" w:rsidRDefault="000A0534" w:rsidP="000B0E1C">
      <w:pPr>
        <w:pStyle w:val="Tekstprzypisudolnego"/>
        <w:jc w:val="both"/>
        <w:rPr>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przypadku zamówień o wartości niższej od kwoty określonej w przepisach wydanych na podstawie art. 3 ustawy </w:t>
      </w:r>
      <w:proofErr w:type="spellStart"/>
      <w:r w:rsidRPr="00703134">
        <w:rPr>
          <w:rFonts w:ascii="Arial" w:hAnsi="Arial" w:cs="Arial"/>
          <w:sz w:val="18"/>
          <w:szCs w:val="18"/>
        </w:rPr>
        <w:t>Pzp</w:t>
      </w:r>
      <w:proofErr w:type="spellEnd"/>
      <w:r w:rsidRPr="00703134">
        <w:rPr>
          <w:rFonts w:ascii="Arial" w:hAnsi="Arial" w:cs="Arial"/>
          <w:sz w:val="18"/>
          <w:szCs w:val="18"/>
        </w:rPr>
        <w:t>, a jednocześnie przekraczającej 50 tys. PLN netto, tj. bez podatku od towarów i usług (VAT), udzielenie zamówienia, na podstawie pkt 6, następuje zgodnie z zasadą konkurencyjności, o której mowa w sekcji 6.5.2.</w:t>
      </w:r>
    </w:p>
  </w:footnote>
  <w:footnote w:id="57">
    <w:p w:rsidR="000A0534" w:rsidRPr="004D5218" w:rsidRDefault="000A0534">
      <w:pPr>
        <w:pStyle w:val="Tekstprzypisudolnego"/>
        <w:rPr>
          <w:rFonts w:ascii="Arial" w:hAnsi="Arial" w:cs="Arial"/>
        </w:rPr>
      </w:pPr>
      <w:r w:rsidRPr="004D5218">
        <w:rPr>
          <w:rStyle w:val="Odwoanieprzypisudolnego"/>
          <w:rFonts w:ascii="Arial" w:hAnsi="Arial" w:cs="Arial"/>
          <w:sz w:val="18"/>
          <w:szCs w:val="18"/>
        </w:rPr>
        <w:footnoteRef/>
      </w:r>
      <w:r w:rsidRPr="004D5218">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58">
    <w:p w:rsidR="000A0534" w:rsidRPr="002165C1" w:rsidRDefault="000A0534"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9">
    <w:p w:rsidR="000A0534" w:rsidRPr="004D5218" w:rsidRDefault="000A0534">
      <w:pPr>
        <w:pStyle w:val="Tekstprzypisudolnego"/>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4D5218">
        <w:rPr>
          <w:rFonts w:ascii="Arial" w:hAnsi="Arial" w:cs="Arial"/>
          <w:sz w:val="18"/>
          <w:szCs w:val="18"/>
        </w:rPr>
        <w:t xml:space="preserve">do 31.12.2020 r. stosuje się przepisy ustawy </w:t>
      </w:r>
      <w:proofErr w:type="spellStart"/>
      <w:r w:rsidRPr="0047542A">
        <w:rPr>
          <w:rFonts w:ascii="Arial" w:hAnsi="Arial" w:cs="Arial"/>
          <w:sz w:val="18"/>
          <w:szCs w:val="18"/>
        </w:rPr>
        <w:t>P</w:t>
      </w:r>
      <w:r>
        <w:rPr>
          <w:rFonts w:ascii="Arial" w:hAnsi="Arial" w:cs="Arial"/>
          <w:sz w:val="18"/>
          <w:szCs w:val="18"/>
        </w:rPr>
        <w:t>zp</w:t>
      </w:r>
      <w:proofErr w:type="spellEnd"/>
      <w:r w:rsidRPr="004D5218">
        <w:rPr>
          <w:rFonts w:ascii="Arial" w:hAnsi="Arial" w:cs="Arial"/>
          <w:sz w:val="18"/>
          <w:szCs w:val="18"/>
        </w:rPr>
        <w:t xml:space="preserve"> z 2004 r. </w:t>
      </w:r>
    </w:p>
  </w:footnote>
  <w:footnote w:id="60">
    <w:p w:rsidR="000A0534" w:rsidRDefault="000A0534"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61">
    <w:p w:rsidR="000A0534" w:rsidRDefault="000A0534"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62">
    <w:p w:rsidR="000A0534" w:rsidRDefault="000A0534"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3">
    <w:p w:rsidR="000A0534" w:rsidRDefault="000A0534"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4">
    <w:p w:rsidR="000A0534" w:rsidRPr="00E857B1" w:rsidRDefault="000A0534"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5">
    <w:p w:rsidR="000A0534" w:rsidRPr="00F7106B" w:rsidRDefault="000A0534"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rsidR="000A0534" w:rsidRPr="00E857B1" w:rsidRDefault="000A0534"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rsidR="000A0534" w:rsidRPr="00E857B1" w:rsidRDefault="000A0534"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6">
    <w:p w:rsidR="000A0534" w:rsidRPr="00E857B1" w:rsidRDefault="000A0534"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7">
    <w:p w:rsidR="000A0534" w:rsidRPr="002E1977" w:rsidRDefault="000A0534"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9">
    <w:p w:rsidR="000A0534" w:rsidRDefault="000A0534"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70">
    <w:p w:rsidR="000A0534" w:rsidRDefault="000A0534"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71">
    <w:p w:rsidR="000A0534" w:rsidRDefault="000A0534"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72">
    <w:p w:rsidR="000A0534" w:rsidRDefault="000A0534"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3">
    <w:p w:rsidR="000A0534" w:rsidRPr="00CB6CDA" w:rsidRDefault="000A0534"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4">
    <w:p w:rsidR="000A0534" w:rsidRDefault="000A0534"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5">
    <w:p w:rsidR="000A0534" w:rsidRDefault="000A0534"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6">
    <w:p w:rsidR="000A0534" w:rsidRPr="002E1977" w:rsidRDefault="000A0534">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7">
    <w:p w:rsidR="000A0534" w:rsidRDefault="000A0534"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80">
    <w:p w:rsidR="000A0534" w:rsidRPr="000E2E5F" w:rsidRDefault="000A0534" w:rsidP="00610C30">
      <w:pPr>
        <w:pStyle w:val="Tekstprzypisudolnego"/>
        <w:rPr>
          <w:rFonts w:ascii="Arial" w:hAnsi="Arial" w:cs="Arial"/>
        </w:rPr>
      </w:pPr>
      <w:r w:rsidRPr="000E2E5F">
        <w:rPr>
          <w:rStyle w:val="Odwoanieprzypisudolnego"/>
          <w:rFonts w:ascii="Arial" w:hAnsi="Arial" w:cs="Arial"/>
          <w:sz w:val="18"/>
        </w:rPr>
        <w:footnoteRef/>
      </w:r>
      <w:r w:rsidRPr="000E2E5F">
        <w:rPr>
          <w:rFonts w:ascii="Arial" w:hAnsi="Arial" w:cs="Arial"/>
          <w:sz w:val="18"/>
        </w:rPr>
        <w:t xml:space="preserve"> </w:t>
      </w:r>
      <w:r w:rsidRPr="00C36DCB">
        <w:rPr>
          <w:rFonts w:ascii="Arial" w:hAnsi="Arial" w:cs="Arial"/>
          <w:sz w:val="18"/>
        </w:rPr>
        <w:t>Dotyczy projektów generujących dochód, w odniesieniu do których poziom dofinansowania określono w oparciu o metodę luki w finansowaniu</w:t>
      </w:r>
      <w:r>
        <w:rPr>
          <w:rFonts w:ascii="Arial" w:hAnsi="Arial" w:cs="Arial"/>
          <w:sz w:val="18"/>
        </w:rPr>
        <w:t>.</w:t>
      </w:r>
    </w:p>
  </w:footnote>
  <w:footnote w:id="81">
    <w:p w:rsidR="000A0534" w:rsidRDefault="000A0534"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82">
    <w:p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3">
    <w:p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4">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5">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6">
    <w:p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7">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8">
    <w:p w:rsidR="000A0534" w:rsidRDefault="000A0534"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9">
    <w:p w:rsidR="000A0534" w:rsidRDefault="000A0534"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8">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9">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EDF394B"/>
    <w:multiLevelType w:val="hybridMultilevel"/>
    <w:tmpl w:val="79A2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2">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438F13C8"/>
    <w:multiLevelType w:val="hybridMultilevel"/>
    <w:tmpl w:val="2688A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9">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2B70D9A"/>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5647285E"/>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8">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1B33773"/>
    <w:multiLevelType w:val="hybridMultilevel"/>
    <w:tmpl w:val="028A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7">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8">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54"/>
  </w:num>
  <w:num w:numId="3">
    <w:abstractNumId w:val="28"/>
  </w:num>
  <w:num w:numId="4">
    <w:abstractNumId w:val="61"/>
  </w:num>
  <w:num w:numId="5">
    <w:abstractNumId w:val="46"/>
  </w:num>
  <w:num w:numId="6">
    <w:abstractNumId w:val="19"/>
  </w:num>
  <w:num w:numId="7">
    <w:abstractNumId w:val="13"/>
  </w:num>
  <w:num w:numId="8">
    <w:abstractNumId w:val="29"/>
  </w:num>
  <w:num w:numId="9">
    <w:abstractNumId w:val="63"/>
  </w:num>
  <w:num w:numId="10">
    <w:abstractNumId w:val="0"/>
  </w:num>
  <w:num w:numId="11">
    <w:abstractNumId w:val="25"/>
  </w:num>
  <w:num w:numId="12">
    <w:abstractNumId w:val="5"/>
  </w:num>
  <w:num w:numId="13">
    <w:abstractNumId w:val="23"/>
  </w:num>
  <w:num w:numId="14">
    <w:abstractNumId w:val="22"/>
  </w:num>
  <w:num w:numId="15">
    <w:abstractNumId w:val="58"/>
  </w:num>
  <w:num w:numId="16">
    <w:abstractNumId w:val="39"/>
  </w:num>
  <w:num w:numId="17">
    <w:abstractNumId w:val="1"/>
  </w:num>
  <w:num w:numId="18">
    <w:abstractNumId w:val="30"/>
  </w:num>
  <w:num w:numId="19">
    <w:abstractNumId w:val="36"/>
  </w:num>
  <w:num w:numId="20">
    <w:abstractNumId w:val="20"/>
  </w:num>
  <w:num w:numId="21">
    <w:abstractNumId w:val="6"/>
  </w:num>
  <w:num w:numId="22">
    <w:abstractNumId w:val="16"/>
  </w:num>
  <w:num w:numId="23">
    <w:abstractNumId w:val="31"/>
  </w:num>
  <w:num w:numId="24">
    <w:abstractNumId w:val="24"/>
  </w:num>
  <w:num w:numId="25">
    <w:abstractNumId w:val="73"/>
  </w:num>
  <w:num w:numId="26">
    <w:abstractNumId w:val="70"/>
  </w:num>
  <w:num w:numId="27">
    <w:abstractNumId w:val="32"/>
  </w:num>
  <w:num w:numId="28">
    <w:abstractNumId w:val="52"/>
  </w:num>
  <w:num w:numId="29">
    <w:abstractNumId w:val="62"/>
  </w:num>
  <w:num w:numId="30">
    <w:abstractNumId w:val="66"/>
  </w:num>
  <w:num w:numId="31">
    <w:abstractNumId w:val="69"/>
  </w:num>
  <w:num w:numId="32">
    <w:abstractNumId w:val="51"/>
  </w:num>
  <w:num w:numId="33">
    <w:abstractNumId w:val="18"/>
  </w:num>
  <w:num w:numId="34">
    <w:abstractNumId w:val="72"/>
  </w:num>
  <w:num w:numId="35">
    <w:abstractNumId w:val="60"/>
  </w:num>
  <w:num w:numId="36">
    <w:abstractNumId w:val="17"/>
  </w:num>
  <w:num w:numId="37">
    <w:abstractNumId w:val="48"/>
  </w:num>
  <w:num w:numId="38">
    <w:abstractNumId w:val="68"/>
  </w:num>
  <w:num w:numId="39">
    <w:abstractNumId w:val="71"/>
  </w:num>
  <w:num w:numId="40">
    <w:abstractNumId w:val="2"/>
  </w:num>
  <w:num w:numId="41">
    <w:abstractNumId w:val="10"/>
  </w:num>
  <w:num w:numId="42">
    <w:abstractNumId w:val="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33"/>
  </w:num>
  <w:num w:numId="47">
    <w:abstractNumId w:val="5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9"/>
  </w:num>
  <w:num w:numId="54">
    <w:abstractNumId w:val="35"/>
  </w:num>
  <w:num w:numId="55">
    <w:abstractNumId w:val="44"/>
  </w:num>
  <w:num w:numId="56">
    <w:abstractNumId w:val="64"/>
  </w:num>
  <w:num w:numId="57">
    <w:abstractNumId w:val="67"/>
  </w:num>
  <w:num w:numId="58">
    <w:abstractNumId w:val="47"/>
  </w:num>
  <w:num w:numId="59">
    <w:abstractNumId w:val="55"/>
  </w:num>
  <w:num w:numId="60">
    <w:abstractNumId w:val="14"/>
  </w:num>
  <w:num w:numId="61">
    <w:abstractNumId w:val="7"/>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41"/>
  </w:num>
  <w:num w:numId="68">
    <w:abstractNumId w:val="21"/>
  </w:num>
  <w:num w:numId="69">
    <w:abstractNumId w:val="42"/>
  </w:num>
  <w:num w:numId="70">
    <w:abstractNumId w:val="34"/>
  </w:num>
  <w:num w:numId="71">
    <w:abstractNumId w:val="8"/>
  </w:num>
  <w:num w:numId="72">
    <w:abstractNumId w:val="45"/>
  </w:num>
  <w:num w:numId="73">
    <w:abstractNumId w:val="40"/>
  </w:num>
  <w:num w:numId="74">
    <w:abstractNumId w:val="65"/>
  </w:num>
  <w:num w:numId="75">
    <w:abstractNumId w:val="53"/>
  </w:num>
  <w:num w:numId="76">
    <w:abstractNumId w:val="26"/>
  </w:num>
  <w:num w:numId="77">
    <w:abstractNumId w:val="4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szka Łukasz">
    <w15:presenceInfo w15:providerId="AD" w15:userId="S-1-5-21-4053240266-2432302554-3540110561-8015"/>
  </w15:person>
  <w15:person w15:author="Arkadiusz Jackowski">
    <w15:presenceInfo w15:providerId="None" w15:userId="Arkadiusz Jac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4A50"/>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8F6"/>
    <w:rsid w:val="00094DFD"/>
    <w:rsid w:val="000950FD"/>
    <w:rsid w:val="00095999"/>
    <w:rsid w:val="000A038C"/>
    <w:rsid w:val="000A0534"/>
    <w:rsid w:val="000A0BE9"/>
    <w:rsid w:val="000A12B3"/>
    <w:rsid w:val="000A148B"/>
    <w:rsid w:val="000A2DD3"/>
    <w:rsid w:val="000A4559"/>
    <w:rsid w:val="000A4749"/>
    <w:rsid w:val="000A4848"/>
    <w:rsid w:val="000A4EBD"/>
    <w:rsid w:val="000A6336"/>
    <w:rsid w:val="000A6653"/>
    <w:rsid w:val="000A6EC1"/>
    <w:rsid w:val="000A75D8"/>
    <w:rsid w:val="000A7698"/>
    <w:rsid w:val="000B0E1C"/>
    <w:rsid w:val="000B161C"/>
    <w:rsid w:val="000B2724"/>
    <w:rsid w:val="000B27D4"/>
    <w:rsid w:val="000B2B9C"/>
    <w:rsid w:val="000B3408"/>
    <w:rsid w:val="000B3B18"/>
    <w:rsid w:val="000B497C"/>
    <w:rsid w:val="000B4F45"/>
    <w:rsid w:val="000B518B"/>
    <w:rsid w:val="000B528C"/>
    <w:rsid w:val="000B5557"/>
    <w:rsid w:val="000B589F"/>
    <w:rsid w:val="000B592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0A5"/>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52E7"/>
    <w:rsid w:val="000E61AB"/>
    <w:rsid w:val="000E6CE4"/>
    <w:rsid w:val="000E79C4"/>
    <w:rsid w:val="000F096A"/>
    <w:rsid w:val="000F0EB9"/>
    <w:rsid w:val="000F1301"/>
    <w:rsid w:val="000F1436"/>
    <w:rsid w:val="000F1DDF"/>
    <w:rsid w:val="000F2ED1"/>
    <w:rsid w:val="000F4781"/>
    <w:rsid w:val="000F488F"/>
    <w:rsid w:val="000F4ACA"/>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604"/>
    <w:rsid w:val="00120826"/>
    <w:rsid w:val="00120956"/>
    <w:rsid w:val="00120DB4"/>
    <w:rsid w:val="00121173"/>
    <w:rsid w:val="00121DAF"/>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1929"/>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088"/>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1605"/>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C3A"/>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5BCF"/>
    <w:rsid w:val="0022654A"/>
    <w:rsid w:val="00226552"/>
    <w:rsid w:val="00230B8B"/>
    <w:rsid w:val="00231918"/>
    <w:rsid w:val="00231A14"/>
    <w:rsid w:val="002329EE"/>
    <w:rsid w:val="00232A17"/>
    <w:rsid w:val="002337D6"/>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540A"/>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1F2D"/>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841"/>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8F8"/>
    <w:rsid w:val="002F7C0F"/>
    <w:rsid w:val="00300331"/>
    <w:rsid w:val="0030048D"/>
    <w:rsid w:val="0030065D"/>
    <w:rsid w:val="00300C34"/>
    <w:rsid w:val="003013C4"/>
    <w:rsid w:val="003014A3"/>
    <w:rsid w:val="0030193C"/>
    <w:rsid w:val="00301C13"/>
    <w:rsid w:val="00302974"/>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975"/>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5149"/>
    <w:rsid w:val="00346013"/>
    <w:rsid w:val="00346317"/>
    <w:rsid w:val="0034684E"/>
    <w:rsid w:val="0034723C"/>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9FD"/>
    <w:rsid w:val="00373CBF"/>
    <w:rsid w:val="00373EF8"/>
    <w:rsid w:val="00374DFD"/>
    <w:rsid w:val="00375CA2"/>
    <w:rsid w:val="00376135"/>
    <w:rsid w:val="00376162"/>
    <w:rsid w:val="00380555"/>
    <w:rsid w:val="003814EB"/>
    <w:rsid w:val="00381AF6"/>
    <w:rsid w:val="00381CF0"/>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325"/>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65CE"/>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ADE"/>
    <w:rsid w:val="003D3EBD"/>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4820"/>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26073"/>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3EA8"/>
    <w:rsid w:val="00474202"/>
    <w:rsid w:val="004744ED"/>
    <w:rsid w:val="0047455F"/>
    <w:rsid w:val="00474611"/>
    <w:rsid w:val="00475098"/>
    <w:rsid w:val="0047542A"/>
    <w:rsid w:val="00476BE7"/>
    <w:rsid w:val="0047764D"/>
    <w:rsid w:val="0047793E"/>
    <w:rsid w:val="00477D0F"/>
    <w:rsid w:val="00477E30"/>
    <w:rsid w:val="004820DD"/>
    <w:rsid w:val="00482392"/>
    <w:rsid w:val="004825FA"/>
    <w:rsid w:val="00482602"/>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3A0"/>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7EB"/>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218"/>
    <w:rsid w:val="004D5410"/>
    <w:rsid w:val="004D5925"/>
    <w:rsid w:val="004D5FE6"/>
    <w:rsid w:val="004D6273"/>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370"/>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265F"/>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003"/>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1B2E"/>
    <w:rsid w:val="0056221A"/>
    <w:rsid w:val="00562CB5"/>
    <w:rsid w:val="005634BB"/>
    <w:rsid w:val="00563916"/>
    <w:rsid w:val="00566775"/>
    <w:rsid w:val="00566E68"/>
    <w:rsid w:val="00567663"/>
    <w:rsid w:val="00570A53"/>
    <w:rsid w:val="00571123"/>
    <w:rsid w:val="005716E7"/>
    <w:rsid w:val="00571EA2"/>
    <w:rsid w:val="005720F7"/>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0A69"/>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1B"/>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116"/>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836"/>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C30"/>
    <w:rsid w:val="00610E05"/>
    <w:rsid w:val="00612168"/>
    <w:rsid w:val="006133FC"/>
    <w:rsid w:val="00613B15"/>
    <w:rsid w:val="00614350"/>
    <w:rsid w:val="006143E8"/>
    <w:rsid w:val="00614E30"/>
    <w:rsid w:val="006163AB"/>
    <w:rsid w:val="00616630"/>
    <w:rsid w:val="0061743E"/>
    <w:rsid w:val="0061785D"/>
    <w:rsid w:val="00617EE8"/>
    <w:rsid w:val="00620F3F"/>
    <w:rsid w:val="006211A2"/>
    <w:rsid w:val="00621DA0"/>
    <w:rsid w:val="006224DE"/>
    <w:rsid w:val="00622C0B"/>
    <w:rsid w:val="006239FD"/>
    <w:rsid w:val="0062594F"/>
    <w:rsid w:val="00625DED"/>
    <w:rsid w:val="00626D10"/>
    <w:rsid w:val="006272EC"/>
    <w:rsid w:val="0063111B"/>
    <w:rsid w:val="00633E97"/>
    <w:rsid w:val="00634924"/>
    <w:rsid w:val="00635028"/>
    <w:rsid w:val="006350C9"/>
    <w:rsid w:val="00635BC9"/>
    <w:rsid w:val="00636548"/>
    <w:rsid w:val="006400CA"/>
    <w:rsid w:val="00641511"/>
    <w:rsid w:val="00641619"/>
    <w:rsid w:val="00641EF0"/>
    <w:rsid w:val="00643018"/>
    <w:rsid w:val="00645328"/>
    <w:rsid w:val="00645B76"/>
    <w:rsid w:val="00645BC3"/>
    <w:rsid w:val="006473D7"/>
    <w:rsid w:val="006475E7"/>
    <w:rsid w:val="006477ED"/>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4DB7"/>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58A8"/>
    <w:rsid w:val="006D68CC"/>
    <w:rsid w:val="006D794C"/>
    <w:rsid w:val="006E0246"/>
    <w:rsid w:val="006E16D9"/>
    <w:rsid w:val="006E1CB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3134"/>
    <w:rsid w:val="00704BEF"/>
    <w:rsid w:val="00704E90"/>
    <w:rsid w:val="00705530"/>
    <w:rsid w:val="00706116"/>
    <w:rsid w:val="007061C7"/>
    <w:rsid w:val="007064C1"/>
    <w:rsid w:val="007072CD"/>
    <w:rsid w:val="00707E47"/>
    <w:rsid w:val="0071012B"/>
    <w:rsid w:val="0071051A"/>
    <w:rsid w:val="007105F2"/>
    <w:rsid w:val="00710856"/>
    <w:rsid w:val="0071094D"/>
    <w:rsid w:val="00710B62"/>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27E33"/>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49B"/>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4664"/>
    <w:rsid w:val="0076577F"/>
    <w:rsid w:val="0076629F"/>
    <w:rsid w:val="00766F03"/>
    <w:rsid w:val="0076778D"/>
    <w:rsid w:val="0077006C"/>
    <w:rsid w:val="00770864"/>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887"/>
    <w:rsid w:val="007B7E29"/>
    <w:rsid w:val="007C0379"/>
    <w:rsid w:val="007C1BBF"/>
    <w:rsid w:val="007C1C7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32AC"/>
    <w:rsid w:val="007E404D"/>
    <w:rsid w:val="007E5C6B"/>
    <w:rsid w:val="007E5CE6"/>
    <w:rsid w:val="007E69DC"/>
    <w:rsid w:val="007E6F9D"/>
    <w:rsid w:val="007E70C9"/>
    <w:rsid w:val="007E70E6"/>
    <w:rsid w:val="007E7FF2"/>
    <w:rsid w:val="007F0D75"/>
    <w:rsid w:val="007F25F1"/>
    <w:rsid w:val="007F271C"/>
    <w:rsid w:val="007F2FAF"/>
    <w:rsid w:val="007F3986"/>
    <w:rsid w:val="007F3B6B"/>
    <w:rsid w:val="007F4191"/>
    <w:rsid w:val="007F54EF"/>
    <w:rsid w:val="007F5883"/>
    <w:rsid w:val="007F7A86"/>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3EC"/>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95"/>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3D1F"/>
    <w:rsid w:val="0087567C"/>
    <w:rsid w:val="008763B2"/>
    <w:rsid w:val="00876D4E"/>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44D"/>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346"/>
    <w:rsid w:val="008D748E"/>
    <w:rsid w:val="008D7C64"/>
    <w:rsid w:val="008D7E74"/>
    <w:rsid w:val="008E0193"/>
    <w:rsid w:val="008E046C"/>
    <w:rsid w:val="008E0AF1"/>
    <w:rsid w:val="008E0D93"/>
    <w:rsid w:val="008E343A"/>
    <w:rsid w:val="008E5CEA"/>
    <w:rsid w:val="008E7C2F"/>
    <w:rsid w:val="008F02A0"/>
    <w:rsid w:val="008F0E3D"/>
    <w:rsid w:val="008F0E56"/>
    <w:rsid w:val="008F1ADD"/>
    <w:rsid w:val="008F24AD"/>
    <w:rsid w:val="008F3631"/>
    <w:rsid w:val="008F5C3C"/>
    <w:rsid w:val="008F63B8"/>
    <w:rsid w:val="008F687B"/>
    <w:rsid w:val="008F71EB"/>
    <w:rsid w:val="00900A7B"/>
    <w:rsid w:val="00901AC8"/>
    <w:rsid w:val="00901B3B"/>
    <w:rsid w:val="0090226D"/>
    <w:rsid w:val="009031DF"/>
    <w:rsid w:val="009036ED"/>
    <w:rsid w:val="00903963"/>
    <w:rsid w:val="00904EA4"/>
    <w:rsid w:val="00905B3D"/>
    <w:rsid w:val="00907438"/>
    <w:rsid w:val="00907A3B"/>
    <w:rsid w:val="00907F92"/>
    <w:rsid w:val="00910434"/>
    <w:rsid w:val="009104DB"/>
    <w:rsid w:val="0091101E"/>
    <w:rsid w:val="0091156A"/>
    <w:rsid w:val="00911ACD"/>
    <w:rsid w:val="009121B5"/>
    <w:rsid w:val="009125F4"/>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46CB5"/>
    <w:rsid w:val="009500A3"/>
    <w:rsid w:val="009500B4"/>
    <w:rsid w:val="009508B6"/>
    <w:rsid w:val="00950DFE"/>
    <w:rsid w:val="009518FE"/>
    <w:rsid w:val="00951FC1"/>
    <w:rsid w:val="009520F7"/>
    <w:rsid w:val="00952F33"/>
    <w:rsid w:val="00953734"/>
    <w:rsid w:val="00953918"/>
    <w:rsid w:val="009545DB"/>
    <w:rsid w:val="00955425"/>
    <w:rsid w:val="009561AC"/>
    <w:rsid w:val="009564A1"/>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2FA1"/>
    <w:rsid w:val="009B3101"/>
    <w:rsid w:val="009B362A"/>
    <w:rsid w:val="009B4FE6"/>
    <w:rsid w:val="009B539B"/>
    <w:rsid w:val="009B58E9"/>
    <w:rsid w:val="009B58F0"/>
    <w:rsid w:val="009B6030"/>
    <w:rsid w:val="009B6863"/>
    <w:rsid w:val="009B69D2"/>
    <w:rsid w:val="009B778D"/>
    <w:rsid w:val="009C11FF"/>
    <w:rsid w:val="009C3C26"/>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226"/>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536"/>
    <w:rsid w:val="00AE4D68"/>
    <w:rsid w:val="00AE4DCB"/>
    <w:rsid w:val="00AE50FF"/>
    <w:rsid w:val="00AE5347"/>
    <w:rsid w:val="00AE6000"/>
    <w:rsid w:val="00AF0835"/>
    <w:rsid w:val="00AF0860"/>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422"/>
    <w:rsid w:val="00B625C8"/>
    <w:rsid w:val="00B62B13"/>
    <w:rsid w:val="00B62D49"/>
    <w:rsid w:val="00B6324E"/>
    <w:rsid w:val="00B6418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5597"/>
    <w:rsid w:val="00B75DB3"/>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B6F72"/>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1D98"/>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2872"/>
    <w:rsid w:val="00C429E2"/>
    <w:rsid w:val="00C437DE"/>
    <w:rsid w:val="00C43D21"/>
    <w:rsid w:val="00C43F68"/>
    <w:rsid w:val="00C44862"/>
    <w:rsid w:val="00C44F4B"/>
    <w:rsid w:val="00C453EA"/>
    <w:rsid w:val="00C45674"/>
    <w:rsid w:val="00C459F8"/>
    <w:rsid w:val="00C46023"/>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A6C"/>
    <w:rsid w:val="00C53C83"/>
    <w:rsid w:val="00C54CE4"/>
    <w:rsid w:val="00C558B3"/>
    <w:rsid w:val="00C57FDB"/>
    <w:rsid w:val="00C60345"/>
    <w:rsid w:val="00C61FF2"/>
    <w:rsid w:val="00C624E9"/>
    <w:rsid w:val="00C6315F"/>
    <w:rsid w:val="00C6396C"/>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09CF"/>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06B"/>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C6EC3"/>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3D95"/>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37DEA"/>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90"/>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061"/>
    <w:rsid w:val="00D7737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6DDF"/>
    <w:rsid w:val="00D97455"/>
    <w:rsid w:val="00D9790B"/>
    <w:rsid w:val="00D97ACA"/>
    <w:rsid w:val="00D97B03"/>
    <w:rsid w:val="00DA0DCF"/>
    <w:rsid w:val="00DA0EAC"/>
    <w:rsid w:val="00DA117D"/>
    <w:rsid w:val="00DA1888"/>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892"/>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91B"/>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968"/>
    <w:rsid w:val="00E06F53"/>
    <w:rsid w:val="00E07033"/>
    <w:rsid w:val="00E0705F"/>
    <w:rsid w:val="00E075E5"/>
    <w:rsid w:val="00E07A62"/>
    <w:rsid w:val="00E10C74"/>
    <w:rsid w:val="00E12749"/>
    <w:rsid w:val="00E12997"/>
    <w:rsid w:val="00E12AD2"/>
    <w:rsid w:val="00E132D2"/>
    <w:rsid w:val="00E134A5"/>
    <w:rsid w:val="00E136A6"/>
    <w:rsid w:val="00E13A7D"/>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5C73"/>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3E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9C4"/>
    <w:rsid w:val="00E96D79"/>
    <w:rsid w:val="00E9705B"/>
    <w:rsid w:val="00E9771C"/>
    <w:rsid w:val="00EA001F"/>
    <w:rsid w:val="00EA087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B62E8"/>
    <w:rsid w:val="00EC0124"/>
    <w:rsid w:val="00EC0EA3"/>
    <w:rsid w:val="00EC1579"/>
    <w:rsid w:val="00EC1E10"/>
    <w:rsid w:val="00EC3CAF"/>
    <w:rsid w:val="00EC4BD2"/>
    <w:rsid w:val="00EC5668"/>
    <w:rsid w:val="00EC76DC"/>
    <w:rsid w:val="00EC7707"/>
    <w:rsid w:val="00EC7B3E"/>
    <w:rsid w:val="00ED066E"/>
    <w:rsid w:val="00ED44E6"/>
    <w:rsid w:val="00ED4968"/>
    <w:rsid w:val="00ED4FA9"/>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6F00"/>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0B87"/>
    <w:rsid w:val="00F62378"/>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10"/>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promopoiis@mfip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84D3-22C9-404B-83A2-3F48E22A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15220</Words>
  <Characters>106719</Characters>
  <Application>Microsoft Office Word</Application>
  <DocSecurity>0</DocSecurity>
  <Lines>889</Lines>
  <Paragraphs>243</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121696</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Roman Gaszczyk</cp:lastModifiedBy>
  <cp:revision>8</cp:revision>
  <cp:lastPrinted>2017-12-04T12:28:00Z</cp:lastPrinted>
  <dcterms:created xsi:type="dcterms:W3CDTF">2021-05-10T07:24:00Z</dcterms:created>
  <dcterms:modified xsi:type="dcterms:W3CDTF">2021-05-11T11:45:00Z</dcterms:modified>
</cp:coreProperties>
</file>