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257D2" w14:textId="77777777" w:rsidR="00600DEE" w:rsidRDefault="00600DEE">
      <w:pPr>
        <w:widowControl w:val="0"/>
        <w:pBdr>
          <w:top w:val="nil"/>
          <w:left w:val="nil"/>
          <w:bottom w:val="nil"/>
          <w:right w:val="nil"/>
          <w:between w:val="nil"/>
        </w:pBdr>
        <w:spacing w:line="276" w:lineRule="auto"/>
      </w:pPr>
    </w:p>
    <w:p w14:paraId="053FEB55" w14:textId="77777777" w:rsidR="00600DEE" w:rsidRDefault="00600DEE">
      <w:pPr>
        <w:ind w:right="26"/>
        <w:jc w:val="center"/>
        <w:rPr>
          <w:rFonts w:ascii="Calibri" w:eastAsia="Calibri" w:hAnsi="Calibri" w:cs="Calibri"/>
          <w:b/>
          <w:color w:val="333399"/>
        </w:rPr>
      </w:pPr>
    </w:p>
    <w:p w14:paraId="0033DFC5" w14:textId="77777777" w:rsidR="00600DEE" w:rsidRDefault="00641FB5">
      <w:pPr>
        <w:ind w:right="26"/>
        <w:jc w:val="center"/>
        <w:rPr>
          <w:rFonts w:ascii="Calibri" w:eastAsia="Calibri" w:hAnsi="Calibri" w:cs="Calibri"/>
          <w:b/>
          <w:color w:val="333399"/>
        </w:rPr>
      </w:pPr>
      <w:r>
        <w:rPr>
          <w:rFonts w:ascii="Calibri" w:eastAsia="Calibri" w:hAnsi="Calibri" w:cs="Calibri"/>
          <w:b/>
          <w:noProof/>
          <w:color w:val="333399"/>
          <w:lang w:val="en-GB" w:eastAsia="en-GB"/>
        </w:rPr>
        <w:drawing>
          <wp:inline distT="0" distB="0" distL="0" distR="0" wp14:anchorId="5F5CCA0D" wp14:editId="05C03037">
            <wp:extent cx="2663825" cy="1359535"/>
            <wp:effectExtent l="0" t="0" r="0" b="0"/>
            <wp:docPr id="53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9"/>
                    <a:srcRect/>
                    <a:stretch>
                      <a:fillRect/>
                    </a:stretch>
                  </pic:blipFill>
                  <pic:spPr>
                    <a:xfrm>
                      <a:off x="0" y="0"/>
                      <a:ext cx="2663825" cy="1359535"/>
                    </a:xfrm>
                    <a:prstGeom prst="rect">
                      <a:avLst/>
                    </a:prstGeom>
                    <a:ln/>
                  </pic:spPr>
                </pic:pic>
              </a:graphicData>
            </a:graphic>
          </wp:inline>
        </w:drawing>
      </w:r>
    </w:p>
    <w:p w14:paraId="611C2B68" w14:textId="77777777" w:rsidR="00600DEE" w:rsidRDefault="00600DEE">
      <w:pPr>
        <w:ind w:right="26"/>
        <w:jc w:val="center"/>
        <w:rPr>
          <w:rFonts w:ascii="Calibri" w:eastAsia="Calibri" w:hAnsi="Calibri" w:cs="Calibri"/>
          <w:b/>
          <w:color w:val="333399"/>
        </w:rPr>
      </w:pPr>
    </w:p>
    <w:p w14:paraId="10BA2062" w14:textId="77777777" w:rsidR="00600DEE" w:rsidRDefault="00600DEE">
      <w:pPr>
        <w:ind w:right="26"/>
        <w:jc w:val="center"/>
        <w:rPr>
          <w:rFonts w:ascii="Calibri" w:eastAsia="Calibri" w:hAnsi="Calibri" w:cs="Calibri"/>
          <w:b/>
          <w:color w:val="333399"/>
        </w:rPr>
      </w:pPr>
    </w:p>
    <w:p w14:paraId="4F790B2B" w14:textId="77777777" w:rsidR="00600DEE" w:rsidRDefault="00600DEE">
      <w:pPr>
        <w:pBdr>
          <w:top w:val="nil"/>
          <w:left w:val="nil"/>
          <w:bottom w:val="nil"/>
          <w:right w:val="nil"/>
          <w:between w:val="nil"/>
        </w:pBdr>
        <w:spacing w:before="120"/>
        <w:ind w:right="26"/>
        <w:jc w:val="both"/>
        <w:rPr>
          <w:rFonts w:ascii="Calibri" w:eastAsia="Calibri" w:hAnsi="Calibri" w:cs="Calibri"/>
          <w:b/>
          <w:color w:val="333399"/>
        </w:rPr>
      </w:pPr>
    </w:p>
    <w:p w14:paraId="71AE59F8" w14:textId="77777777" w:rsidR="00600DEE" w:rsidRDefault="00641FB5">
      <w:pPr>
        <w:pBdr>
          <w:top w:val="nil"/>
          <w:left w:val="nil"/>
          <w:bottom w:val="nil"/>
          <w:right w:val="nil"/>
          <w:between w:val="nil"/>
        </w:pBdr>
        <w:spacing w:before="120"/>
        <w:jc w:val="center"/>
        <w:rPr>
          <w:rFonts w:ascii="Calibri" w:eastAsia="Calibri" w:hAnsi="Calibri" w:cs="Calibri"/>
          <w:b/>
          <w:color w:val="4F81BD"/>
          <w:sz w:val="96"/>
          <w:szCs w:val="96"/>
        </w:rPr>
      </w:pPr>
      <w:r>
        <w:rPr>
          <w:rFonts w:ascii="Calibri" w:eastAsia="Calibri" w:hAnsi="Calibri" w:cs="Calibri"/>
          <w:b/>
          <w:color w:val="4F81BD"/>
          <w:sz w:val="96"/>
          <w:szCs w:val="96"/>
        </w:rPr>
        <w:t>Niebieska Księga</w:t>
      </w:r>
    </w:p>
    <w:p w14:paraId="48BE67C5" w14:textId="77777777" w:rsidR="00600DEE" w:rsidRDefault="00641FB5">
      <w:pPr>
        <w:pBdr>
          <w:top w:val="nil"/>
          <w:left w:val="nil"/>
          <w:bottom w:val="nil"/>
          <w:right w:val="nil"/>
          <w:between w:val="nil"/>
        </w:pBdr>
        <w:spacing w:before="120"/>
        <w:jc w:val="center"/>
        <w:rPr>
          <w:rFonts w:ascii="Calibri" w:eastAsia="Calibri" w:hAnsi="Calibri" w:cs="Calibri"/>
          <w:b/>
          <w:color w:val="4F81BD"/>
          <w:sz w:val="96"/>
          <w:szCs w:val="96"/>
        </w:rPr>
      </w:pPr>
      <w:r>
        <w:rPr>
          <w:rFonts w:ascii="Calibri" w:eastAsia="Calibri" w:hAnsi="Calibri" w:cs="Calibri"/>
          <w:b/>
          <w:color w:val="4F81BD"/>
          <w:sz w:val="96"/>
          <w:szCs w:val="96"/>
        </w:rPr>
        <w:t xml:space="preserve">Blue </w:t>
      </w:r>
      <w:proofErr w:type="spellStart"/>
      <w:r>
        <w:rPr>
          <w:rFonts w:ascii="Calibri" w:eastAsia="Calibri" w:hAnsi="Calibri" w:cs="Calibri"/>
          <w:b/>
          <w:color w:val="4F81BD"/>
          <w:sz w:val="96"/>
          <w:szCs w:val="96"/>
        </w:rPr>
        <w:t>Book</w:t>
      </w:r>
      <w:proofErr w:type="spellEnd"/>
    </w:p>
    <w:p w14:paraId="4B9FC0F7" w14:textId="77777777" w:rsidR="00600DEE" w:rsidRDefault="00600DEE">
      <w:pPr>
        <w:pBdr>
          <w:top w:val="nil"/>
          <w:left w:val="nil"/>
          <w:bottom w:val="nil"/>
          <w:right w:val="nil"/>
          <w:between w:val="nil"/>
        </w:pBdr>
        <w:spacing w:before="120"/>
        <w:ind w:right="26"/>
        <w:jc w:val="center"/>
        <w:rPr>
          <w:rFonts w:ascii="Calibri" w:eastAsia="Calibri" w:hAnsi="Calibri" w:cs="Calibri"/>
          <w:b/>
          <w:color w:val="4F81BD"/>
          <w:sz w:val="48"/>
          <w:szCs w:val="48"/>
        </w:rPr>
      </w:pPr>
    </w:p>
    <w:p w14:paraId="4ABA99BF" w14:textId="77777777" w:rsidR="00600DEE" w:rsidRDefault="00600DEE">
      <w:pPr>
        <w:pBdr>
          <w:top w:val="nil"/>
          <w:left w:val="nil"/>
          <w:bottom w:val="nil"/>
          <w:right w:val="nil"/>
          <w:between w:val="nil"/>
        </w:pBdr>
        <w:spacing w:before="120"/>
        <w:ind w:right="26"/>
        <w:jc w:val="center"/>
        <w:rPr>
          <w:rFonts w:ascii="Calibri" w:eastAsia="Calibri" w:hAnsi="Calibri" w:cs="Calibri"/>
          <w:b/>
          <w:color w:val="4F81BD"/>
          <w:sz w:val="32"/>
          <w:szCs w:val="32"/>
        </w:rPr>
      </w:pPr>
    </w:p>
    <w:p w14:paraId="73A9224E" w14:textId="77777777" w:rsidR="00600DEE" w:rsidRPr="00132C08" w:rsidRDefault="00641FB5">
      <w:pPr>
        <w:pBdr>
          <w:top w:val="nil"/>
          <w:left w:val="nil"/>
          <w:bottom w:val="nil"/>
          <w:right w:val="nil"/>
          <w:between w:val="nil"/>
        </w:pBdr>
        <w:spacing w:before="120"/>
        <w:jc w:val="center"/>
        <w:rPr>
          <w:rFonts w:ascii="Calibri" w:eastAsia="Calibri" w:hAnsi="Calibri" w:cs="Calibri"/>
          <w:b/>
          <w:color w:val="4F81BD"/>
          <w:sz w:val="32"/>
          <w:szCs w:val="32"/>
        </w:rPr>
      </w:pPr>
      <w:r w:rsidRPr="00132C08">
        <w:rPr>
          <w:rFonts w:ascii="Calibri" w:eastAsia="Calibri" w:hAnsi="Calibri" w:cs="Calibri"/>
          <w:b/>
          <w:color w:val="4F81BD"/>
          <w:sz w:val="32"/>
          <w:szCs w:val="32"/>
        </w:rPr>
        <w:t>Wydanie uaktualnione</w:t>
      </w:r>
    </w:p>
    <w:p w14:paraId="3A95F615" w14:textId="77777777" w:rsidR="00600DEE" w:rsidRPr="008C4407" w:rsidRDefault="00641FB5">
      <w:pPr>
        <w:pBdr>
          <w:top w:val="nil"/>
          <w:left w:val="nil"/>
          <w:bottom w:val="nil"/>
          <w:right w:val="nil"/>
          <w:between w:val="nil"/>
        </w:pBdr>
        <w:spacing w:before="120"/>
        <w:jc w:val="center"/>
        <w:rPr>
          <w:rFonts w:ascii="Calibri" w:eastAsia="Calibri" w:hAnsi="Calibri" w:cs="Calibri"/>
          <w:b/>
          <w:color w:val="4F81BD"/>
          <w:sz w:val="32"/>
          <w:szCs w:val="32"/>
        </w:rPr>
      </w:pPr>
      <w:proofErr w:type="spellStart"/>
      <w:r w:rsidRPr="008C4407">
        <w:rPr>
          <w:rFonts w:ascii="Calibri" w:eastAsia="Calibri" w:hAnsi="Calibri" w:cs="Calibri"/>
          <w:b/>
          <w:color w:val="4F81BD"/>
          <w:sz w:val="32"/>
          <w:szCs w:val="32"/>
        </w:rPr>
        <w:t>Revised</w:t>
      </w:r>
      <w:proofErr w:type="spellEnd"/>
      <w:r w:rsidRPr="008C4407">
        <w:rPr>
          <w:rFonts w:ascii="Calibri" w:eastAsia="Calibri" w:hAnsi="Calibri" w:cs="Calibri"/>
          <w:b/>
          <w:color w:val="4F81BD"/>
          <w:sz w:val="32"/>
          <w:szCs w:val="32"/>
        </w:rPr>
        <w:t xml:space="preserve"> </w:t>
      </w:r>
      <w:proofErr w:type="spellStart"/>
      <w:r w:rsidRPr="008C4407">
        <w:rPr>
          <w:rFonts w:ascii="Calibri" w:eastAsia="Calibri" w:hAnsi="Calibri" w:cs="Calibri"/>
          <w:b/>
          <w:color w:val="4F81BD"/>
          <w:sz w:val="32"/>
          <w:szCs w:val="32"/>
        </w:rPr>
        <w:t>edition</w:t>
      </w:r>
      <w:proofErr w:type="spellEnd"/>
    </w:p>
    <w:p w14:paraId="3F2F2958" w14:textId="77777777" w:rsidR="00132C08" w:rsidRPr="008C4407" w:rsidRDefault="00132C08">
      <w:pPr>
        <w:pBdr>
          <w:top w:val="nil"/>
          <w:left w:val="nil"/>
          <w:bottom w:val="nil"/>
          <w:right w:val="nil"/>
          <w:between w:val="nil"/>
        </w:pBdr>
        <w:spacing w:before="120"/>
        <w:jc w:val="center"/>
        <w:rPr>
          <w:rFonts w:ascii="Calibri" w:eastAsia="Calibri" w:hAnsi="Calibri" w:cs="Calibri"/>
          <w:b/>
          <w:color w:val="4F81BD"/>
          <w:sz w:val="32"/>
          <w:szCs w:val="32"/>
        </w:rPr>
      </w:pPr>
    </w:p>
    <w:p w14:paraId="260E6543" w14:textId="76ED4ACE" w:rsidR="00600DEE" w:rsidRPr="008C4407" w:rsidRDefault="007463B9">
      <w:pPr>
        <w:pBdr>
          <w:top w:val="nil"/>
          <w:left w:val="nil"/>
          <w:bottom w:val="nil"/>
          <w:right w:val="nil"/>
          <w:between w:val="nil"/>
        </w:pBdr>
        <w:spacing w:before="120"/>
        <w:jc w:val="center"/>
        <w:rPr>
          <w:rFonts w:ascii="Calibri" w:eastAsia="Calibri" w:hAnsi="Calibri" w:cs="Calibri"/>
          <w:b/>
          <w:color w:val="4F81BD"/>
          <w:sz w:val="32"/>
          <w:szCs w:val="32"/>
        </w:rPr>
      </w:pPr>
      <w:r w:rsidRPr="008C4407">
        <w:rPr>
          <w:rFonts w:ascii="Calibri" w:eastAsia="Calibri" w:hAnsi="Calibri" w:cs="Calibri"/>
          <w:b/>
          <w:color w:val="4F81BD"/>
          <w:sz w:val="32"/>
          <w:szCs w:val="32"/>
        </w:rPr>
        <w:t>March</w:t>
      </w:r>
      <w:r w:rsidR="008C36AC" w:rsidRPr="008C4407">
        <w:rPr>
          <w:rFonts w:ascii="Calibri" w:eastAsia="Calibri" w:hAnsi="Calibri" w:cs="Calibri"/>
          <w:b/>
          <w:color w:val="4F81BD"/>
          <w:sz w:val="32"/>
          <w:szCs w:val="32"/>
        </w:rPr>
        <w:t xml:space="preserve"> </w:t>
      </w:r>
      <w:r w:rsidR="00641FB5" w:rsidRPr="008C4407">
        <w:rPr>
          <w:rFonts w:ascii="Calibri" w:eastAsia="Calibri" w:hAnsi="Calibri" w:cs="Calibri"/>
          <w:b/>
          <w:color w:val="4F81BD"/>
          <w:sz w:val="32"/>
          <w:szCs w:val="32"/>
        </w:rPr>
        <w:t>202</w:t>
      </w:r>
      <w:r w:rsidR="008C36AC" w:rsidRPr="008C4407">
        <w:rPr>
          <w:rFonts w:ascii="Calibri" w:eastAsia="Calibri" w:hAnsi="Calibri" w:cs="Calibri"/>
          <w:b/>
          <w:color w:val="4F81BD"/>
          <w:sz w:val="32"/>
          <w:szCs w:val="32"/>
        </w:rPr>
        <w:t>2</w:t>
      </w:r>
    </w:p>
    <w:p w14:paraId="33408CB9" w14:textId="6340CD20" w:rsidR="00600DEE" w:rsidRPr="008C4407" w:rsidRDefault="007463B9">
      <w:pPr>
        <w:pBdr>
          <w:top w:val="nil"/>
          <w:left w:val="nil"/>
          <w:bottom w:val="nil"/>
          <w:right w:val="nil"/>
          <w:between w:val="nil"/>
        </w:pBdr>
        <w:spacing w:before="120"/>
        <w:jc w:val="center"/>
        <w:rPr>
          <w:rFonts w:ascii="Calibri" w:eastAsia="Calibri" w:hAnsi="Calibri" w:cs="Calibri"/>
          <w:b/>
          <w:color w:val="4F81BD"/>
          <w:sz w:val="32"/>
          <w:szCs w:val="32"/>
        </w:rPr>
      </w:pPr>
      <w:r w:rsidRPr="008C4407">
        <w:rPr>
          <w:rFonts w:ascii="Calibri" w:eastAsia="Calibri" w:hAnsi="Calibri" w:cs="Calibri"/>
          <w:b/>
          <w:color w:val="4F81BD"/>
          <w:sz w:val="32"/>
          <w:szCs w:val="32"/>
        </w:rPr>
        <w:t>Marzec</w:t>
      </w:r>
      <w:r w:rsidR="004D5549" w:rsidRPr="008C4407">
        <w:rPr>
          <w:rFonts w:ascii="Calibri" w:eastAsia="Calibri" w:hAnsi="Calibri" w:cs="Calibri"/>
          <w:b/>
          <w:color w:val="4F81BD"/>
          <w:sz w:val="32"/>
          <w:szCs w:val="32"/>
        </w:rPr>
        <w:t xml:space="preserve"> 2022</w:t>
      </w:r>
      <w:r w:rsidR="00641FB5" w:rsidRPr="008C4407">
        <w:rPr>
          <w:rFonts w:ascii="Calibri" w:eastAsia="Calibri" w:hAnsi="Calibri" w:cs="Calibri"/>
          <w:b/>
          <w:color w:val="4F81BD"/>
          <w:sz w:val="32"/>
          <w:szCs w:val="32"/>
        </w:rPr>
        <w:t xml:space="preserve"> </w:t>
      </w:r>
    </w:p>
    <w:p w14:paraId="0E67CB5F" w14:textId="77777777" w:rsidR="00600DEE" w:rsidRPr="008C4407" w:rsidRDefault="00600DEE">
      <w:pPr>
        <w:jc w:val="center"/>
        <w:rPr>
          <w:rFonts w:ascii="Calibri" w:eastAsia="Calibri" w:hAnsi="Calibri" w:cs="Calibri"/>
          <w:b/>
          <w:color w:val="4F81BD"/>
          <w:sz w:val="48"/>
          <w:szCs w:val="48"/>
        </w:rPr>
      </w:pPr>
    </w:p>
    <w:p w14:paraId="3EF1B907" w14:textId="77777777" w:rsidR="00600DEE" w:rsidRPr="008C4407" w:rsidRDefault="00641FB5">
      <w:pPr>
        <w:jc w:val="center"/>
        <w:rPr>
          <w:rFonts w:ascii="Calibri" w:eastAsia="Calibri" w:hAnsi="Calibri" w:cs="Calibri"/>
          <w:b/>
          <w:color w:val="4F81BD"/>
          <w:sz w:val="56"/>
          <w:szCs w:val="56"/>
        </w:rPr>
      </w:pPr>
      <w:r w:rsidRPr="008C4407">
        <w:rPr>
          <w:rFonts w:ascii="Calibri" w:eastAsia="Calibri" w:hAnsi="Calibri" w:cs="Calibri"/>
          <w:b/>
          <w:color w:val="4F81BD"/>
          <w:sz w:val="56"/>
          <w:szCs w:val="56"/>
        </w:rPr>
        <w:t>Infrastruktura drogowa</w:t>
      </w:r>
    </w:p>
    <w:p w14:paraId="5A542040" w14:textId="77777777" w:rsidR="00600DEE" w:rsidRPr="00132C08" w:rsidRDefault="00641FB5">
      <w:pPr>
        <w:jc w:val="center"/>
        <w:rPr>
          <w:rFonts w:ascii="Calibri" w:eastAsia="Calibri" w:hAnsi="Calibri" w:cs="Calibri"/>
          <w:b/>
          <w:color w:val="4F81BD"/>
          <w:sz w:val="56"/>
          <w:szCs w:val="56"/>
          <w:lang w:val="en-GB"/>
        </w:rPr>
      </w:pPr>
      <w:r w:rsidRPr="00132C08">
        <w:rPr>
          <w:rFonts w:ascii="Calibri" w:eastAsia="Calibri" w:hAnsi="Calibri" w:cs="Calibri"/>
          <w:b/>
          <w:color w:val="4F81BD"/>
          <w:sz w:val="56"/>
          <w:szCs w:val="56"/>
          <w:lang w:val="en-GB"/>
        </w:rPr>
        <w:t>Road Infrastructure</w:t>
      </w:r>
    </w:p>
    <w:p w14:paraId="686627DD" w14:textId="7F3CEB36" w:rsidR="00600DEE" w:rsidRPr="00132C08" w:rsidRDefault="00600DEE">
      <w:pPr>
        <w:pBdr>
          <w:top w:val="nil"/>
          <w:left w:val="nil"/>
          <w:bottom w:val="nil"/>
          <w:right w:val="nil"/>
          <w:between w:val="nil"/>
        </w:pBdr>
        <w:tabs>
          <w:tab w:val="left" w:pos="357"/>
          <w:tab w:val="right" w:pos="8222"/>
        </w:tabs>
        <w:spacing w:before="120"/>
        <w:rPr>
          <w:rFonts w:ascii="Calibri" w:eastAsia="Calibri" w:hAnsi="Calibri" w:cs="Calibri"/>
          <w:color w:val="333399"/>
          <w:sz w:val="48"/>
          <w:szCs w:val="48"/>
          <w:lang w:val="en-GB"/>
        </w:rPr>
      </w:pPr>
      <w:bookmarkStart w:id="0" w:name="_heading=h.gjdgxs" w:colFirst="0" w:colLast="0"/>
      <w:bookmarkEnd w:id="0"/>
    </w:p>
    <w:p w14:paraId="32804534" w14:textId="77777777" w:rsidR="008C36AC" w:rsidRPr="00132C08" w:rsidRDefault="008C36AC">
      <w:pPr>
        <w:pBdr>
          <w:top w:val="nil"/>
          <w:left w:val="nil"/>
          <w:bottom w:val="nil"/>
          <w:right w:val="nil"/>
          <w:between w:val="nil"/>
        </w:pBdr>
        <w:tabs>
          <w:tab w:val="left" w:pos="357"/>
          <w:tab w:val="right" w:pos="8222"/>
        </w:tabs>
        <w:spacing w:before="120"/>
        <w:rPr>
          <w:rFonts w:ascii="Calibri" w:eastAsia="Calibri" w:hAnsi="Calibri" w:cs="Calibri"/>
          <w:color w:val="333399"/>
          <w:sz w:val="48"/>
          <w:szCs w:val="48"/>
          <w:lang w:val="en-GB"/>
        </w:rPr>
      </w:pPr>
    </w:p>
    <w:p w14:paraId="62C5F609" w14:textId="77777777" w:rsidR="00AA44B4" w:rsidRPr="00132C08" w:rsidRDefault="00641FB5" w:rsidP="00AA44B4">
      <w:pPr>
        <w:pBdr>
          <w:top w:val="nil"/>
          <w:left w:val="nil"/>
          <w:bottom w:val="nil"/>
          <w:right w:val="nil"/>
          <w:between w:val="nil"/>
        </w:pBdr>
        <w:tabs>
          <w:tab w:val="left" w:pos="357"/>
          <w:tab w:val="right" w:pos="8222"/>
        </w:tabs>
        <w:spacing w:before="120"/>
        <w:rPr>
          <w:rFonts w:ascii="Calibri" w:eastAsia="Calibri" w:hAnsi="Calibri" w:cs="Calibri"/>
          <w:color w:val="333399"/>
          <w:lang w:val="en-GB"/>
        </w:rPr>
      </w:pPr>
      <w:r w:rsidRPr="00132C08">
        <w:rPr>
          <w:rFonts w:ascii="Calibri" w:eastAsia="Calibri" w:hAnsi="Calibri" w:cs="Calibri"/>
          <w:color w:val="333399"/>
          <w:lang w:val="en-GB"/>
        </w:rPr>
        <w:t xml:space="preserve"> </w:t>
      </w:r>
    </w:p>
    <w:p w14:paraId="3219C6B1" w14:textId="4C187ED1" w:rsidR="00600DEE" w:rsidRPr="00132C08" w:rsidRDefault="00641FB5" w:rsidP="00AA44B4">
      <w:pPr>
        <w:pBdr>
          <w:top w:val="nil"/>
          <w:left w:val="nil"/>
          <w:bottom w:val="nil"/>
          <w:right w:val="nil"/>
          <w:between w:val="nil"/>
        </w:pBdr>
        <w:tabs>
          <w:tab w:val="left" w:pos="357"/>
          <w:tab w:val="right" w:pos="8222"/>
        </w:tabs>
        <w:spacing w:before="120"/>
        <w:rPr>
          <w:rFonts w:ascii="Calibri" w:eastAsia="Calibri" w:hAnsi="Calibri" w:cs="Calibri"/>
          <w:color w:val="0070C0"/>
          <w:sz w:val="32"/>
          <w:szCs w:val="32"/>
          <w:lang w:val="en-GB"/>
        </w:rPr>
      </w:pPr>
      <w:proofErr w:type="spellStart"/>
      <w:r w:rsidRPr="00132C08">
        <w:rPr>
          <w:rFonts w:ascii="Calibri" w:eastAsia="Calibri" w:hAnsi="Calibri" w:cs="Calibri"/>
          <w:color w:val="0070C0"/>
          <w:sz w:val="32"/>
          <w:szCs w:val="32"/>
          <w:lang w:val="en-GB"/>
        </w:rPr>
        <w:lastRenderedPageBreak/>
        <w:t>Spis</w:t>
      </w:r>
      <w:proofErr w:type="spellEnd"/>
      <w:r w:rsidRPr="00132C08">
        <w:rPr>
          <w:rFonts w:ascii="Calibri" w:eastAsia="Calibri" w:hAnsi="Calibri" w:cs="Calibri"/>
          <w:color w:val="0070C0"/>
          <w:sz w:val="32"/>
          <w:szCs w:val="32"/>
          <w:lang w:val="en-GB"/>
        </w:rPr>
        <w:t xml:space="preserve"> </w:t>
      </w:r>
      <w:proofErr w:type="spellStart"/>
      <w:r w:rsidRPr="00132C08">
        <w:rPr>
          <w:rFonts w:ascii="Calibri" w:eastAsia="Calibri" w:hAnsi="Calibri" w:cs="Calibri"/>
          <w:color w:val="0070C0"/>
          <w:sz w:val="32"/>
          <w:szCs w:val="32"/>
          <w:lang w:val="en-GB"/>
        </w:rPr>
        <w:t>treści</w:t>
      </w:r>
      <w:proofErr w:type="spellEnd"/>
      <w:r w:rsidRPr="00132C08">
        <w:rPr>
          <w:rFonts w:ascii="Calibri" w:eastAsia="Calibri" w:hAnsi="Calibri" w:cs="Calibri"/>
          <w:color w:val="0070C0"/>
          <w:sz w:val="32"/>
          <w:szCs w:val="32"/>
          <w:lang w:val="en-GB"/>
        </w:rPr>
        <w:t xml:space="preserve"> </w:t>
      </w:r>
      <w:r w:rsidRPr="00132C08">
        <w:rPr>
          <w:rFonts w:ascii="Calibri" w:eastAsia="Calibri" w:hAnsi="Calibri" w:cs="Calibri"/>
          <w:i/>
          <w:color w:val="0070C0"/>
          <w:sz w:val="32"/>
          <w:szCs w:val="32"/>
          <w:lang w:val="en-GB"/>
        </w:rPr>
        <w:t>Table of Contents</w:t>
      </w:r>
    </w:p>
    <w:sdt>
      <w:sdtPr>
        <w:rPr>
          <w:rFonts w:ascii="Times New Roman" w:eastAsia="Times New Roman" w:hAnsi="Times New Roman" w:cs="Times New Roman"/>
          <w:noProof/>
          <w:snapToGrid w:val="0"/>
          <w:color w:val="auto"/>
          <w:sz w:val="24"/>
          <w:szCs w:val="24"/>
          <w:lang w:val="en-US" w:eastAsia="ja-JP"/>
        </w:rPr>
        <w:id w:val="-20241564"/>
        <w:docPartObj>
          <w:docPartGallery w:val="Table of Contents"/>
          <w:docPartUnique/>
        </w:docPartObj>
      </w:sdtPr>
      <w:sdtEndPr>
        <w:rPr>
          <w:rFonts w:ascii="Arial Narrow" w:hAnsi="Arial Narrow"/>
          <w:b/>
          <w:bCs/>
          <w:color w:val="333399"/>
        </w:rPr>
      </w:sdtEndPr>
      <w:sdtContent>
        <w:p w14:paraId="7B847D23" w14:textId="1C7D4848" w:rsidR="006543EE" w:rsidRPr="00132C08" w:rsidRDefault="008F06BF" w:rsidP="003365B1">
          <w:pPr>
            <w:pStyle w:val="Nagwekspisutreci"/>
            <w:rPr>
              <w:rFonts w:ascii="Calibri" w:eastAsia="Calibri" w:hAnsi="Calibri" w:cs="Calibri"/>
              <w:color w:val="0070C0"/>
              <w:sz w:val="24"/>
              <w:szCs w:val="24"/>
              <w:lang w:val="en-GB"/>
            </w:rPr>
          </w:pPr>
          <w:r w:rsidRPr="00D4323B">
            <w:rPr>
              <w:sz w:val="22"/>
              <w:szCs w:val="22"/>
            </w:rPr>
            <w:fldChar w:fldCharType="begin"/>
          </w:r>
          <w:r w:rsidRPr="00132C08">
            <w:rPr>
              <w:sz w:val="22"/>
              <w:szCs w:val="22"/>
              <w:lang w:val="en-GB"/>
            </w:rPr>
            <w:instrText xml:space="preserve"> TOC \o "1-3" \u </w:instrText>
          </w:r>
          <w:r w:rsidRPr="00D4323B">
            <w:rPr>
              <w:sz w:val="22"/>
              <w:szCs w:val="22"/>
            </w:rPr>
            <w:fldChar w:fldCharType="separate"/>
          </w:r>
          <w:r w:rsidR="00343533" w:rsidRPr="00132C08">
            <w:rPr>
              <w:rFonts w:ascii="Noto Sans Symbols" w:eastAsia="Noto Sans Symbols" w:hAnsi="Noto Sans Symbols" w:cs="Noto Sans Symbols"/>
              <w:color w:val="0070C0"/>
              <w:sz w:val="24"/>
              <w:szCs w:val="24"/>
              <w:lang w:val="en-GB"/>
            </w:rPr>
            <w:t>▪</w:t>
          </w:r>
          <w:r w:rsidR="00343533" w:rsidRPr="00132C08">
            <w:rPr>
              <w:rFonts w:asciiTheme="minorHAnsi" w:eastAsiaTheme="minorEastAsia" w:hAnsiTheme="minorHAnsi" w:cstheme="minorBidi"/>
              <w:color w:val="auto"/>
              <w:sz w:val="24"/>
              <w:szCs w:val="24"/>
              <w:lang w:val="en-GB" w:eastAsia="en-GB"/>
            </w:rPr>
            <w:tab/>
          </w:r>
          <w:r w:rsidR="00343533" w:rsidRPr="00132C08">
            <w:rPr>
              <w:rFonts w:ascii="Calibri" w:eastAsia="Calibri" w:hAnsi="Calibri" w:cs="Calibri"/>
              <w:color w:val="0070C0"/>
              <w:sz w:val="24"/>
              <w:szCs w:val="24"/>
              <w:lang w:val="en-GB"/>
            </w:rPr>
            <w:t xml:space="preserve">Wprowadzenie           </w:t>
          </w:r>
        </w:p>
        <w:p w14:paraId="4969D27C" w14:textId="58DEEF05" w:rsidR="00343533" w:rsidRPr="00374F74" w:rsidRDefault="00343533">
          <w:pPr>
            <w:pStyle w:val="Spistreci1"/>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i/>
              <w:color w:val="0070C0"/>
              <w:lang w:val="en-GB"/>
            </w:rPr>
            <w:t>Background</w:t>
          </w:r>
          <w:r w:rsidRPr="00374F74">
            <w:rPr>
              <w:lang w:val="en-GB"/>
            </w:rPr>
            <w:tab/>
          </w:r>
          <w:r>
            <w:fldChar w:fldCharType="begin"/>
          </w:r>
          <w:r w:rsidRPr="00374F74">
            <w:rPr>
              <w:lang w:val="en-GB"/>
            </w:rPr>
            <w:instrText xml:space="preserve"> PAGEREF _Toc95377958 \h </w:instrText>
          </w:r>
          <w:r>
            <w:fldChar w:fldCharType="separate"/>
          </w:r>
          <w:r w:rsidRPr="00374F74">
            <w:rPr>
              <w:lang w:val="en-GB"/>
            </w:rPr>
            <w:t>5</w:t>
          </w:r>
          <w:r>
            <w:fldChar w:fldCharType="end"/>
          </w:r>
        </w:p>
        <w:p w14:paraId="62A7DEA9" w14:textId="77777777" w:rsidR="006543EE" w:rsidRDefault="00343533">
          <w:pPr>
            <w:pStyle w:val="Spistreci2"/>
            <w:tabs>
              <w:tab w:val="left" w:pos="1989"/>
            </w:tabs>
            <w:rPr>
              <w:rFonts w:ascii="Calibri" w:eastAsia="Calibri" w:hAnsi="Calibri" w:cs="Calibri"/>
              <w:color w:val="4F81BD"/>
            </w:rPr>
          </w:pPr>
          <w:r w:rsidRPr="003D16D1">
            <w:rPr>
              <w:rFonts w:ascii="Calibri" w:eastAsia="Calibri" w:hAnsi="Calibri" w:cs="Calibri"/>
              <w:color w:val="4F81BD"/>
            </w:rPr>
            <w:t>Cel podręcznika</w:t>
          </w:r>
          <w:r>
            <w:rPr>
              <w:rFonts w:asciiTheme="minorHAnsi" w:eastAsiaTheme="minorEastAsia" w:hAnsiTheme="minorHAnsi" w:cstheme="minorBidi"/>
              <w:snapToGrid/>
              <w:color w:val="auto"/>
              <w:szCs w:val="22"/>
              <w:lang w:val="en-GB" w:eastAsia="en-GB"/>
            </w:rPr>
            <w:tab/>
          </w:r>
          <w:r w:rsidRPr="003D16D1">
            <w:rPr>
              <w:rFonts w:ascii="Calibri" w:eastAsia="Calibri" w:hAnsi="Calibri" w:cs="Calibri"/>
              <w:color w:val="4F81BD"/>
            </w:rPr>
            <w:t xml:space="preserve">             </w:t>
          </w:r>
        </w:p>
        <w:p w14:paraId="7BBCB031" w14:textId="5B302FD5" w:rsidR="00343533" w:rsidRDefault="00343533">
          <w:pPr>
            <w:pStyle w:val="Spistreci2"/>
            <w:tabs>
              <w:tab w:val="left" w:pos="1989"/>
            </w:tabs>
            <w:rPr>
              <w:rFonts w:asciiTheme="minorHAnsi" w:eastAsiaTheme="minorEastAsia" w:hAnsiTheme="minorHAnsi" w:cstheme="minorBidi"/>
              <w:snapToGrid/>
              <w:color w:val="auto"/>
              <w:szCs w:val="22"/>
              <w:lang w:val="en-GB" w:eastAsia="en-GB"/>
            </w:rPr>
          </w:pPr>
          <w:r w:rsidRPr="003D16D1">
            <w:rPr>
              <w:rFonts w:ascii="Calibri" w:eastAsia="Calibri" w:hAnsi="Calibri" w:cs="Calibri"/>
              <w:color w:val="4F81BD"/>
            </w:rPr>
            <w:t xml:space="preserve"> </w:t>
          </w:r>
          <w:r w:rsidRPr="003D16D1">
            <w:rPr>
              <w:rFonts w:ascii="Calibri" w:eastAsia="Calibri" w:hAnsi="Calibri" w:cs="Calibri"/>
              <w:i/>
              <w:color w:val="4F81BD"/>
            </w:rPr>
            <w:t>Purpose of the manual</w:t>
          </w:r>
          <w:r>
            <w:tab/>
          </w:r>
          <w:r>
            <w:fldChar w:fldCharType="begin"/>
          </w:r>
          <w:r>
            <w:instrText xml:space="preserve"> PAGEREF _Toc95377959 \h </w:instrText>
          </w:r>
          <w:r>
            <w:fldChar w:fldCharType="separate"/>
          </w:r>
          <w:r>
            <w:t>5</w:t>
          </w:r>
          <w:r>
            <w:fldChar w:fldCharType="end"/>
          </w:r>
        </w:p>
        <w:p w14:paraId="2107D3DA" w14:textId="77777777" w:rsidR="006543EE" w:rsidRPr="00374F74" w:rsidRDefault="00343533">
          <w:pPr>
            <w:pStyle w:val="Spistreci2"/>
            <w:tabs>
              <w:tab w:val="left" w:pos="3361"/>
            </w:tabs>
            <w:rPr>
              <w:rFonts w:ascii="Calibri" w:eastAsia="Calibri" w:hAnsi="Calibri" w:cs="Calibri"/>
              <w:color w:val="4F81BD"/>
              <w:lang w:val="pl-PL"/>
            </w:rPr>
          </w:pPr>
          <w:r w:rsidRPr="00374F74">
            <w:rPr>
              <w:rFonts w:ascii="Calibri" w:eastAsia="Calibri" w:hAnsi="Calibri" w:cs="Calibri"/>
              <w:color w:val="4F81BD"/>
              <w:lang w:val="pl-PL"/>
            </w:rPr>
            <w:t>Tło przygotowania podręcznika</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          </w:t>
          </w:r>
        </w:p>
        <w:p w14:paraId="10C03D24" w14:textId="7B485593" w:rsidR="00343533" w:rsidRPr="00374F74" w:rsidRDefault="00343533">
          <w:pPr>
            <w:pStyle w:val="Spistreci2"/>
            <w:tabs>
              <w:tab w:val="left" w:pos="3361"/>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color w:val="4F81BD"/>
              <w:lang w:val="pl-PL"/>
            </w:rPr>
            <w:t xml:space="preserve"> </w:t>
          </w:r>
          <w:r w:rsidRPr="00374F74">
            <w:rPr>
              <w:rFonts w:ascii="Calibri" w:eastAsia="Calibri" w:hAnsi="Calibri" w:cs="Calibri"/>
              <w:i/>
              <w:color w:val="4F81BD"/>
              <w:lang w:val="pl-PL"/>
            </w:rPr>
            <w:t>Background of the manual preparation</w:t>
          </w:r>
          <w:r w:rsidRPr="00374F74">
            <w:rPr>
              <w:lang w:val="pl-PL"/>
            </w:rPr>
            <w:tab/>
          </w:r>
          <w:r>
            <w:fldChar w:fldCharType="begin"/>
          </w:r>
          <w:r w:rsidRPr="00374F74">
            <w:rPr>
              <w:lang w:val="pl-PL"/>
            </w:rPr>
            <w:instrText xml:space="preserve"> PAGEREF _Toc95377960 \h </w:instrText>
          </w:r>
          <w:r>
            <w:fldChar w:fldCharType="separate"/>
          </w:r>
          <w:r w:rsidRPr="00374F74">
            <w:rPr>
              <w:lang w:val="pl-PL"/>
            </w:rPr>
            <w:t>7</w:t>
          </w:r>
          <w:r>
            <w:fldChar w:fldCharType="end"/>
          </w:r>
        </w:p>
        <w:p w14:paraId="1728C8FE" w14:textId="77777777" w:rsidR="006543EE" w:rsidRPr="00374F74" w:rsidRDefault="00343533">
          <w:pPr>
            <w:pStyle w:val="Spistreci2"/>
            <w:tabs>
              <w:tab w:val="left" w:pos="2292"/>
            </w:tabs>
            <w:rPr>
              <w:rFonts w:ascii="Calibri" w:eastAsia="Calibri" w:hAnsi="Calibri" w:cs="Calibri"/>
              <w:color w:val="4F81BD"/>
              <w:lang w:val="pl-PL"/>
            </w:rPr>
          </w:pPr>
          <w:r w:rsidRPr="00374F74">
            <w:rPr>
              <w:rFonts w:ascii="Calibri" w:eastAsia="Calibri" w:hAnsi="Calibri" w:cs="Calibri"/>
              <w:color w:val="4F81BD"/>
              <w:lang w:val="pl-PL"/>
            </w:rPr>
            <w:t>Zakres podręcznika</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            </w:t>
          </w:r>
        </w:p>
        <w:p w14:paraId="39F652F0" w14:textId="37FACA18" w:rsidR="00343533" w:rsidRPr="00374F74" w:rsidRDefault="00343533">
          <w:pPr>
            <w:pStyle w:val="Spistreci2"/>
            <w:tabs>
              <w:tab w:val="left" w:pos="2292"/>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color w:val="4F81BD"/>
              <w:lang w:val="pl-PL"/>
            </w:rPr>
            <w:t xml:space="preserve"> </w:t>
          </w:r>
          <w:r w:rsidRPr="00374F74">
            <w:rPr>
              <w:rFonts w:ascii="Calibri" w:eastAsia="Calibri" w:hAnsi="Calibri" w:cs="Calibri"/>
              <w:i/>
              <w:color w:val="4F81BD"/>
              <w:lang w:val="pl-PL"/>
            </w:rPr>
            <w:t>Scope of the manual</w:t>
          </w:r>
          <w:r w:rsidRPr="00374F74">
            <w:rPr>
              <w:lang w:val="pl-PL"/>
            </w:rPr>
            <w:tab/>
          </w:r>
          <w:r w:rsidR="00573A14" w:rsidRPr="00374F74">
            <w:rPr>
              <w:lang w:val="pl-PL"/>
            </w:rPr>
            <w:tab/>
          </w:r>
          <w:r>
            <w:fldChar w:fldCharType="begin"/>
          </w:r>
          <w:r w:rsidRPr="00374F74">
            <w:rPr>
              <w:lang w:val="pl-PL"/>
            </w:rPr>
            <w:instrText xml:space="preserve"> PAGEREF _Toc95377961 \h </w:instrText>
          </w:r>
          <w:r>
            <w:fldChar w:fldCharType="separate"/>
          </w:r>
          <w:r w:rsidRPr="00374F74">
            <w:rPr>
              <w:lang w:val="pl-PL"/>
            </w:rPr>
            <w:t>9</w:t>
          </w:r>
          <w:r>
            <w:fldChar w:fldCharType="end"/>
          </w:r>
        </w:p>
        <w:p w14:paraId="6379987A" w14:textId="77777777" w:rsidR="006543EE" w:rsidRPr="00374F74" w:rsidRDefault="00343533">
          <w:pPr>
            <w:pStyle w:val="Spistreci2"/>
            <w:tabs>
              <w:tab w:val="left" w:pos="6088"/>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color w:val="4F81BD"/>
              <w:lang w:val="pl-PL"/>
            </w:rPr>
            <w:t>Zawartość i zakres analizy kosztów i korzyści oraz jej struktura</w:t>
          </w:r>
          <w:r w:rsidRPr="00374F74">
            <w:rPr>
              <w:rFonts w:asciiTheme="minorHAnsi" w:eastAsiaTheme="minorEastAsia" w:hAnsiTheme="minorHAnsi" w:cstheme="minorBidi"/>
              <w:snapToGrid/>
              <w:color w:val="auto"/>
              <w:szCs w:val="22"/>
              <w:lang w:val="pl-PL" w:eastAsia="en-GB"/>
            </w:rPr>
            <w:tab/>
          </w:r>
        </w:p>
        <w:p w14:paraId="39D89841" w14:textId="66E7BE3A" w:rsidR="00343533" w:rsidRDefault="00343533">
          <w:pPr>
            <w:pStyle w:val="Spistreci2"/>
            <w:tabs>
              <w:tab w:val="left" w:pos="6088"/>
            </w:tabs>
            <w:rPr>
              <w:rFonts w:asciiTheme="minorHAnsi" w:eastAsiaTheme="minorEastAsia" w:hAnsiTheme="minorHAnsi" w:cstheme="minorBidi"/>
              <w:snapToGrid/>
              <w:color w:val="auto"/>
              <w:szCs w:val="22"/>
              <w:lang w:val="en-GB" w:eastAsia="en-GB"/>
            </w:rPr>
          </w:pPr>
          <w:r w:rsidRPr="00374F74">
            <w:rPr>
              <w:rFonts w:ascii="Calibri" w:eastAsia="Calibri" w:hAnsi="Calibri" w:cs="Calibri"/>
              <w:color w:val="4F81BD"/>
              <w:lang w:val="pl-PL"/>
            </w:rPr>
            <w:t xml:space="preserve">         </w:t>
          </w:r>
          <w:r w:rsidRPr="003D16D1">
            <w:rPr>
              <w:rFonts w:ascii="Calibri" w:eastAsia="Calibri" w:hAnsi="Calibri" w:cs="Calibri"/>
              <w:i/>
              <w:color w:val="4F81BD"/>
            </w:rPr>
            <w:t>Content and scope of the Cost-Benefit Analysis and its structure</w:t>
          </w:r>
          <w:r>
            <w:tab/>
          </w:r>
          <w:r>
            <w:fldChar w:fldCharType="begin"/>
          </w:r>
          <w:r>
            <w:instrText xml:space="preserve"> PAGEREF _Toc95377962 \h </w:instrText>
          </w:r>
          <w:r>
            <w:fldChar w:fldCharType="separate"/>
          </w:r>
          <w:r>
            <w:t>13</w:t>
          </w:r>
          <w:r>
            <w:fldChar w:fldCharType="end"/>
          </w:r>
        </w:p>
        <w:p w14:paraId="7C168109" w14:textId="77777777" w:rsidR="006543EE" w:rsidRPr="00374F74" w:rsidRDefault="00343533">
          <w:pPr>
            <w:pStyle w:val="Spistreci1"/>
            <w:rPr>
              <w:rFonts w:ascii="Calibri" w:eastAsia="Calibri" w:hAnsi="Calibri" w:cs="Calibri"/>
              <w:color w:val="0070C0"/>
              <w:lang w:val="pl-PL"/>
            </w:rPr>
          </w:pPr>
          <w:r w:rsidRPr="00374F74">
            <w:rPr>
              <w:rFonts w:ascii="Calibri" w:eastAsia="Calibri" w:hAnsi="Calibri" w:cs="Calibri"/>
              <w:color w:val="0070C0"/>
              <w:lang w:val="pl-PL"/>
            </w:rPr>
            <w:t>1.</w:t>
          </w:r>
          <w:r w:rsidRPr="00374F74">
            <w:rPr>
              <w:rFonts w:asciiTheme="minorHAnsi" w:eastAsiaTheme="minorEastAsia" w:hAnsiTheme="minorHAnsi" w:cstheme="minorBidi"/>
              <w:snapToGrid/>
              <w:color w:val="auto"/>
              <w:sz w:val="22"/>
              <w:szCs w:val="22"/>
              <w:lang w:val="pl-PL" w:eastAsia="en-GB"/>
            </w:rPr>
            <w:tab/>
          </w:r>
          <w:r w:rsidRPr="00374F74">
            <w:rPr>
              <w:rFonts w:ascii="Calibri" w:eastAsia="Calibri" w:hAnsi="Calibri" w:cs="Calibri"/>
              <w:color w:val="0070C0"/>
              <w:lang w:val="pl-PL"/>
            </w:rPr>
            <w:t>Faza I: Identyfikacja wariantów i przygotowanie danych wejściowych</w:t>
          </w:r>
        </w:p>
        <w:p w14:paraId="4555D200" w14:textId="2F236640" w:rsidR="00343533" w:rsidRDefault="00343533">
          <w:pPr>
            <w:pStyle w:val="Spistreci1"/>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color w:val="0070C0"/>
              <w:lang w:val="pl-PL"/>
            </w:rPr>
            <w:t xml:space="preserve">  </w:t>
          </w:r>
          <w:r w:rsidRPr="00374F74">
            <w:rPr>
              <w:rFonts w:ascii="Calibri" w:eastAsia="Calibri" w:hAnsi="Calibri" w:cs="Calibri"/>
              <w:i/>
              <w:color w:val="0070C0"/>
              <w:lang w:val="pl-PL"/>
            </w:rPr>
            <w:t xml:space="preserve">       </w:t>
          </w:r>
          <w:r w:rsidRPr="003D16D1">
            <w:rPr>
              <w:rFonts w:ascii="Calibri" w:eastAsia="Calibri" w:hAnsi="Calibri" w:cs="Calibri"/>
              <w:i/>
              <w:color w:val="0070C0"/>
            </w:rPr>
            <w:t>Phase I: Identification of project options and preparation of input       data</w:t>
          </w:r>
          <w:r>
            <w:tab/>
          </w:r>
          <w:r>
            <w:fldChar w:fldCharType="begin"/>
          </w:r>
          <w:r>
            <w:instrText xml:space="preserve"> PAGEREF _Toc95377963 \h </w:instrText>
          </w:r>
          <w:r>
            <w:fldChar w:fldCharType="separate"/>
          </w:r>
          <w:r>
            <w:t>16</w:t>
          </w:r>
          <w:r>
            <w:fldChar w:fldCharType="end"/>
          </w:r>
        </w:p>
        <w:p w14:paraId="5AC388D3" w14:textId="77777777" w:rsidR="006543EE" w:rsidRPr="00374F74" w:rsidRDefault="00343533">
          <w:pPr>
            <w:pStyle w:val="Spistreci2"/>
            <w:rPr>
              <w:rFonts w:ascii="Calibri" w:eastAsia="Calibri" w:hAnsi="Calibri" w:cs="Calibri"/>
              <w:color w:val="4F81BD"/>
              <w:lang w:val="pl-PL"/>
            </w:rPr>
          </w:pPr>
          <w:r w:rsidRPr="00374F74">
            <w:rPr>
              <w:rFonts w:ascii="Calibri" w:eastAsia="Calibri" w:hAnsi="Calibri" w:cs="Calibri"/>
              <w:color w:val="4F81BD"/>
              <w:lang w:val="pl-PL"/>
            </w:rPr>
            <w:t>1.1</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Podsumowanie wcześniejszych prac studialnych         </w:t>
          </w:r>
        </w:p>
        <w:p w14:paraId="0866226B" w14:textId="41FE7B0D"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1.1   Summary of previous project studies</w:t>
          </w:r>
          <w:r w:rsidRPr="00374F74">
            <w:rPr>
              <w:lang w:val="pl-PL"/>
            </w:rPr>
            <w:tab/>
          </w:r>
          <w:r>
            <w:fldChar w:fldCharType="begin"/>
          </w:r>
          <w:r w:rsidRPr="00374F74">
            <w:rPr>
              <w:lang w:val="pl-PL"/>
            </w:rPr>
            <w:instrText xml:space="preserve"> PAGEREF _Toc95377964 \h </w:instrText>
          </w:r>
          <w:r>
            <w:fldChar w:fldCharType="separate"/>
          </w:r>
          <w:r w:rsidRPr="00374F74">
            <w:rPr>
              <w:lang w:val="pl-PL"/>
            </w:rPr>
            <w:t>16</w:t>
          </w:r>
          <w:r>
            <w:fldChar w:fldCharType="end"/>
          </w:r>
        </w:p>
        <w:p w14:paraId="197685C6" w14:textId="77777777" w:rsidR="006543EE" w:rsidRPr="00374F74" w:rsidRDefault="00343533">
          <w:pPr>
            <w:pStyle w:val="Spistreci2"/>
            <w:rPr>
              <w:rFonts w:ascii="Calibri" w:eastAsia="Calibri" w:hAnsi="Calibri" w:cs="Calibri"/>
              <w:color w:val="4F81BD"/>
              <w:lang w:val="en-GB"/>
            </w:rPr>
          </w:pPr>
          <w:r w:rsidRPr="00374F74">
            <w:rPr>
              <w:rFonts w:ascii="Calibri" w:eastAsia="Calibri" w:hAnsi="Calibri" w:cs="Calibri"/>
              <w:color w:val="4F81BD"/>
              <w:lang w:val="en-GB"/>
            </w:rPr>
            <w:t>1.2</w:t>
          </w:r>
          <w:r w:rsidRPr="00374F74">
            <w:rPr>
              <w:rFonts w:asciiTheme="minorHAnsi" w:eastAsiaTheme="minorEastAsia" w:hAnsiTheme="minorHAnsi" w:cstheme="minorBidi"/>
              <w:snapToGrid/>
              <w:color w:val="auto"/>
              <w:szCs w:val="22"/>
              <w:lang w:val="en-GB" w:eastAsia="en-GB"/>
            </w:rPr>
            <w:tab/>
          </w:r>
          <w:r w:rsidRPr="00374F74">
            <w:rPr>
              <w:rFonts w:ascii="Calibri" w:eastAsia="Calibri" w:hAnsi="Calibri" w:cs="Calibri"/>
              <w:color w:val="4F81BD"/>
              <w:lang w:val="en-GB"/>
            </w:rPr>
            <w:t xml:space="preserve">Stan istniejący               </w:t>
          </w:r>
        </w:p>
        <w:p w14:paraId="5143233C" w14:textId="3154B37D" w:rsidR="00343533" w:rsidRPr="00374F74" w:rsidRDefault="00343533">
          <w:pPr>
            <w:pStyle w:val="Spistreci2"/>
            <w:rPr>
              <w:rFonts w:asciiTheme="minorHAnsi" w:eastAsiaTheme="minorEastAsia" w:hAnsiTheme="minorHAnsi" w:cstheme="minorBidi"/>
              <w:snapToGrid/>
              <w:color w:val="auto"/>
              <w:szCs w:val="22"/>
              <w:lang w:val="en-GB" w:eastAsia="en-GB"/>
            </w:rPr>
          </w:pPr>
          <w:r w:rsidRPr="00374F74">
            <w:rPr>
              <w:rFonts w:ascii="Calibri" w:eastAsia="Calibri" w:hAnsi="Calibri" w:cs="Calibri"/>
              <w:i/>
              <w:color w:val="4F81BD"/>
              <w:lang w:val="en-GB"/>
            </w:rPr>
            <w:t>1.2   Existing conditions</w:t>
          </w:r>
          <w:r w:rsidRPr="00374F74">
            <w:rPr>
              <w:lang w:val="en-GB"/>
            </w:rPr>
            <w:tab/>
          </w:r>
          <w:r>
            <w:fldChar w:fldCharType="begin"/>
          </w:r>
          <w:r w:rsidRPr="00374F74">
            <w:rPr>
              <w:lang w:val="en-GB"/>
            </w:rPr>
            <w:instrText xml:space="preserve"> PAGEREF _Toc95377965 \h </w:instrText>
          </w:r>
          <w:r>
            <w:fldChar w:fldCharType="separate"/>
          </w:r>
          <w:r w:rsidRPr="00374F74">
            <w:rPr>
              <w:lang w:val="en-GB"/>
            </w:rPr>
            <w:t>17</w:t>
          </w:r>
          <w:r>
            <w:fldChar w:fldCharType="end"/>
          </w:r>
        </w:p>
        <w:p w14:paraId="20AF73A3" w14:textId="77777777" w:rsidR="006543EE" w:rsidRPr="00374F74" w:rsidRDefault="00343533">
          <w:pPr>
            <w:pStyle w:val="Spistreci2"/>
            <w:rPr>
              <w:rFonts w:ascii="Calibri" w:eastAsia="Calibri" w:hAnsi="Calibri" w:cs="Calibri"/>
              <w:color w:val="4F81BD"/>
              <w:lang w:val="en-GB"/>
            </w:rPr>
          </w:pPr>
          <w:r w:rsidRPr="00374F74">
            <w:rPr>
              <w:rFonts w:ascii="Calibri" w:eastAsia="Calibri" w:hAnsi="Calibri" w:cs="Calibri"/>
              <w:color w:val="4F81BD"/>
              <w:lang w:val="en-GB"/>
            </w:rPr>
            <w:t>1.3</w:t>
          </w:r>
          <w:r w:rsidRPr="00374F74">
            <w:rPr>
              <w:rFonts w:asciiTheme="minorHAnsi" w:eastAsiaTheme="minorEastAsia" w:hAnsiTheme="minorHAnsi" w:cstheme="minorBidi"/>
              <w:snapToGrid/>
              <w:color w:val="auto"/>
              <w:szCs w:val="22"/>
              <w:lang w:val="en-GB" w:eastAsia="en-GB"/>
            </w:rPr>
            <w:tab/>
          </w:r>
          <w:r w:rsidRPr="00374F74">
            <w:rPr>
              <w:rFonts w:ascii="Calibri" w:eastAsia="Calibri" w:hAnsi="Calibri" w:cs="Calibri"/>
              <w:color w:val="4F81BD"/>
              <w:lang w:val="en-GB"/>
            </w:rPr>
            <w:t xml:space="preserve">Cele projektu               </w:t>
          </w:r>
        </w:p>
        <w:p w14:paraId="17AB8FC3" w14:textId="6298F302"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1.3   Project objectives</w:t>
          </w:r>
          <w:r w:rsidRPr="00343533">
            <w:rPr>
              <w:lang w:val="pl-PL"/>
            </w:rPr>
            <w:tab/>
          </w:r>
          <w:r>
            <w:fldChar w:fldCharType="begin"/>
          </w:r>
          <w:r w:rsidRPr="00343533">
            <w:rPr>
              <w:lang w:val="pl-PL"/>
            </w:rPr>
            <w:instrText xml:space="preserve"> PAGEREF _Toc95377966 \h </w:instrText>
          </w:r>
          <w:r>
            <w:fldChar w:fldCharType="separate"/>
          </w:r>
          <w:r w:rsidRPr="00343533">
            <w:rPr>
              <w:lang w:val="pl-PL"/>
            </w:rPr>
            <w:t>18</w:t>
          </w:r>
          <w:r>
            <w:fldChar w:fldCharType="end"/>
          </w:r>
        </w:p>
        <w:p w14:paraId="60A22A9C" w14:textId="77777777" w:rsidR="006543EE"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1.4</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Identyfikacja efektywnych wariantów inwestycyjnych projektu</w:t>
          </w:r>
        </w:p>
        <w:p w14:paraId="24931637" w14:textId="21AF40F3"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Identification of effective project Investment Options</w:t>
          </w:r>
          <w:r>
            <w:tab/>
          </w:r>
          <w:r>
            <w:fldChar w:fldCharType="begin"/>
          </w:r>
          <w:r>
            <w:instrText xml:space="preserve"> PAGEREF _Toc95377968 \h </w:instrText>
          </w:r>
          <w:r>
            <w:fldChar w:fldCharType="separate"/>
          </w:r>
          <w:r>
            <w:t>19</w:t>
          </w:r>
          <w:r>
            <w:fldChar w:fldCharType="end"/>
          </w:r>
        </w:p>
        <w:p w14:paraId="3138C7CB" w14:textId="77777777" w:rsidR="006543EE" w:rsidRDefault="00343533">
          <w:pPr>
            <w:pStyle w:val="Spistreci2"/>
            <w:rPr>
              <w:rFonts w:ascii="Calibri" w:eastAsia="Calibri" w:hAnsi="Calibri" w:cs="Calibri"/>
              <w:color w:val="4F81BD"/>
            </w:rPr>
          </w:pPr>
          <w:r w:rsidRPr="003D16D1">
            <w:rPr>
              <w:rFonts w:ascii="Calibri" w:eastAsia="Calibri" w:hAnsi="Calibri" w:cs="Calibri"/>
              <w:color w:val="4F81BD"/>
            </w:rPr>
            <w:t>1.5</w:t>
          </w:r>
          <w:r>
            <w:rPr>
              <w:rFonts w:asciiTheme="minorHAnsi" w:eastAsiaTheme="minorEastAsia" w:hAnsiTheme="minorHAnsi" w:cstheme="minorBidi"/>
              <w:snapToGrid/>
              <w:color w:val="auto"/>
              <w:szCs w:val="22"/>
              <w:lang w:val="en-GB" w:eastAsia="en-GB"/>
            </w:rPr>
            <w:tab/>
          </w:r>
          <w:r w:rsidRPr="003D16D1">
            <w:rPr>
              <w:rFonts w:ascii="Calibri" w:eastAsia="Calibri" w:hAnsi="Calibri" w:cs="Calibri"/>
              <w:color w:val="4F81BD"/>
            </w:rPr>
            <w:t xml:space="preserve">Definicja wariantu bezinwestycyjnego          </w:t>
          </w:r>
        </w:p>
        <w:p w14:paraId="39C80FD3" w14:textId="0857F403"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1.5   Definition of the Without-the-Project Option</w:t>
          </w:r>
          <w:r>
            <w:tab/>
          </w:r>
          <w:r>
            <w:fldChar w:fldCharType="begin"/>
          </w:r>
          <w:r>
            <w:instrText xml:space="preserve"> PAGEREF _Toc95377969 \h </w:instrText>
          </w:r>
          <w:r>
            <w:fldChar w:fldCharType="separate"/>
          </w:r>
          <w:r>
            <w:t>26</w:t>
          </w:r>
          <w:r>
            <w:fldChar w:fldCharType="end"/>
          </w:r>
        </w:p>
        <w:p w14:paraId="1360329D" w14:textId="77777777" w:rsidR="006543EE"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1.6</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Określenie okresu referencyjnego projektu          </w:t>
          </w:r>
        </w:p>
        <w:p w14:paraId="4B13F54E" w14:textId="0EBA1264"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1.6   Determination of the project reference period</w:t>
          </w:r>
          <w:r w:rsidRPr="00374F74">
            <w:rPr>
              <w:lang w:val="pl-PL"/>
            </w:rPr>
            <w:tab/>
          </w:r>
          <w:r>
            <w:fldChar w:fldCharType="begin"/>
          </w:r>
          <w:r w:rsidRPr="00374F74">
            <w:rPr>
              <w:lang w:val="pl-PL"/>
            </w:rPr>
            <w:instrText xml:space="preserve"> PAGEREF _Toc95377970 \h </w:instrText>
          </w:r>
          <w:r>
            <w:fldChar w:fldCharType="separate"/>
          </w:r>
          <w:r w:rsidRPr="00374F74">
            <w:rPr>
              <w:lang w:val="pl-PL"/>
            </w:rPr>
            <w:t>28</w:t>
          </w:r>
          <w:r>
            <w:fldChar w:fldCharType="end"/>
          </w:r>
        </w:p>
        <w:p w14:paraId="57B6A181" w14:textId="32702626"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color w:val="4F81BD"/>
              <w:lang w:val="pl-PL"/>
            </w:rPr>
            <w:t>1.7</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Przygotowanie makroekonomicznych danych wejściowych</w:t>
          </w:r>
        </w:p>
        <w:p w14:paraId="145EA87C" w14:textId="18547A93"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Preparation of macro-economic inputs</w:t>
          </w:r>
          <w:r>
            <w:tab/>
          </w:r>
          <w:r>
            <w:fldChar w:fldCharType="begin"/>
          </w:r>
          <w:r>
            <w:instrText xml:space="preserve"> PAGEREF _Toc95377972 \h </w:instrText>
          </w:r>
          <w:r>
            <w:fldChar w:fldCharType="separate"/>
          </w:r>
          <w:r>
            <w:t>29</w:t>
          </w:r>
          <w:r>
            <w:fldChar w:fldCharType="end"/>
          </w:r>
        </w:p>
        <w:p w14:paraId="0CBC0D94" w14:textId="77777777" w:rsidR="006543EE"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1.8</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Prognozy ruchu                </w:t>
          </w:r>
        </w:p>
        <w:p w14:paraId="0E724FA0" w14:textId="75AD199A"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1.8   Traffic forecasts</w:t>
          </w:r>
          <w:r w:rsidRPr="00343533">
            <w:rPr>
              <w:lang w:val="pl-PL"/>
            </w:rPr>
            <w:tab/>
          </w:r>
          <w:r>
            <w:fldChar w:fldCharType="begin"/>
          </w:r>
          <w:r w:rsidRPr="00343533">
            <w:rPr>
              <w:lang w:val="pl-PL"/>
            </w:rPr>
            <w:instrText xml:space="preserve"> PAGEREF _Toc95377973 \h </w:instrText>
          </w:r>
          <w:r>
            <w:fldChar w:fldCharType="separate"/>
          </w:r>
          <w:r w:rsidRPr="00343533">
            <w:rPr>
              <w:lang w:val="pl-PL"/>
            </w:rPr>
            <w:t>31</w:t>
          </w:r>
          <w:r>
            <w:fldChar w:fldCharType="end"/>
          </w:r>
        </w:p>
        <w:p w14:paraId="526577E7" w14:textId="65CB021B"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color w:val="4F81BD"/>
              <w:lang w:val="pl-PL"/>
            </w:rPr>
            <w:t>1.8.1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Klasyfikacja projektów ze względu na zalecane indywidualne podejście do prognozowania</w:t>
          </w:r>
        </w:p>
        <w:p w14:paraId="19B5BD66" w14:textId="66C0C5AE"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4F81BD"/>
              <w:lang w:val="en-GB"/>
            </w:rPr>
            <w:t>1.8.1   Classification of projects based on the recommended forecasting method</w:t>
          </w:r>
          <w:r>
            <w:tab/>
          </w:r>
          <w:r>
            <w:fldChar w:fldCharType="begin"/>
          </w:r>
          <w:r>
            <w:instrText xml:space="preserve"> PAGEREF _Toc95377975 \h </w:instrText>
          </w:r>
          <w:r>
            <w:fldChar w:fldCharType="separate"/>
          </w:r>
          <w:r>
            <w:t>33</w:t>
          </w:r>
          <w:r>
            <w:fldChar w:fldCharType="end"/>
          </w:r>
        </w:p>
        <w:p w14:paraId="17D54763" w14:textId="77777777" w:rsidR="006543EE" w:rsidRPr="00374F74" w:rsidRDefault="00343533">
          <w:pPr>
            <w:pStyle w:val="Spistreci3"/>
            <w:rPr>
              <w:rFonts w:ascii="Calibri" w:eastAsia="Calibri" w:hAnsi="Calibri" w:cs="Calibri"/>
              <w:color w:val="4F81BD"/>
              <w:lang w:val="pl-PL"/>
            </w:rPr>
          </w:pPr>
          <w:r w:rsidRPr="00374F74">
            <w:rPr>
              <w:rFonts w:ascii="Calibri" w:eastAsia="Calibri" w:hAnsi="Calibri" w:cs="Calibri"/>
              <w:color w:val="4F81BD"/>
              <w:lang w:val="pl-PL"/>
            </w:rPr>
            <w:t>1.8.2</w:t>
          </w:r>
          <w:r w:rsidRPr="00374F74">
            <w:rPr>
              <w:rFonts w:asciiTheme="minorHAnsi" w:eastAsiaTheme="minorEastAsia" w:hAnsiTheme="minorHAnsi" w:cstheme="minorBidi"/>
              <w:snapToGrid/>
              <w:color w:val="auto"/>
              <w:sz w:val="22"/>
              <w:szCs w:val="22"/>
              <w:lang w:val="pl-PL" w:eastAsia="en-GB"/>
            </w:rPr>
            <w:tab/>
          </w:r>
          <w:r w:rsidRPr="00374F74">
            <w:rPr>
              <w:rFonts w:ascii="Calibri" w:eastAsia="Calibri" w:hAnsi="Calibri" w:cs="Calibri"/>
              <w:color w:val="4F81BD"/>
              <w:lang w:val="pl-PL"/>
            </w:rPr>
            <w:t xml:space="preserve">Model ruchu, ogólne zasady              </w:t>
          </w:r>
        </w:p>
        <w:p w14:paraId="6C2FBBC8" w14:textId="3536F156" w:rsidR="00343533" w:rsidRPr="00374F74" w:rsidRDefault="00343533">
          <w:pPr>
            <w:pStyle w:val="Spistreci3"/>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4F81BD"/>
              <w:lang w:val="pl-PL"/>
            </w:rPr>
            <w:t>1.8.2   Traffic model, general considerations</w:t>
          </w:r>
          <w:r w:rsidRPr="00374F74">
            <w:rPr>
              <w:lang w:val="pl-PL"/>
            </w:rPr>
            <w:tab/>
          </w:r>
          <w:r>
            <w:fldChar w:fldCharType="begin"/>
          </w:r>
          <w:r w:rsidRPr="00374F74">
            <w:rPr>
              <w:lang w:val="pl-PL"/>
            </w:rPr>
            <w:instrText xml:space="preserve"> PAGEREF _Toc95377976 \h </w:instrText>
          </w:r>
          <w:r>
            <w:fldChar w:fldCharType="separate"/>
          </w:r>
          <w:r w:rsidRPr="00374F74">
            <w:rPr>
              <w:lang w:val="pl-PL"/>
            </w:rPr>
            <w:t>35</w:t>
          </w:r>
          <w:r>
            <w:fldChar w:fldCharType="end"/>
          </w:r>
        </w:p>
        <w:p w14:paraId="719D172A" w14:textId="77777777" w:rsidR="006543EE" w:rsidRPr="00374F74" w:rsidRDefault="00343533">
          <w:pPr>
            <w:pStyle w:val="Spistreci3"/>
            <w:rPr>
              <w:rFonts w:ascii="Calibri" w:eastAsia="Calibri" w:hAnsi="Calibri" w:cs="Calibri"/>
              <w:color w:val="4F81BD"/>
              <w:lang w:val="pl-PL"/>
            </w:rPr>
          </w:pPr>
          <w:r w:rsidRPr="00374F74">
            <w:rPr>
              <w:rFonts w:ascii="Calibri" w:eastAsia="Calibri" w:hAnsi="Calibri" w:cs="Calibri"/>
              <w:color w:val="4F81BD"/>
              <w:lang w:val="pl-PL"/>
            </w:rPr>
            <w:t>1.8.3</w:t>
          </w:r>
          <w:r w:rsidRPr="00374F74">
            <w:rPr>
              <w:rFonts w:asciiTheme="minorHAnsi" w:eastAsiaTheme="minorEastAsia" w:hAnsiTheme="minorHAnsi" w:cstheme="minorBidi"/>
              <w:snapToGrid/>
              <w:color w:val="auto"/>
              <w:sz w:val="22"/>
              <w:szCs w:val="22"/>
              <w:lang w:val="pl-PL" w:eastAsia="en-GB"/>
            </w:rPr>
            <w:tab/>
          </w:r>
          <w:r w:rsidRPr="00374F74">
            <w:rPr>
              <w:rFonts w:ascii="Calibri" w:eastAsia="Calibri" w:hAnsi="Calibri" w:cs="Calibri"/>
              <w:color w:val="4F81BD"/>
              <w:lang w:val="pl-PL"/>
            </w:rPr>
            <w:t xml:space="preserve">Wyniki prognozy ruchu                </w:t>
          </w:r>
        </w:p>
        <w:p w14:paraId="7E43DDAA" w14:textId="15261916" w:rsidR="00343533" w:rsidRPr="00374F74" w:rsidRDefault="00343533">
          <w:pPr>
            <w:pStyle w:val="Spistreci3"/>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4F81BD"/>
              <w:lang w:val="pl-PL"/>
            </w:rPr>
            <w:t>1.8.3   Traffic forecast outputs</w:t>
          </w:r>
          <w:r w:rsidRPr="00374F74">
            <w:rPr>
              <w:lang w:val="pl-PL"/>
            </w:rPr>
            <w:tab/>
          </w:r>
          <w:r>
            <w:fldChar w:fldCharType="begin"/>
          </w:r>
          <w:r w:rsidRPr="00374F74">
            <w:rPr>
              <w:lang w:val="pl-PL"/>
            </w:rPr>
            <w:instrText xml:space="preserve"> PAGEREF _Toc95377977 \h </w:instrText>
          </w:r>
          <w:r>
            <w:fldChar w:fldCharType="separate"/>
          </w:r>
          <w:r w:rsidRPr="00374F74">
            <w:rPr>
              <w:lang w:val="pl-PL"/>
            </w:rPr>
            <w:t>38</w:t>
          </w:r>
          <w:r>
            <w:fldChar w:fldCharType="end"/>
          </w:r>
        </w:p>
        <w:p w14:paraId="606A7340" w14:textId="77777777" w:rsidR="00573A14" w:rsidRPr="00374F74" w:rsidRDefault="00343533">
          <w:pPr>
            <w:pStyle w:val="Spistreci2"/>
            <w:rPr>
              <w:rFonts w:ascii="Calibri" w:eastAsia="Calibri" w:hAnsi="Calibri" w:cs="Calibri"/>
              <w:color w:val="4F81BD"/>
              <w:lang w:val="pl-PL"/>
            </w:rPr>
          </w:pPr>
          <w:r w:rsidRPr="00374F74">
            <w:rPr>
              <w:rFonts w:ascii="Calibri" w:eastAsia="Calibri" w:hAnsi="Calibri" w:cs="Calibri"/>
              <w:color w:val="4F81BD"/>
              <w:lang w:val="pl-PL"/>
            </w:rPr>
            <w:t>1.9</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Założenia kosztowe dla wariantu bezinwestycyjnego (W0) i wariantów</w:t>
          </w:r>
        </w:p>
        <w:p w14:paraId="23B8F2EA" w14:textId="6E4ECF0F" w:rsidR="006543EE" w:rsidRDefault="00343533">
          <w:pPr>
            <w:pStyle w:val="Spistreci2"/>
            <w:rPr>
              <w:rFonts w:ascii="Calibri" w:eastAsia="Calibri" w:hAnsi="Calibri" w:cs="Calibri"/>
              <w:color w:val="4F81BD"/>
            </w:rPr>
          </w:pPr>
          <w:r w:rsidRPr="00374F74">
            <w:rPr>
              <w:rFonts w:ascii="Calibri" w:eastAsia="Calibri" w:hAnsi="Calibri" w:cs="Calibri"/>
              <w:color w:val="4F81BD"/>
              <w:lang w:val="pl-PL"/>
            </w:rPr>
            <w:t xml:space="preserve"> </w:t>
          </w:r>
          <w:r w:rsidRPr="003D16D1">
            <w:rPr>
              <w:rFonts w:ascii="Calibri" w:eastAsia="Calibri" w:hAnsi="Calibri" w:cs="Calibri"/>
              <w:color w:val="4F81BD"/>
            </w:rPr>
            <w:t xml:space="preserve">inwestycyjnych (Wn) </w:t>
          </w:r>
        </w:p>
        <w:p w14:paraId="2AD03603" w14:textId="77777777" w:rsidR="00573A14" w:rsidRDefault="00343533">
          <w:pPr>
            <w:pStyle w:val="Spistreci2"/>
            <w:rPr>
              <w:rFonts w:ascii="Calibri" w:eastAsia="Calibri" w:hAnsi="Calibri" w:cs="Calibri"/>
              <w:i/>
              <w:color w:val="4F81BD"/>
            </w:rPr>
          </w:pPr>
          <w:r w:rsidRPr="003D16D1">
            <w:rPr>
              <w:rFonts w:ascii="Calibri" w:eastAsia="Calibri" w:hAnsi="Calibri" w:cs="Calibri"/>
              <w:i/>
              <w:color w:val="4F81BD"/>
            </w:rPr>
            <w:t>1.9</w:t>
          </w:r>
          <w:r w:rsidRPr="003D16D1">
            <w:rPr>
              <w:rFonts w:ascii="Calibri" w:eastAsia="Calibri" w:hAnsi="Calibri" w:cs="Calibri"/>
              <w:color w:val="4F81BD"/>
            </w:rPr>
            <w:t xml:space="preserve">  </w:t>
          </w:r>
          <w:r w:rsidRPr="003D16D1">
            <w:rPr>
              <w:rFonts w:ascii="Calibri" w:eastAsia="Calibri" w:hAnsi="Calibri" w:cs="Calibri"/>
              <w:i/>
              <w:color w:val="4F81BD"/>
            </w:rPr>
            <w:t xml:space="preserve">Costs assumptions for the “without-the-project” scenario (W0) and for the project </w:t>
          </w:r>
        </w:p>
        <w:p w14:paraId="0C9BC643" w14:textId="022043A8"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investment options (Wn)</w:t>
          </w:r>
          <w:r w:rsidRPr="00374F74">
            <w:rPr>
              <w:lang w:val="pl-PL"/>
            </w:rPr>
            <w:tab/>
          </w:r>
          <w:r>
            <w:fldChar w:fldCharType="begin"/>
          </w:r>
          <w:r w:rsidRPr="00374F74">
            <w:rPr>
              <w:lang w:val="pl-PL"/>
            </w:rPr>
            <w:instrText xml:space="preserve"> PAGEREF _Toc95377978 \h </w:instrText>
          </w:r>
          <w:r>
            <w:fldChar w:fldCharType="separate"/>
          </w:r>
          <w:r w:rsidRPr="00374F74">
            <w:rPr>
              <w:lang w:val="pl-PL"/>
            </w:rPr>
            <w:t>40</w:t>
          </w:r>
          <w:r>
            <w:fldChar w:fldCharType="end"/>
          </w:r>
        </w:p>
        <w:p w14:paraId="250DC257" w14:textId="77777777" w:rsidR="00573A14"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1.9.1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Przygotowanie danych wejściowych dotyczących nakładów kapitałowych dla wariantów</w:t>
          </w:r>
        </w:p>
        <w:p w14:paraId="4F11A36C" w14:textId="36CB01B8" w:rsidR="00343533" w:rsidRPr="00374F74" w:rsidRDefault="00343533">
          <w:pPr>
            <w:pStyle w:val="Spistreci3"/>
            <w:rPr>
              <w:rFonts w:asciiTheme="minorHAnsi" w:eastAsiaTheme="minorEastAsia" w:hAnsiTheme="minorHAnsi" w:cstheme="minorBidi"/>
              <w:snapToGrid/>
              <w:color w:val="auto"/>
              <w:sz w:val="22"/>
              <w:szCs w:val="22"/>
              <w:lang w:val="en-GB" w:eastAsia="en-GB"/>
            </w:rPr>
          </w:pPr>
          <w:r w:rsidRPr="00343533">
            <w:rPr>
              <w:rFonts w:ascii="Calibri" w:eastAsia="Calibri" w:hAnsi="Calibri" w:cs="Calibri"/>
              <w:color w:val="4F81BD"/>
              <w:lang w:val="pl-PL"/>
            </w:rPr>
            <w:lastRenderedPageBreak/>
            <w:t xml:space="preserve"> </w:t>
          </w:r>
          <w:r w:rsidRPr="00374F74">
            <w:rPr>
              <w:rFonts w:ascii="Calibri" w:eastAsia="Calibri" w:hAnsi="Calibri" w:cs="Calibri"/>
              <w:color w:val="4F81BD"/>
              <w:lang w:val="en-GB"/>
            </w:rPr>
            <w:t>inwestycyjnych</w:t>
          </w:r>
        </w:p>
        <w:p w14:paraId="72B75114" w14:textId="0E7F6979"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4F81BD"/>
              <w:lang w:val="en-GB"/>
            </w:rPr>
            <w:t>1.9.1   Preparation of capital expenditures inputs for investment options</w:t>
          </w:r>
          <w:r>
            <w:tab/>
          </w:r>
          <w:r>
            <w:fldChar w:fldCharType="begin"/>
          </w:r>
          <w:r>
            <w:instrText xml:space="preserve"> PAGEREF _Toc95377980 \h </w:instrText>
          </w:r>
          <w:r>
            <w:fldChar w:fldCharType="separate"/>
          </w:r>
          <w:r>
            <w:t>40</w:t>
          </w:r>
          <w:r>
            <w:fldChar w:fldCharType="end"/>
          </w:r>
        </w:p>
        <w:p w14:paraId="658BBCC1"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1.9.2</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Oszacowanie wydatków na eksploatację i utrzymanie          </w:t>
          </w:r>
        </w:p>
        <w:p w14:paraId="7DAE6D37" w14:textId="5D782762" w:rsidR="00343533" w:rsidRDefault="00343533">
          <w:pPr>
            <w:pStyle w:val="Spistreci3"/>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i/>
              <w:color w:val="4F81BD"/>
              <w:lang w:val="en-GB"/>
            </w:rPr>
            <w:t>1.9.2.</w:t>
          </w:r>
          <w:r w:rsidRPr="00374F74">
            <w:rPr>
              <w:rFonts w:ascii="Calibri" w:eastAsia="Calibri" w:hAnsi="Calibri" w:cs="Calibri"/>
              <w:color w:val="4F81BD"/>
              <w:lang w:val="en-GB"/>
            </w:rPr>
            <w:t xml:space="preserve">   </w:t>
          </w:r>
          <w:r w:rsidRPr="003D16D1">
            <w:rPr>
              <w:rFonts w:ascii="Calibri" w:eastAsia="Calibri" w:hAnsi="Calibri" w:cs="Calibri"/>
              <w:i/>
              <w:color w:val="4F81BD"/>
            </w:rPr>
            <w:t>Estimation of operating and maintenance (O&amp;M) expenditures</w:t>
          </w:r>
          <w:r>
            <w:tab/>
          </w:r>
          <w:r>
            <w:fldChar w:fldCharType="begin"/>
          </w:r>
          <w:r>
            <w:instrText xml:space="preserve"> PAGEREF _Toc95377981 \h </w:instrText>
          </w:r>
          <w:r>
            <w:fldChar w:fldCharType="separate"/>
          </w:r>
          <w:r>
            <w:t>43</w:t>
          </w:r>
          <w:r>
            <w:fldChar w:fldCharType="end"/>
          </w:r>
        </w:p>
        <w:p w14:paraId="3AA12A83" w14:textId="77777777" w:rsidR="006543EE" w:rsidRPr="00374F74" w:rsidRDefault="00343533">
          <w:pPr>
            <w:pStyle w:val="Spistreci2"/>
            <w:tabs>
              <w:tab w:val="left" w:pos="1208"/>
            </w:tabs>
            <w:rPr>
              <w:rFonts w:ascii="Calibri" w:eastAsia="Calibri" w:hAnsi="Calibri" w:cs="Calibri"/>
              <w:color w:val="4F81BD"/>
              <w:lang w:val="pl-PL"/>
            </w:rPr>
          </w:pPr>
          <w:r w:rsidRPr="00374F74">
            <w:rPr>
              <w:rFonts w:ascii="Calibri" w:eastAsia="Calibri" w:hAnsi="Calibri" w:cs="Calibri"/>
              <w:color w:val="4F81BD"/>
              <w:lang w:val="pl-PL"/>
            </w:rPr>
            <w:t>1.10</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Dane wejściowe do projekcji przychodów         </w:t>
          </w:r>
        </w:p>
        <w:p w14:paraId="27A0C80D" w14:textId="40EC0C50" w:rsidR="00343533" w:rsidRPr="00374F74" w:rsidRDefault="00343533">
          <w:pPr>
            <w:pStyle w:val="Spistreci2"/>
            <w:tabs>
              <w:tab w:val="left" w:pos="1208"/>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1.10   Revenue projection inputs</w:t>
          </w:r>
          <w:r w:rsidRPr="00374F74">
            <w:rPr>
              <w:lang w:val="pl-PL"/>
            </w:rPr>
            <w:tab/>
          </w:r>
          <w:r>
            <w:fldChar w:fldCharType="begin"/>
          </w:r>
          <w:r w:rsidRPr="00374F74">
            <w:rPr>
              <w:lang w:val="pl-PL"/>
            </w:rPr>
            <w:instrText xml:space="preserve"> PAGEREF _Toc95377982 \h </w:instrText>
          </w:r>
          <w:r>
            <w:fldChar w:fldCharType="separate"/>
          </w:r>
          <w:r w:rsidRPr="00374F74">
            <w:rPr>
              <w:lang w:val="pl-PL"/>
            </w:rPr>
            <w:t>48</w:t>
          </w:r>
          <w:r>
            <w:fldChar w:fldCharType="end"/>
          </w:r>
        </w:p>
        <w:p w14:paraId="238C2953" w14:textId="77777777" w:rsidR="006543EE" w:rsidRDefault="00343533">
          <w:pPr>
            <w:pStyle w:val="Spistreci2"/>
            <w:tabs>
              <w:tab w:val="left" w:pos="1208"/>
            </w:tabs>
            <w:rPr>
              <w:rFonts w:ascii="Calibri" w:eastAsia="Calibri" w:hAnsi="Calibri" w:cs="Calibri"/>
              <w:color w:val="4F81BD"/>
              <w:lang w:val="pl-PL"/>
            </w:rPr>
          </w:pPr>
          <w:r w:rsidRPr="00343533">
            <w:rPr>
              <w:rFonts w:ascii="Calibri" w:eastAsia="Calibri" w:hAnsi="Calibri" w:cs="Calibri"/>
              <w:color w:val="4F81BD"/>
              <w:lang w:val="pl-PL"/>
            </w:rPr>
            <w:t>1.11</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Wartość rezydualna               </w:t>
          </w:r>
        </w:p>
        <w:p w14:paraId="5E2751F1" w14:textId="56194C2C" w:rsidR="00343533" w:rsidRPr="00343533" w:rsidRDefault="00343533">
          <w:pPr>
            <w:pStyle w:val="Spistreci2"/>
            <w:tabs>
              <w:tab w:val="left" w:pos="1208"/>
            </w:tabs>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1.11   Residual value</w:t>
          </w:r>
          <w:r w:rsidRPr="00343533">
            <w:rPr>
              <w:lang w:val="pl-PL"/>
            </w:rPr>
            <w:tab/>
          </w:r>
          <w:r>
            <w:fldChar w:fldCharType="begin"/>
          </w:r>
          <w:r w:rsidRPr="00343533">
            <w:rPr>
              <w:lang w:val="pl-PL"/>
            </w:rPr>
            <w:instrText xml:space="preserve"> PAGEREF _Toc95377983 \h </w:instrText>
          </w:r>
          <w:r>
            <w:fldChar w:fldCharType="separate"/>
          </w:r>
          <w:r w:rsidRPr="00343533">
            <w:rPr>
              <w:lang w:val="pl-PL"/>
            </w:rPr>
            <w:t>50</w:t>
          </w:r>
          <w:r>
            <w:fldChar w:fldCharType="end"/>
          </w:r>
        </w:p>
        <w:p w14:paraId="3D16492B" w14:textId="77777777" w:rsidR="006543EE" w:rsidRDefault="00343533">
          <w:pPr>
            <w:pStyle w:val="Spistreci1"/>
            <w:rPr>
              <w:rFonts w:ascii="Calibri" w:eastAsia="Calibri" w:hAnsi="Calibri" w:cs="Calibri"/>
              <w:i/>
              <w:color w:val="0070C0"/>
              <w:lang w:val="pl-PL"/>
            </w:rPr>
          </w:pPr>
          <w:r w:rsidRPr="003D16D1">
            <w:rPr>
              <w:rFonts w:ascii="Calibri" w:eastAsia="Calibri" w:hAnsi="Calibri" w:cs="Calibri"/>
              <w:color w:val="0070C0"/>
              <w:lang w:val="pl-PL"/>
            </w:rPr>
            <w:t>2.</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Faza II: analiza społeczno-ekonomiczna </w:t>
          </w:r>
          <w:r w:rsidRPr="003D16D1">
            <w:rPr>
              <w:rFonts w:ascii="Calibri" w:eastAsia="Calibri" w:hAnsi="Calibri" w:cs="Calibri"/>
              <w:i/>
              <w:color w:val="0070C0"/>
              <w:lang w:val="pl-PL"/>
            </w:rPr>
            <w:t xml:space="preserve">  </w:t>
          </w:r>
        </w:p>
        <w:p w14:paraId="257F85BC" w14:textId="17734B23" w:rsidR="00343533" w:rsidRPr="006543EE" w:rsidRDefault="00343533">
          <w:pPr>
            <w:pStyle w:val="Spistreci1"/>
            <w:rPr>
              <w:rFonts w:asciiTheme="minorHAnsi" w:eastAsiaTheme="minorEastAsia" w:hAnsiTheme="minorHAnsi" w:cstheme="minorBidi"/>
              <w:snapToGrid/>
              <w:color w:val="auto"/>
              <w:sz w:val="22"/>
              <w:szCs w:val="22"/>
              <w:lang w:val="en-GB" w:eastAsia="en-GB"/>
            </w:rPr>
          </w:pPr>
          <w:r w:rsidRPr="006543EE">
            <w:rPr>
              <w:rFonts w:ascii="Calibri" w:eastAsia="Calibri" w:hAnsi="Calibri" w:cs="Calibri"/>
              <w:i/>
              <w:color w:val="0070C0"/>
              <w:lang w:val="en-GB"/>
            </w:rPr>
            <w:t>Phase II: Socio-economic analysis</w:t>
          </w:r>
          <w:r w:rsidRPr="006543EE">
            <w:rPr>
              <w:lang w:val="en-GB"/>
            </w:rPr>
            <w:tab/>
          </w:r>
          <w:r>
            <w:fldChar w:fldCharType="begin"/>
          </w:r>
          <w:r w:rsidRPr="006543EE">
            <w:rPr>
              <w:lang w:val="en-GB"/>
            </w:rPr>
            <w:instrText xml:space="preserve"> PAGEREF _Toc95377984 \h </w:instrText>
          </w:r>
          <w:r>
            <w:fldChar w:fldCharType="separate"/>
          </w:r>
          <w:r w:rsidRPr="006543EE">
            <w:rPr>
              <w:lang w:val="en-GB"/>
            </w:rPr>
            <w:t>54</w:t>
          </w:r>
          <w:r>
            <w:fldChar w:fldCharType="end"/>
          </w:r>
        </w:p>
        <w:p w14:paraId="1EACFE1B" w14:textId="77777777" w:rsidR="006543EE"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2.1</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Kategorie kosztów ekonomicznych           </w:t>
          </w:r>
        </w:p>
        <w:p w14:paraId="283A4874" w14:textId="20880ED0"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D16D1">
            <w:rPr>
              <w:rFonts w:ascii="Calibri" w:eastAsia="Calibri" w:hAnsi="Calibri" w:cs="Calibri"/>
              <w:i/>
              <w:color w:val="4F81BD"/>
              <w:lang w:val="pl-PL"/>
            </w:rPr>
            <w:t>2.1   Categories of economic costs</w:t>
          </w:r>
          <w:r w:rsidRPr="00343533">
            <w:rPr>
              <w:lang w:val="pl-PL"/>
            </w:rPr>
            <w:tab/>
          </w:r>
          <w:r>
            <w:fldChar w:fldCharType="begin"/>
          </w:r>
          <w:r w:rsidRPr="00343533">
            <w:rPr>
              <w:lang w:val="pl-PL"/>
            </w:rPr>
            <w:instrText xml:space="preserve"> PAGEREF _Toc95377985 \h </w:instrText>
          </w:r>
          <w:r>
            <w:fldChar w:fldCharType="separate"/>
          </w:r>
          <w:r w:rsidRPr="00343533">
            <w:rPr>
              <w:lang w:val="pl-PL"/>
            </w:rPr>
            <w:t>55</w:t>
          </w:r>
          <w:r>
            <w:fldChar w:fldCharType="end"/>
          </w:r>
        </w:p>
        <w:p w14:paraId="60BB387C"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eksploatacji pojazdów               </w:t>
          </w:r>
        </w:p>
        <w:p w14:paraId="5EFA44BC" w14:textId="51CDD6EE"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2.1.1   Vehicle operating costs</w:t>
          </w:r>
          <w:r w:rsidRPr="00343533">
            <w:rPr>
              <w:lang w:val="pl-PL"/>
            </w:rPr>
            <w:tab/>
          </w:r>
          <w:r>
            <w:fldChar w:fldCharType="begin"/>
          </w:r>
          <w:r w:rsidRPr="00343533">
            <w:rPr>
              <w:lang w:val="pl-PL"/>
            </w:rPr>
            <w:instrText xml:space="preserve"> PAGEREF _Toc95377986 \h </w:instrText>
          </w:r>
          <w:r>
            <w:fldChar w:fldCharType="separate"/>
          </w:r>
          <w:r w:rsidRPr="00343533">
            <w:rPr>
              <w:lang w:val="pl-PL"/>
            </w:rPr>
            <w:t>56</w:t>
          </w:r>
          <w:r>
            <w:fldChar w:fldCharType="end"/>
          </w:r>
        </w:p>
        <w:p w14:paraId="35A8FBB0" w14:textId="77777777" w:rsidR="006543EE" w:rsidRDefault="00343533">
          <w:pPr>
            <w:pStyle w:val="Spistreci3"/>
            <w:rPr>
              <w:rFonts w:ascii="Calibri" w:eastAsia="Calibri" w:hAnsi="Calibri" w:cs="Calibri"/>
              <w:i/>
              <w:color w:val="4F81BD"/>
              <w:lang w:val="pl-PL"/>
            </w:rPr>
          </w:pPr>
          <w:r w:rsidRPr="00343533">
            <w:rPr>
              <w:rFonts w:ascii="Calibri" w:eastAsia="Calibri" w:hAnsi="Calibri" w:cs="Calibri"/>
              <w:color w:val="4F81BD"/>
              <w:lang w:val="pl-PL"/>
            </w:rPr>
            <w:t>2.1.2</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czasu użytkowników infrastruktury drogowej </w:t>
          </w:r>
          <w:r w:rsidRPr="00343533">
            <w:rPr>
              <w:rFonts w:ascii="Calibri" w:eastAsia="Calibri" w:hAnsi="Calibri" w:cs="Calibri"/>
              <w:i/>
              <w:color w:val="4F81BD"/>
              <w:lang w:val="pl-PL"/>
            </w:rPr>
            <w:t xml:space="preserve">         </w:t>
          </w:r>
        </w:p>
        <w:p w14:paraId="422BBBC9" w14:textId="71DFE6DF" w:rsidR="00343533" w:rsidRPr="006543EE" w:rsidRDefault="00343533">
          <w:pPr>
            <w:pStyle w:val="Spistreci3"/>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i/>
              <w:color w:val="4F81BD"/>
              <w:lang w:val="pl-PL"/>
            </w:rPr>
            <w:t xml:space="preserve"> </w:t>
          </w:r>
          <w:r w:rsidRPr="006543EE">
            <w:rPr>
              <w:rFonts w:ascii="Calibri" w:eastAsia="Calibri" w:hAnsi="Calibri" w:cs="Calibri"/>
              <w:i/>
              <w:color w:val="4F81BD"/>
              <w:lang w:val="en-GB"/>
            </w:rPr>
            <w:t>2.1.2   Road infrastructure user time costs</w:t>
          </w:r>
          <w:r w:rsidRPr="006543EE">
            <w:rPr>
              <w:lang w:val="en-GB"/>
            </w:rPr>
            <w:tab/>
          </w:r>
          <w:r>
            <w:fldChar w:fldCharType="begin"/>
          </w:r>
          <w:r w:rsidRPr="006543EE">
            <w:rPr>
              <w:lang w:val="en-GB"/>
            </w:rPr>
            <w:instrText xml:space="preserve"> PAGEREF _Toc95377987 \h </w:instrText>
          </w:r>
          <w:r>
            <w:fldChar w:fldCharType="separate"/>
          </w:r>
          <w:r w:rsidRPr="006543EE">
            <w:rPr>
              <w:lang w:val="en-GB"/>
            </w:rPr>
            <w:t>59</w:t>
          </w:r>
          <w:r>
            <w:fldChar w:fldCharType="end"/>
          </w:r>
        </w:p>
        <w:p w14:paraId="491F2B39"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2.1.3</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wypadków drogowych               </w:t>
          </w:r>
        </w:p>
        <w:p w14:paraId="22CFDF8B" w14:textId="26D15E66"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2.1.3   Costs of accidents</w:t>
          </w:r>
          <w:r w:rsidRPr="00343533">
            <w:rPr>
              <w:lang w:val="pl-PL"/>
            </w:rPr>
            <w:tab/>
          </w:r>
          <w:r>
            <w:fldChar w:fldCharType="begin"/>
          </w:r>
          <w:r w:rsidRPr="00343533">
            <w:rPr>
              <w:lang w:val="pl-PL"/>
            </w:rPr>
            <w:instrText xml:space="preserve"> PAGEREF _Toc95377988 \h </w:instrText>
          </w:r>
          <w:r>
            <w:fldChar w:fldCharType="separate"/>
          </w:r>
          <w:r w:rsidRPr="00343533">
            <w:rPr>
              <w:lang w:val="pl-PL"/>
            </w:rPr>
            <w:t>63</w:t>
          </w:r>
          <w:r>
            <w:fldChar w:fldCharType="end"/>
          </w:r>
        </w:p>
        <w:p w14:paraId="301A1AC1"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2.1.4</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zanieczyszczenia powietrza              </w:t>
          </w:r>
        </w:p>
        <w:p w14:paraId="1BBFA2F4" w14:textId="324C31AA"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2.1.4</w:t>
          </w:r>
          <w:r w:rsidRPr="00343533">
            <w:rPr>
              <w:rFonts w:ascii="Calibri" w:eastAsia="Calibri" w:hAnsi="Calibri" w:cs="Calibri"/>
              <w:color w:val="4F81BD"/>
              <w:lang w:val="pl-PL"/>
            </w:rPr>
            <w:t xml:space="preserve">   </w:t>
          </w:r>
          <w:r w:rsidRPr="00343533">
            <w:rPr>
              <w:rFonts w:ascii="Calibri" w:eastAsia="Calibri" w:hAnsi="Calibri" w:cs="Calibri"/>
              <w:i/>
              <w:color w:val="4F81BD"/>
              <w:lang w:val="pl-PL"/>
            </w:rPr>
            <w:t>Air pollution costs</w:t>
          </w:r>
          <w:r w:rsidRPr="00343533">
            <w:rPr>
              <w:lang w:val="pl-PL"/>
            </w:rPr>
            <w:tab/>
          </w:r>
          <w:r>
            <w:fldChar w:fldCharType="begin"/>
          </w:r>
          <w:r w:rsidRPr="00343533">
            <w:rPr>
              <w:lang w:val="pl-PL"/>
            </w:rPr>
            <w:instrText xml:space="preserve"> PAGEREF _Toc95377989 \h </w:instrText>
          </w:r>
          <w:r>
            <w:fldChar w:fldCharType="separate"/>
          </w:r>
          <w:r w:rsidRPr="00343533">
            <w:rPr>
              <w:lang w:val="pl-PL"/>
            </w:rPr>
            <w:t>67</w:t>
          </w:r>
          <w:r>
            <w:fldChar w:fldCharType="end"/>
          </w:r>
        </w:p>
        <w:p w14:paraId="3D7EEAF9" w14:textId="77777777" w:rsidR="006543EE" w:rsidRDefault="00343533">
          <w:pPr>
            <w:pStyle w:val="Spistreci3"/>
            <w:rPr>
              <w:rFonts w:ascii="Calibri" w:eastAsia="Calibri" w:hAnsi="Calibri" w:cs="Calibri"/>
              <w:i/>
              <w:color w:val="4F81BD"/>
              <w:lang w:val="pl-PL"/>
            </w:rPr>
          </w:pPr>
          <w:r w:rsidRPr="00343533">
            <w:rPr>
              <w:rFonts w:ascii="Calibri" w:eastAsia="Calibri" w:hAnsi="Calibri" w:cs="Calibri"/>
              <w:color w:val="4F81BD"/>
              <w:lang w:val="pl-PL"/>
            </w:rPr>
            <w:t>2.1.5</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zmian klimatu      </w:t>
          </w:r>
          <w:r w:rsidRPr="00343533">
            <w:rPr>
              <w:rFonts w:ascii="Calibri" w:eastAsia="Calibri" w:hAnsi="Calibri" w:cs="Calibri"/>
              <w:i/>
              <w:color w:val="4F81BD"/>
              <w:lang w:val="pl-PL"/>
            </w:rPr>
            <w:t xml:space="preserve">          </w:t>
          </w:r>
        </w:p>
        <w:p w14:paraId="21DB1ABF" w14:textId="6E834870"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2.1.5 Climate change costs</w:t>
          </w:r>
          <w:r w:rsidRPr="00343533">
            <w:rPr>
              <w:lang w:val="pl-PL"/>
            </w:rPr>
            <w:tab/>
          </w:r>
          <w:r>
            <w:fldChar w:fldCharType="begin"/>
          </w:r>
          <w:r w:rsidRPr="00343533">
            <w:rPr>
              <w:lang w:val="pl-PL"/>
            </w:rPr>
            <w:instrText xml:space="preserve"> PAGEREF _Toc95377990 \h </w:instrText>
          </w:r>
          <w:r>
            <w:fldChar w:fldCharType="separate"/>
          </w:r>
          <w:r w:rsidRPr="00343533">
            <w:rPr>
              <w:lang w:val="pl-PL"/>
            </w:rPr>
            <w:t>69</w:t>
          </w:r>
          <w:r>
            <w:fldChar w:fldCharType="end"/>
          </w:r>
        </w:p>
        <w:p w14:paraId="7F3BB5DC" w14:textId="77777777" w:rsidR="00DF06FA"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2.1.6</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hałasu                </w:t>
          </w:r>
        </w:p>
        <w:p w14:paraId="6D9DDC63" w14:textId="1FBF0BFD"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color w:val="4F81BD"/>
              <w:lang w:val="pl-PL"/>
            </w:rPr>
            <w:t xml:space="preserve"> </w:t>
          </w:r>
          <w:r w:rsidRPr="00343533">
            <w:rPr>
              <w:rFonts w:ascii="Calibri" w:eastAsia="Calibri" w:hAnsi="Calibri" w:cs="Calibri"/>
              <w:i/>
              <w:color w:val="4F81BD"/>
              <w:lang w:val="pl-PL"/>
            </w:rPr>
            <w:t>2.1.6</w:t>
          </w:r>
          <w:r w:rsidRPr="00343533">
            <w:rPr>
              <w:rFonts w:ascii="Calibri" w:eastAsia="Calibri" w:hAnsi="Calibri" w:cs="Calibri"/>
              <w:color w:val="4F81BD"/>
              <w:lang w:val="pl-PL"/>
            </w:rPr>
            <w:t xml:space="preserve">   </w:t>
          </w:r>
          <w:r w:rsidRPr="00343533">
            <w:rPr>
              <w:rFonts w:ascii="Calibri" w:eastAsia="Calibri" w:hAnsi="Calibri" w:cs="Calibri"/>
              <w:i/>
              <w:color w:val="4F81BD"/>
              <w:lang w:val="pl-PL"/>
            </w:rPr>
            <w:t>Noise costs</w:t>
          </w:r>
          <w:r w:rsidRPr="00343533">
            <w:rPr>
              <w:lang w:val="pl-PL"/>
            </w:rPr>
            <w:tab/>
          </w:r>
          <w:r>
            <w:fldChar w:fldCharType="begin"/>
          </w:r>
          <w:r w:rsidRPr="00343533">
            <w:rPr>
              <w:lang w:val="pl-PL"/>
            </w:rPr>
            <w:instrText xml:space="preserve"> PAGEREF _Toc95377991 \h </w:instrText>
          </w:r>
          <w:r>
            <w:fldChar w:fldCharType="separate"/>
          </w:r>
          <w:r w:rsidRPr="00343533">
            <w:rPr>
              <w:lang w:val="pl-PL"/>
            </w:rPr>
            <w:t>72</w:t>
          </w:r>
          <w:r>
            <w:fldChar w:fldCharType="end"/>
          </w:r>
        </w:p>
        <w:p w14:paraId="470D3E24"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2.1.7</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eksploatacji i utrzymania infrastruktury            </w:t>
          </w:r>
        </w:p>
        <w:p w14:paraId="5C1CBB59" w14:textId="2B0A5936" w:rsidR="00343533" w:rsidRPr="006543EE" w:rsidRDefault="00343533">
          <w:pPr>
            <w:pStyle w:val="Spistreci3"/>
            <w:rPr>
              <w:rFonts w:asciiTheme="minorHAnsi" w:eastAsiaTheme="minorEastAsia" w:hAnsiTheme="minorHAnsi" w:cstheme="minorBidi"/>
              <w:snapToGrid/>
              <w:color w:val="auto"/>
              <w:sz w:val="22"/>
              <w:szCs w:val="22"/>
              <w:lang w:val="en-GB" w:eastAsia="en-GB"/>
            </w:rPr>
          </w:pPr>
          <w:r w:rsidRPr="006543EE">
            <w:rPr>
              <w:rFonts w:ascii="Calibri" w:eastAsia="Calibri" w:hAnsi="Calibri" w:cs="Calibri"/>
              <w:i/>
              <w:color w:val="4F81BD"/>
              <w:lang w:val="en-GB"/>
            </w:rPr>
            <w:t>2.1.7   Costs of infrastructure operation and maintenance</w:t>
          </w:r>
          <w:r w:rsidRPr="006543EE">
            <w:rPr>
              <w:lang w:val="en-GB"/>
            </w:rPr>
            <w:tab/>
          </w:r>
          <w:r>
            <w:fldChar w:fldCharType="begin"/>
          </w:r>
          <w:r w:rsidRPr="006543EE">
            <w:rPr>
              <w:lang w:val="en-GB"/>
            </w:rPr>
            <w:instrText xml:space="preserve"> PAGEREF _Toc95377992 \h </w:instrText>
          </w:r>
          <w:r>
            <w:fldChar w:fldCharType="separate"/>
          </w:r>
          <w:r w:rsidRPr="006543EE">
            <w:rPr>
              <w:lang w:val="en-GB"/>
            </w:rPr>
            <w:t>74</w:t>
          </w:r>
          <w:r>
            <w:fldChar w:fldCharType="end"/>
          </w:r>
        </w:p>
        <w:p w14:paraId="1100641B" w14:textId="77777777" w:rsidR="006543EE"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2.2</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Etapy analizy społeczno-ekonomicznej           </w:t>
          </w:r>
        </w:p>
        <w:p w14:paraId="554C2910" w14:textId="3DDE3768"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2.2</w:t>
          </w:r>
          <w:r w:rsidRPr="00374F74">
            <w:rPr>
              <w:rFonts w:ascii="Calibri" w:eastAsia="Calibri" w:hAnsi="Calibri" w:cs="Calibri"/>
              <w:color w:val="4F81BD"/>
              <w:lang w:val="pl-PL"/>
            </w:rPr>
            <w:t xml:space="preserve">   </w:t>
          </w:r>
          <w:r w:rsidRPr="00374F74">
            <w:rPr>
              <w:rFonts w:ascii="Calibri" w:eastAsia="Calibri" w:hAnsi="Calibri" w:cs="Calibri"/>
              <w:i/>
              <w:color w:val="4F81BD"/>
              <w:lang w:val="pl-PL"/>
            </w:rPr>
            <w:t>Stages of socio-economic analysis</w:t>
          </w:r>
          <w:r w:rsidRPr="00374F74">
            <w:rPr>
              <w:lang w:val="pl-PL"/>
            </w:rPr>
            <w:tab/>
          </w:r>
          <w:r>
            <w:fldChar w:fldCharType="begin"/>
          </w:r>
          <w:r w:rsidRPr="00374F74">
            <w:rPr>
              <w:lang w:val="pl-PL"/>
            </w:rPr>
            <w:instrText xml:space="preserve"> PAGEREF _Toc95377993 \h </w:instrText>
          </w:r>
          <w:r>
            <w:fldChar w:fldCharType="separate"/>
          </w:r>
          <w:r w:rsidRPr="00374F74">
            <w:rPr>
              <w:lang w:val="pl-PL"/>
            </w:rPr>
            <w:t>75</w:t>
          </w:r>
          <w:r>
            <w:fldChar w:fldCharType="end"/>
          </w:r>
        </w:p>
        <w:p w14:paraId="08E23C4E" w14:textId="5B87C61B" w:rsidR="00573A14" w:rsidRPr="00374F74" w:rsidRDefault="00343533" w:rsidP="00573A14">
          <w:pPr>
            <w:pStyle w:val="Spistreci3"/>
            <w:rPr>
              <w:rFonts w:eastAsiaTheme="minorEastAsia"/>
              <w:lang w:val="pl-PL"/>
            </w:rPr>
          </w:pPr>
          <w:r w:rsidRPr="00343533">
            <w:rPr>
              <w:rFonts w:ascii="Calibri" w:eastAsia="Calibri" w:hAnsi="Calibri" w:cs="Calibri"/>
              <w:color w:val="4F81BD"/>
              <w:lang w:val="pl-PL"/>
            </w:rPr>
            <w:t>2.2.1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Założenia analizy ekonomicznej</w:t>
          </w:r>
          <w:r w:rsidRPr="00343533">
            <w:rPr>
              <w:lang w:val="pl-PL"/>
            </w:rPr>
            <w:tab/>
          </w:r>
        </w:p>
        <w:p w14:paraId="6DA19239" w14:textId="774A2982" w:rsidR="00343533" w:rsidRDefault="00343533">
          <w:pPr>
            <w:pStyle w:val="Spistreci3"/>
          </w:pPr>
          <w:r w:rsidRPr="00573A14">
            <w:rPr>
              <w:rFonts w:ascii="Calibri" w:eastAsia="Calibri" w:hAnsi="Calibri" w:cs="Calibri"/>
              <w:i/>
              <w:color w:val="4F81BD"/>
              <w:lang w:val="en-GB"/>
            </w:rPr>
            <w:t>2.2.1 Assumptions for the economic analysis</w:t>
          </w:r>
          <w:r>
            <w:tab/>
          </w:r>
          <w:r>
            <w:fldChar w:fldCharType="begin"/>
          </w:r>
          <w:r>
            <w:instrText xml:space="preserve"> PAGEREF _Toc95377996 \h </w:instrText>
          </w:r>
          <w:r>
            <w:fldChar w:fldCharType="separate"/>
          </w:r>
          <w:r>
            <w:t>75</w:t>
          </w:r>
          <w:r>
            <w:fldChar w:fldCharType="end"/>
          </w:r>
        </w:p>
        <w:p w14:paraId="73274501" w14:textId="60B93BDD" w:rsidR="00573A14" w:rsidRPr="003365B1" w:rsidRDefault="00573A14" w:rsidP="003365B1">
          <w:pPr>
            <w:ind w:firstLine="709"/>
            <w:rPr>
              <w:rFonts w:eastAsiaTheme="minorEastAsia"/>
              <w:sz w:val="22"/>
              <w:szCs w:val="22"/>
            </w:rPr>
          </w:pPr>
          <w:r w:rsidRPr="003365B1">
            <w:rPr>
              <w:rFonts w:ascii="Calibri" w:eastAsia="Calibri" w:hAnsi="Calibri" w:cs="Calibri"/>
              <w:color w:val="4F81BD"/>
              <w:sz w:val="20"/>
              <w:szCs w:val="20"/>
            </w:rPr>
            <w:t>2.2.2</w:t>
          </w:r>
          <w:r w:rsidR="003365B1" w:rsidRPr="003365B1">
            <w:rPr>
              <w:rFonts w:asciiTheme="minorHAnsi" w:eastAsiaTheme="minorEastAsia" w:hAnsiTheme="minorHAnsi" w:cstheme="minorBidi"/>
              <w:sz w:val="20"/>
              <w:szCs w:val="20"/>
              <w:lang w:eastAsia="en-GB"/>
            </w:rPr>
            <w:t xml:space="preserve"> </w:t>
          </w:r>
          <w:r w:rsidRPr="003365B1">
            <w:rPr>
              <w:rFonts w:ascii="Calibri" w:eastAsia="Calibri" w:hAnsi="Calibri" w:cs="Calibri"/>
              <w:color w:val="4F81BD"/>
              <w:sz w:val="20"/>
              <w:szCs w:val="20"/>
            </w:rPr>
            <w:t xml:space="preserve">Z </w:t>
          </w:r>
          <w:r w:rsidRPr="003365B1">
            <w:rPr>
              <w:rFonts w:ascii="Calibri" w:eastAsia="Calibri" w:hAnsi="Calibri" w:cs="Calibri"/>
              <w:color w:val="4F81BD"/>
              <w:sz w:val="22"/>
              <w:szCs w:val="22"/>
            </w:rPr>
            <w:t>cen rynkowych na ceny rozrachunkowe</w:t>
          </w:r>
          <w:r w:rsidRPr="003365B1">
            <w:rPr>
              <w:sz w:val="22"/>
              <w:szCs w:val="22"/>
            </w:rPr>
            <w:tab/>
          </w:r>
        </w:p>
        <w:p w14:paraId="6A738253" w14:textId="6565D5A0"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color w:val="4F81BD"/>
              <w:lang w:val="en-GB"/>
            </w:rPr>
            <w:t xml:space="preserve">2.2.2 </w:t>
          </w:r>
          <w:r w:rsidRPr="003365B1">
            <w:rPr>
              <w:rFonts w:ascii="Calibri" w:eastAsia="Calibri" w:hAnsi="Calibri" w:cs="Calibri"/>
              <w:i/>
              <w:color w:val="4F81BD"/>
              <w:lang w:val="en-GB"/>
            </w:rPr>
            <w:t>From financial to economic prices</w:t>
          </w:r>
          <w:r>
            <w:tab/>
          </w:r>
          <w:r>
            <w:fldChar w:fldCharType="begin"/>
          </w:r>
          <w:r>
            <w:instrText xml:space="preserve"> PAGEREF _Toc95377997 \h </w:instrText>
          </w:r>
          <w:r>
            <w:fldChar w:fldCharType="separate"/>
          </w:r>
          <w:r>
            <w:t>76</w:t>
          </w:r>
          <w:r>
            <w:fldChar w:fldCharType="end"/>
          </w:r>
        </w:p>
        <w:p w14:paraId="0DA88D4E"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2.2.3</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Obliczanie korzyści ekonomicznych netto projektu           </w:t>
          </w:r>
        </w:p>
        <w:p w14:paraId="6C5BA076" w14:textId="47E740AA" w:rsidR="00343533" w:rsidRPr="00374F74" w:rsidRDefault="00343533">
          <w:pPr>
            <w:pStyle w:val="Spistreci3"/>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color w:val="4F81BD"/>
              <w:lang w:val="pl-PL"/>
            </w:rPr>
            <w:t xml:space="preserve"> 2.2.3   Calculation of net economic benefits of a project</w:t>
          </w:r>
          <w:r w:rsidRPr="00374F74">
            <w:rPr>
              <w:lang w:val="pl-PL"/>
            </w:rPr>
            <w:tab/>
          </w:r>
          <w:r>
            <w:fldChar w:fldCharType="begin"/>
          </w:r>
          <w:r w:rsidRPr="00374F74">
            <w:rPr>
              <w:lang w:val="pl-PL"/>
            </w:rPr>
            <w:instrText xml:space="preserve"> PAGEREF _Toc95377998 \h </w:instrText>
          </w:r>
          <w:r>
            <w:fldChar w:fldCharType="separate"/>
          </w:r>
          <w:r w:rsidRPr="00374F74">
            <w:rPr>
              <w:lang w:val="pl-PL"/>
            </w:rPr>
            <w:t>78</w:t>
          </w:r>
          <w:r>
            <w:fldChar w:fldCharType="end"/>
          </w:r>
        </w:p>
        <w:p w14:paraId="1227C7CE" w14:textId="2C74DBD3"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color w:val="4F81BD"/>
              <w:lang w:val="pl-PL"/>
            </w:rPr>
            <w:t>2.2.4</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Obliczanie wskaźników efektywności społeczno-ekonomicznej i interpretacja wyników</w:t>
          </w:r>
        </w:p>
        <w:p w14:paraId="71952550" w14:textId="77777777" w:rsidR="00573A14" w:rsidRDefault="00343533">
          <w:pPr>
            <w:pStyle w:val="Spistreci3"/>
            <w:rPr>
              <w:rFonts w:ascii="Calibri" w:eastAsia="Calibri" w:hAnsi="Calibri" w:cs="Calibri"/>
              <w:i/>
              <w:color w:val="4F81BD"/>
              <w:lang w:val="en-GB"/>
            </w:rPr>
          </w:pPr>
          <w:r w:rsidRPr="003D16D1">
            <w:rPr>
              <w:rFonts w:ascii="Calibri" w:eastAsia="Calibri" w:hAnsi="Calibri" w:cs="Calibri"/>
              <w:i/>
              <w:color w:val="4F81BD"/>
              <w:lang w:val="en-GB"/>
            </w:rPr>
            <w:t xml:space="preserve">2.2.4   Calculation of the socio-economic performance indicators and interpretation of </w:t>
          </w:r>
        </w:p>
        <w:p w14:paraId="1B28E3E8" w14:textId="24266FA0"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4F81BD"/>
              <w:lang w:val="en-GB"/>
            </w:rPr>
            <w:t>results</w:t>
          </w:r>
          <w:r>
            <w:tab/>
          </w:r>
          <w:r>
            <w:fldChar w:fldCharType="begin"/>
          </w:r>
          <w:r>
            <w:instrText xml:space="preserve"> PAGEREF _Toc95378000 \h </w:instrText>
          </w:r>
          <w:r>
            <w:fldChar w:fldCharType="separate"/>
          </w:r>
          <w:r>
            <w:t>82</w:t>
          </w:r>
          <w:r>
            <w:fldChar w:fldCharType="end"/>
          </w:r>
        </w:p>
        <w:p w14:paraId="7CC8155E" w14:textId="77777777" w:rsidR="007308A9" w:rsidRDefault="00343533">
          <w:pPr>
            <w:pStyle w:val="Spistreci1"/>
            <w:rPr>
              <w:rFonts w:ascii="Calibri" w:eastAsia="Calibri" w:hAnsi="Calibri" w:cs="Calibri"/>
              <w:color w:val="0070C0"/>
              <w:lang w:val="es-ES"/>
            </w:rPr>
          </w:pPr>
          <w:r w:rsidRPr="003D16D1">
            <w:rPr>
              <w:rFonts w:ascii="Calibri" w:eastAsia="Calibri" w:hAnsi="Calibri" w:cs="Calibri"/>
              <w:color w:val="0070C0"/>
              <w:lang w:val="es-ES"/>
            </w:rPr>
            <w:t>3.</w:t>
          </w:r>
          <w:r>
            <w:rPr>
              <w:rFonts w:asciiTheme="minorHAnsi" w:eastAsiaTheme="minorEastAsia" w:hAnsiTheme="minorHAnsi" w:cstheme="minorBidi"/>
              <w:snapToGrid/>
              <w:color w:val="auto"/>
              <w:sz w:val="22"/>
              <w:szCs w:val="22"/>
              <w:lang w:val="en-GB" w:eastAsia="en-GB"/>
            </w:rPr>
            <w:tab/>
          </w:r>
          <w:r w:rsidRPr="003D16D1">
            <w:rPr>
              <w:rFonts w:ascii="Calibri" w:eastAsia="Calibri" w:hAnsi="Calibri" w:cs="Calibri"/>
              <w:color w:val="0070C0"/>
              <w:lang w:val="es-ES"/>
            </w:rPr>
            <w:t>Faza III: Analiza Finansowa</w:t>
          </w:r>
        </w:p>
        <w:p w14:paraId="0ABC0C5B" w14:textId="05788D0E" w:rsidR="00343533" w:rsidRDefault="00343533">
          <w:pPr>
            <w:pStyle w:val="Spistreci1"/>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color w:val="0070C0"/>
              <w:lang w:val="es-ES"/>
            </w:rPr>
            <w:t xml:space="preserve"> </w:t>
          </w:r>
          <w:r w:rsidRPr="003D16D1">
            <w:rPr>
              <w:rFonts w:ascii="Calibri" w:eastAsia="Calibri" w:hAnsi="Calibri" w:cs="Calibri"/>
              <w:i/>
              <w:color w:val="0070C0"/>
              <w:lang w:val="es-ES"/>
            </w:rPr>
            <w:t>Phase III: Financial Analysis</w:t>
          </w:r>
          <w:r>
            <w:tab/>
          </w:r>
          <w:r>
            <w:fldChar w:fldCharType="begin"/>
          </w:r>
          <w:r>
            <w:instrText xml:space="preserve"> PAGEREF _Toc95378001 \h </w:instrText>
          </w:r>
          <w:r>
            <w:fldChar w:fldCharType="separate"/>
          </w:r>
          <w:r>
            <w:t>85</w:t>
          </w:r>
          <w:r>
            <w:fldChar w:fldCharType="end"/>
          </w:r>
        </w:p>
        <w:p w14:paraId="4B1F16CD" w14:textId="77777777" w:rsidR="007308A9" w:rsidRPr="00374F74" w:rsidRDefault="00343533">
          <w:pPr>
            <w:pStyle w:val="Spistreci2"/>
            <w:rPr>
              <w:rFonts w:ascii="Calibri" w:eastAsia="Calibri" w:hAnsi="Calibri" w:cs="Calibri"/>
              <w:color w:val="4F81BD"/>
              <w:lang w:val="pl-PL"/>
            </w:rPr>
          </w:pPr>
          <w:r w:rsidRPr="00374F74">
            <w:rPr>
              <w:rFonts w:ascii="Calibri" w:eastAsia="Calibri" w:hAnsi="Calibri" w:cs="Calibri"/>
              <w:color w:val="4F81BD"/>
              <w:lang w:val="pl-PL"/>
            </w:rPr>
            <w:t>3.1</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Projekt infrastruktury drogowej – droga niepłatna a analiza finansowa </w:t>
          </w:r>
        </w:p>
        <w:p w14:paraId="6B32C710" w14:textId="4FF6D390" w:rsidR="00343533" w:rsidRDefault="00343533">
          <w:pPr>
            <w:pStyle w:val="Spistreci2"/>
            <w:rPr>
              <w:rFonts w:asciiTheme="minorHAnsi" w:eastAsiaTheme="minorEastAsia" w:hAnsiTheme="minorHAnsi" w:cstheme="minorBidi"/>
              <w:snapToGrid/>
              <w:color w:val="auto"/>
              <w:szCs w:val="22"/>
              <w:lang w:val="en-GB" w:eastAsia="en-GB"/>
            </w:rPr>
          </w:pPr>
          <w:r w:rsidRPr="00343533">
            <w:rPr>
              <w:rFonts w:ascii="Calibri" w:eastAsia="Calibri" w:hAnsi="Calibri" w:cs="Calibri"/>
              <w:i/>
              <w:color w:val="4F81BD"/>
              <w:lang w:val="en-GB"/>
            </w:rPr>
            <w:t>3.1    Road infrastructure project – non-toll roads and financial analysis</w:t>
          </w:r>
          <w:r>
            <w:tab/>
          </w:r>
          <w:r>
            <w:fldChar w:fldCharType="begin"/>
          </w:r>
          <w:r>
            <w:instrText xml:space="preserve"> PAGEREF _Toc95378002 \h </w:instrText>
          </w:r>
          <w:r>
            <w:fldChar w:fldCharType="separate"/>
          </w:r>
          <w:r>
            <w:t>86</w:t>
          </w:r>
          <w:r>
            <w:fldChar w:fldCharType="end"/>
          </w:r>
        </w:p>
        <w:p w14:paraId="620183A0" w14:textId="77777777" w:rsidR="007308A9" w:rsidRDefault="00343533">
          <w:pPr>
            <w:pStyle w:val="Spistreci2"/>
            <w:rPr>
              <w:rFonts w:ascii="Calibri" w:eastAsia="Calibri" w:hAnsi="Calibri" w:cs="Calibri"/>
              <w:color w:val="4F81BD"/>
            </w:rPr>
          </w:pPr>
          <w:r w:rsidRPr="003D16D1">
            <w:rPr>
              <w:rFonts w:ascii="Calibri" w:eastAsia="Calibri" w:hAnsi="Calibri" w:cs="Calibri"/>
              <w:color w:val="4F81BD"/>
            </w:rPr>
            <w:t>3.2</w:t>
          </w:r>
          <w:r>
            <w:rPr>
              <w:rFonts w:asciiTheme="minorHAnsi" w:eastAsiaTheme="minorEastAsia" w:hAnsiTheme="minorHAnsi" w:cstheme="minorBidi"/>
              <w:snapToGrid/>
              <w:color w:val="auto"/>
              <w:szCs w:val="22"/>
              <w:lang w:val="en-GB" w:eastAsia="en-GB"/>
            </w:rPr>
            <w:tab/>
          </w:r>
          <w:r w:rsidRPr="003D16D1">
            <w:rPr>
              <w:rFonts w:ascii="Calibri" w:eastAsia="Calibri" w:hAnsi="Calibri" w:cs="Calibri"/>
              <w:color w:val="4F81BD"/>
            </w:rPr>
            <w:t xml:space="preserve">Założenia i parametry analizy finansowej      </w:t>
          </w:r>
        </w:p>
        <w:p w14:paraId="160BA002" w14:textId="6C8268F6"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3.2</w:t>
          </w:r>
          <w:r w:rsidRPr="003D16D1">
            <w:rPr>
              <w:rFonts w:ascii="Calibri" w:eastAsia="Calibri" w:hAnsi="Calibri" w:cs="Calibri"/>
              <w:color w:val="4F81BD"/>
            </w:rPr>
            <w:t xml:space="preserve">   </w:t>
          </w:r>
          <w:r w:rsidRPr="003D16D1">
            <w:rPr>
              <w:rFonts w:ascii="Calibri" w:eastAsia="Calibri" w:hAnsi="Calibri" w:cs="Calibri"/>
              <w:i/>
              <w:color w:val="4F81BD"/>
            </w:rPr>
            <w:t>Financial analysis - assumptions and parameters</w:t>
          </w:r>
          <w:r>
            <w:tab/>
          </w:r>
          <w:r>
            <w:fldChar w:fldCharType="begin"/>
          </w:r>
          <w:r>
            <w:instrText xml:space="preserve"> PAGEREF _Toc95378003 \h </w:instrText>
          </w:r>
          <w:r>
            <w:fldChar w:fldCharType="separate"/>
          </w:r>
          <w:r>
            <w:t>86</w:t>
          </w:r>
          <w:r>
            <w:fldChar w:fldCharType="end"/>
          </w:r>
        </w:p>
        <w:p w14:paraId="65EA0A66"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3.3</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Zestawienie finansowych przepływów pieniężnych       </w:t>
          </w:r>
        </w:p>
        <w:p w14:paraId="5706357B" w14:textId="3EDAAB4A"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lastRenderedPageBreak/>
            <w:t>3.3   Determination of financial cash flows</w:t>
          </w:r>
          <w:r w:rsidRPr="00374F74">
            <w:rPr>
              <w:lang w:val="pl-PL"/>
            </w:rPr>
            <w:tab/>
          </w:r>
          <w:r>
            <w:fldChar w:fldCharType="begin"/>
          </w:r>
          <w:r w:rsidRPr="00374F74">
            <w:rPr>
              <w:lang w:val="pl-PL"/>
            </w:rPr>
            <w:instrText xml:space="preserve"> PAGEREF _Toc95378004 \h </w:instrText>
          </w:r>
          <w:r>
            <w:fldChar w:fldCharType="separate"/>
          </w:r>
          <w:r w:rsidRPr="00374F74">
            <w:rPr>
              <w:lang w:val="pl-PL"/>
            </w:rPr>
            <w:t>88</w:t>
          </w:r>
          <w:r>
            <w:fldChar w:fldCharType="end"/>
          </w:r>
        </w:p>
        <w:p w14:paraId="73B1F9B3"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3.4</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Rentowność finansowa projektu            </w:t>
          </w:r>
        </w:p>
        <w:p w14:paraId="243E97D6" w14:textId="069DEDA1"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D16D1">
            <w:rPr>
              <w:rFonts w:ascii="Calibri" w:eastAsia="Calibri" w:hAnsi="Calibri" w:cs="Calibri"/>
              <w:i/>
              <w:color w:val="4F81BD"/>
              <w:lang w:val="pl-PL"/>
            </w:rPr>
            <w:t>3.4   Project financial profitability</w:t>
          </w:r>
          <w:r w:rsidRPr="00343533">
            <w:rPr>
              <w:lang w:val="pl-PL"/>
            </w:rPr>
            <w:tab/>
          </w:r>
          <w:r>
            <w:fldChar w:fldCharType="begin"/>
          </w:r>
          <w:r w:rsidRPr="00343533">
            <w:rPr>
              <w:lang w:val="pl-PL"/>
            </w:rPr>
            <w:instrText xml:space="preserve"> PAGEREF _Toc95378005 \h </w:instrText>
          </w:r>
          <w:r>
            <w:fldChar w:fldCharType="separate"/>
          </w:r>
          <w:r w:rsidRPr="00343533">
            <w:rPr>
              <w:lang w:val="pl-PL"/>
            </w:rPr>
            <w:t>89</w:t>
          </w:r>
          <w:r>
            <w:fldChar w:fldCharType="end"/>
          </w:r>
        </w:p>
        <w:p w14:paraId="08652FAF"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3.5</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Trwałość finansowa i trwałość funkcjonalna projektu       </w:t>
          </w:r>
        </w:p>
        <w:p w14:paraId="1053B2A7" w14:textId="43C219D1" w:rsidR="00343533" w:rsidRPr="007308A9" w:rsidRDefault="00343533">
          <w:pPr>
            <w:pStyle w:val="Spistreci2"/>
            <w:rPr>
              <w:rFonts w:asciiTheme="minorHAnsi" w:eastAsiaTheme="minorEastAsia" w:hAnsiTheme="minorHAnsi" w:cstheme="minorBidi"/>
              <w:snapToGrid/>
              <w:color w:val="auto"/>
              <w:szCs w:val="22"/>
              <w:lang w:val="en-GB" w:eastAsia="en-GB"/>
            </w:rPr>
          </w:pPr>
          <w:r w:rsidRPr="007308A9">
            <w:rPr>
              <w:rFonts w:ascii="Calibri" w:eastAsia="Calibri" w:hAnsi="Calibri" w:cs="Calibri"/>
              <w:i/>
              <w:color w:val="4F81BD"/>
              <w:lang w:val="en-GB"/>
            </w:rPr>
            <w:t>3.5</w:t>
          </w:r>
          <w:r w:rsidRPr="007308A9">
            <w:rPr>
              <w:rFonts w:ascii="Calibri" w:eastAsia="Calibri" w:hAnsi="Calibri" w:cs="Calibri"/>
              <w:color w:val="4F81BD"/>
              <w:lang w:val="en-GB"/>
            </w:rPr>
            <w:t xml:space="preserve">   </w:t>
          </w:r>
          <w:r w:rsidRPr="007308A9">
            <w:rPr>
              <w:rFonts w:ascii="Calibri" w:eastAsia="Calibri" w:hAnsi="Calibri" w:cs="Calibri"/>
              <w:i/>
              <w:color w:val="4F81BD"/>
              <w:lang w:val="en-GB"/>
            </w:rPr>
            <w:t>Financial and functional sustainability of the project</w:t>
          </w:r>
          <w:r w:rsidRPr="007308A9">
            <w:rPr>
              <w:lang w:val="en-GB"/>
            </w:rPr>
            <w:tab/>
          </w:r>
          <w:r>
            <w:fldChar w:fldCharType="begin"/>
          </w:r>
          <w:r w:rsidRPr="007308A9">
            <w:rPr>
              <w:lang w:val="en-GB"/>
            </w:rPr>
            <w:instrText xml:space="preserve"> PAGEREF _Toc95378006 \h </w:instrText>
          </w:r>
          <w:r>
            <w:fldChar w:fldCharType="separate"/>
          </w:r>
          <w:r w:rsidRPr="007308A9">
            <w:rPr>
              <w:lang w:val="en-GB"/>
            </w:rPr>
            <w:t>92</w:t>
          </w:r>
          <w:r>
            <w:fldChar w:fldCharType="end"/>
          </w:r>
        </w:p>
        <w:p w14:paraId="4FF0DED4" w14:textId="77777777" w:rsidR="007308A9" w:rsidRDefault="00343533">
          <w:pPr>
            <w:pStyle w:val="Spistreci1"/>
            <w:rPr>
              <w:rFonts w:ascii="Calibri" w:eastAsia="Calibri" w:hAnsi="Calibri" w:cs="Calibri"/>
              <w:color w:val="0070C0"/>
              <w:lang w:val="pl-PL"/>
            </w:rPr>
          </w:pPr>
          <w:r w:rsidRPr="003D16D1">
            <w:rPr>
              <w:rFonts w:ascii="Calibri" w:eastAsia="Calibri" w:hAnsi="Calibri" w:cs="Calibri"/>
              <w:i/>
              <w:color w:val="0070C0"/>
              <w:lang w:val="pl-PL"/>
            </w:rPr>
            <w:t>4.</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Faza IV: Ocena ryzyk projektu </w:t>
          </w:r>
        </w:p>
        <w:p w14:paraId="75F97633" w14:textId="06F068CB" w:rsidR="00343533" w:rsidRPr="00374F74" w:rsidRDefault="00343533">
          <w:pPr>
            <w:pStyle w:val="Spistreci1"/>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0070C0"/>
              <w:lang w:val="pl-PL"/>
            </w:rPr>
            <w:t>Phase IV: Project risk assessment</w:t>
          </w:r>
          <w:r w:rsidRPr="00374F74">
            <w:rPr>
              <w:lang w:val="pl-PL"/>
            </w:rPr>
            <w:tab/>
          </w:r>
          <w:r>
            <w:fldChar w:fldCharType="begin"/>
          </w:r>
          <w:r w:rsidRPr="00374F74">
            <w:rPr>
              <w:lang w:val="pl-PL"/>
            </w:rPr>
            <w:instrText xml:space="preserve"> PAGEREF _Toc95378007 \h </w:instrText>
          </w:r>
          <w:r>
            <w:fldChar w:fldCharType="separate"/>
          </w:r>
          <w:r w:rsidRPr="00374F74">
            <w:rPr>
              <w:lang w:val="pl-PL"/>
            </w:rPr>
            <w:t>96</w:t>
          </w:r>
          <w:r>
            <w:fldChar w:fldCharType="end"/>
          </w:r>
        </w:p>
        <w:p w14:paraId="17A8E892" w14:textId="77777777" w:rsidR="007308A9"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4.1</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Analiza wrażliwości                                                         </w:t>
          </w:r>
        </w:p>
        <w:p w14:paraId="7E3871F1" w14:textId="27197BA3"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4.1</w:t>
          </w:r>
          <w:r w:rsidRPr="00343533">
            <w:rPr>
              <w:rFonts w:ascii="Calibri" w:eastAsia="Calibri" w:hAnsi="Calibri" w:cs="Calibri"/>
              <w:color w:val="4F81BD"/>
              <w:lang w:val="pl-PL"/>
            </w:rPr>
            <w:t xml:space="preserve">   Sensitivity</w:t>
          </w:r>
          <w:r w:rsidRPr="00343533">
            <w:rPr>
              <w:rFonts w:ascii="Calibri" w:eastAsia="Calibri" w:hAnsi="Calibri" w:cs="Calibri"/>
              <w:i/>
              <w:color w:val="4F81BD"/>
              <w:lang w:val="pl-PL"/>
            </w:rPr>
            <w:t xml:space="preserve"> analysis</w:t>
          </w:r>
          <w:r w:rsidRPr="00343533">
            <w:rPr>
              <w:lang w:val="pl-PL"/>
            </w:rPr>
            <w:tab/>
          </w:r>
          <w:r>
            <w:fldChar w:fldCharType="begin"/>
          </w:r>
          <w:r w:rsidRPr="00343533">
            <w:rPr>
              <w:lang w:val="pl-PL"/>
            </w:rPr>
            <w:instrText xml:space="preserve"> PAGEREF _Toc95378008 \h </w:instrText>
          </w:r>
          <w:r>
            <w:fldChar w:fldCharType="separate"/>
          </w:r>
          <w:r w:rsidRPr="00343533">
            <w:rPr>
              <w:lang w:val="pl-PL"/>
            </w:rPr>
            <w:t>97</w:t>
          </w:r>
          <w:r>
            <w:fldChar w:fldCharType="end"/>
          </w:r>
        </w:p>
        <w:p w14:paraId="1499E021" w14:textId="77777777" w:rsidR="003365B1"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4.2</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Analiza ryzyka               </w:t>
          </w:r>
        </w:p>
        <w:p w14:paraId="56782EA6" w14:textId="51F45051"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4.2</w:t>
          </w:r>
          <w:r w:rsidRPr="00343533">
            <w:rPr>
              <w:rFonts w:ascii="Calibri" w:eastAsia="Calibri" w:hAnsi="Calibri" w:cs="Calibri"/>
              <w:color w:val="4F81BD"/>
              <w:lang w:val="pl-PL"/>
            </w:rPr>
            <w:t xml:space="preserve"> </w:t>
          </w:r>
          <w:r w:rsidR="003365B1">
            <w:rPr>
              <w:rFonts w:ascii="Calibri" w:eastAsia="Calibri" w:hAnsi="Calibri" w:cs="Calibri"/>
              <w:color w:val="4F81BD"/>
              <w:lang w:val="pl-PL"/>
            </w:rPr>
            <w:t xml:space="preserve"> </w:t>
          </w:r>
          <w:r w:rsidRPr="00343533">
            <w:rPr>
              <w:rFonts w:ascii="Calibri" w:eastAsia="Calibri" w:hAnsi="Calibri" w:cs="Calibri"/>
              <w:i/>
              <w:color w:val="4F81BD"/>
              <w:lang w:val="pl-PL"/>
            </w:rPr>
            <w:t>Risk analysis</w:t>
          </w:r>
          <w:r w:rsidRPr="00343533">
            <w:rPr>
              <w:lang w:val="pl-PL"/>
            </w:rPr>
            <w:tab/>
          </w:r>
          <w:r>
            <w:fldChar w:fldCharType="begin"/>
          </w:r>
          <w:r w:rsidRPr="00343533">
            <w:rPr>
              <w:lang w:val="pl-PL"/>
            </w:rPr>
            <w:instrText xml:space="preserve"> PAGEREF _Toc95378009 \h </w:instrText>
          </w:r>
          <w:r>
            <w:fldChar w:fldCharType="separate"/>
          </w:r>
          <w:r w:rsidRPr="00343533">
            <w:rPr>
              <w:lang w:val="pl-PL"/>
            </w:rPr>
            <w:t>99</w:t>
          </w:r>
          <w:r>
            <w:fldChar w:fldCharType="end"/>
          </w:r>
        </w:p>
        <w:p w14:paraId="30406E1F"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4.3</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Przedstawienie wyników oceny ryzyka          </w:t>
          </w:r>
        </w:p>
        <w:p w14:paraId="5BA27922" w14:textId="6C9BCE26"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D16D1">
            <w:rPr>
              <w:rFonts w:ascii="Calibri" w:eastAsia="Calibri" w:hAnsi="Calibri" w:cs="Calibri"/>
              <w:i/>
              <w:color w:val="4F81BD"/>
              <w:lang w:val="pl-PL"/>
            </w:rPr>
            <w:t>4.3</w:t>
          </w:r>
          <w:r w:rsidRPr="003D16D1">
            <w:rPr>
              <w:rFonts w:ascii="Calibri" w:eastAsia="Calibri" w:hAnsi="Calibri" w:cs="Calibri"/>
              <w:color w:val="4F81BD"/>
              <w:lang w:val="pl-PL"/>
            </w:rPr>
            <w:t xml:space="preserve">   </w:t>
          </w:r>
          <w:r w:rsidRPr="003D16D1">
            <w:rPr>
              <w:rFonts w:ascii="Calibri" w:eastAsia="Calibri" w:hAnsi="Calibri" w:cs="Calibri"/>
              <w:i/>
              <w:color w:val="4F81BD"/>
              <w:lang w:val="pl-PL"/>
            </w:rPr>
            <w:t>Risk assessment output presentation</w:t>
          </w:r>
          <w:r w:rsidRPr="00343533">
            <w:rPr>
              <w:lang w:val="pl-PL"/>
            </w:rPr>
            <w:tab/>
          </w:r>
          <w:r>
            <w:fldChar w:fldCharType="begin"/>
          </w:r>
          <w:r w:rsidRPr="00343533">
            <w:rPr>
              <w:lang w:val="pl-PL"/>
            </w:rPr>
            <w:instrText xml:space="preserve"> PAGEREF _Toc95378010 \h </w:instrText>
          </w:r>
          <w:r>
            <w:fldChar w:fldCharType="separate"/>
          </w:r>
          <w:r w:rsidRPr="00343533">
            <w:rPr>
              <w:lang w:val="pl-PL"/>
            </w:rPr>
            <w:t>106</w:t>
          </w:r>
          <w:r>
            <w:fldChar w:fldCharType="end"/>
          </w:r>
        </w:p>
        <w:p w14:paraId="7F6D7223" w14:textId="77777777" w:rsidR="007308A9" w:rsidRDefault="00343533">
          <w:pPr>
            <w:pStyle w:val="Spistreci1"/>
            <w:rPr>
              <w:rFonts w:ascii="Calibri" w:eastAsia="Calibri" w:hAnsi="Calibri" w:cs="Calibri"/>
              <w:color w:val="0070C0"/>
              <w:lang w:val="pl-PL"/>
            </w:rPr>
          </w:pPr>
          <w:r w:rsidRPr="003D16D1">
            <w:rPr>
              <w:rFonts w:ascii="Calibri" w:eastAsia="Calibri" w:hAnsi="Calibri" w:cs="Calibri"/>
              <w:color w:val="0070C0"/>
              <w:lang w:val="pl-PL"/>
            </w:rPr>
            <w:t>5.</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Wpływ na zatrudnienie </w:t>
          </w:r>
        </w:p>
        <w:p w14:paraId="030DFD99" w14:textId="5E766780" w:rsidR="00343533" w:rsidRPr="00343533" w:rsidRDefault="00343533">
          <w:pPr>
            <w:pStyle w:val="Spistreci1"/>
            <w:rPr>
              <w:rFonts w:asciiTheme="minorHAnsi" w:eastAsiaTheme="minorEastAsia" w:hAnsiTheme="minorHAnsi" w:cstheme="minorBidi"/>
              <w:snapToGrid/>
              <w:color w:val="auto"/>
              <w:sz w:val="22"/>
              <w:szCs w:val="22"/>
              <w:lang w:val="pl-PL" w:eastAsia="en-GB"/>
            </w:rPr>
          </w:pPr>
          <w:r w:rsidRPr="003D16D1">
            <w:rPr>
              <w:rFonts w:ascii="Calibri" w:eastAsia="Calibri" w:hAnsi="Calibri" w:cs="Calibri"/>
              <w:i/>
              <w:color w:val="0070C0"/>
              <w:lang w:val="pl-PL"/>
            </w:rPr>
            <w:t>Impact on employment</w:t>
          </w:r>
          <w:r w:rsidRPr="00343533">
            <w:rPr>
              <w:lang w:val="pl-PL"/>
            </w:rPr>
            <w:tab/>
          </w:r>
          <w:r>
            <w:fldChar w:fldCharType="begin"/>
          </w:r>
          <w:r w:rsidRPr="00343533">
            <w:rPr>
              <w:lang w:val="pl-PL"/>
            </w:rPr>
            <w:instrText xml:space="preserve"> PAGEREF _Toc95378011 \h </w:instrText>
          </w:r>
          <w:r>
            <w:fldChar w:fldCharType="separate"/>
          </w:r>
          <w:r w:rsidRPr="00343533">
            <w:rPr>
              <w:lang w:val="pl-PL"/>
            </w:rPr>
            <w:t>109</w:t>
          </w:r>
          <w:r>
            <w:fldChar w:fldCharType="end"/>
          </w:r>
        </w:p>
        <w:p w14:paraId="76FEA9C4"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5.1</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Miejsca pracy utworzone na etapie realizacji         </w:t>
          </w:r>
        </w:p>
        <w:p w14:paraId="4AC68DCE" w14:textId="671DA2E2" w:rsidR="00343533" w:rsidRPr="007308A9" w:rsidRDefault="00343533">
          <w:pPr>
            <w:pStyle w:val="Spistreci2"/>
            <w:rPr>
              <w:rFonts w:asciiTheme="minorHAnsi" w:eastAsiaTheme="minorEastAsia" w:hAnsiTheme="minorHAnsi" w:cstheme="minorBidi"/>
              <w:snapToGrid/>
              <w:color w:val="auto"/>
              <w:szCs w:val="22"/>
              <w:lang w:val="en-GB" w:eastAsia="en-GB"/>
            </w:rPr>
          </w:pPr>
          <w:r w:rsidRPr="007308A9">
            <w:rPr>
              <w:rFonts w:ascii="Calibri" w:eastAsia="Calibri" w:hAnsi="Calibri" w:cs="Calibri"/>
              <w:i/>
              <w:color w:val="4F81BD"/>
              <w:lang w:val="en-GB"/>
            </w:rPr>
            <w:t>5.1   Jobs created during implementation stage</w:t>
          </w:r>
          <w:r w:rsidRPr="007308A9">
            <w:rPr>
              <w:lang w:val="en-GB"/>
            </w:rPr>
            <w:tab/>
          </w:r>
          <w:r>
            <w:fldChar w:fldCharType="begin"/>
          </w:r>
          <w:r w:rsidRPr="007308A9">
            <w:rPr>
              <w:lang w:val="en-GB"/>
            </w:rPr>
            <w:instrText xml:space="preserve"> PAGEREF _Toc95378012 \h </w:instrText>
          </w:r>
          <w:r>
            <w:fldChar w:fldCharType="separate"/>
          </w:r>
          <w:r w:rsidRPr="007308A9">
            <w:rPr>
              <w:lang w:val="en-GB"/>
            </w:rPr>
            <w:t>109</w:t>
          </w:r>
          <w:r>
            <w:fldChar w:fldCharType="end"/>
          </w:r>
        </w:p>
        <w:p w14:paraId="31B9D1FA"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5.2</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Miejsca pracy utworzone (lub zlikwidowane) na etapie eksploatacji </w:t>
          </w:r>
        </w:p>
        <w:p w14:paraId="3E3AECA8" w14:textId="6A64A278" w:rsidR="00343533" w:rsidRPr="007308A9" w:rsidRDefault="00343533">
          <w:pPr>
            <w:pStyle w:val="Spistreci2"/>
            <w:rPr>
              <w:rFonts w:asciiTheme="minorHAnsi" w:eastAsiaTheme="minorEastAsia" w:hAnsiTheme="minorHAnsi" w:cstheme="minorBidi"/>
              <w:snapToGrid/>
              <w:color w:val="auto"/>
              <w:szCs w:val="22"/>
              <w:lang w:val="en-GB" w:eastAsia="en-GB"/>
            </w:rPr>
          </w:pPr>
          <w:r w:rsidRPr="007308A9">
            <w:rPr>
              <w:rFonts w:ascii="Calibri" w:eastAsia="Calibri" w:hAnsi="Calibri" w:cs="Calibri"/>
              <w:i/>
              <w:color w:val="4F81BD"/>
              <w:lang w:val="en-GB"/>
            </w:rPr>
            <w:t>5.2</w:t>
          </w:r>
          <w:r w:rsidRPr="007308A9">
            <w:rPr>
              <w:rFonts w:ascii="Calibri" w:eastAsia="Calibri" w:hAnsi="Calibri" w:cs="Calibri"/>
              <w:color w:val="4F81BD"/>
              <w:lang w:val="en-GB"/>
            </w:rPr>
            <w:t xml:space="preserve">    </w:t>
          </w:r>
          <w:r w:rsidRPr="007308A9">
            <w:rPr>
              <w:rFonts w:ascii="Calibri" w:eastAsia="Calibri" w:hAnsi="Calibri" w:cs="Calibri"/>
              <w:i/>
              <w:color w:val="4F81BD"/>
              <w:lang w:val="en-GB"/>
            </w:rPr>
            <w:t>Jobs created (or eliminated) during the operation stage</w:t>
          </w:r>
          <w:r w:rsidRPr="007308A9">
            <w:rPr>
              <w:lang w:val="en-GB"/>
            </w:rPr>
            <w:tab/>
          </w:r>
          <w:r>
            <w:fldChar w:fldCharType="begin"/>
          </w:r>
          <w:r w:rsidRPr="007308A9">
            <w:rPr>
              <w:lang w:val="en-GB"/>
            </w:rPr>
            <w:instrText xml:space="preserve"> PAGEREF _Toc95378013 \h </w:instrText>
          </w:r>
          <w:r>
            <w:fldChar w:fldCharType="separate"/>
          </w:r>
          <w:r w:rsidRPr="007308A9">
            <w:rPr>
              <w:lang w:val="en-GB"/>
            </w:rPr>
            <w:t>111</w:t>
          </w:r>
          <w:r>
            <w:fldChar w:fldCharType="end"/>
          </w:r>
        </w:p>
        <w:p w14:paraId="027C1DE2" w14:textId="4A8817BF" w:rsidR="007308A9" w:rsidRDefault="00343533">
          <w:pPr>
            <w:pStyle w:val="Spistreci1"/>
            <w:rPr>
              <w:rFonts w:ascii="Calibri" w:eastAsia="Calibri" w:hAnsi="Calibri" w:cs="Calibri"/>
              <w:color w:val="0070C0"/>
              <w:lang w:val="pl-PL"/>
            </w:rPr>
          </w:pPr>
          <w:r w:rsidRPr="00374F74">
            <w:rPr>
              <w:rFonts w:asciiTheme="minorHAnsi" w:eastAsiaTheme="minorEastAsia" w:hAnsiTheme="minorHAnsi" w:cstheme="minorBidi"/>
              <w:snapToGrid/>
              <w:color w:val="auto"/>
              <w:sz w:val="22"/>
              <w:szCs w:val="22"/>
              <w:lang w:val="en-GB" w:eastAsia="en-GB"/>
            </w:rPr>
            <w:tab/>
          </w:r>
          <w:r w:rsidRPr="003D16D1">
            <w:rPr>
              <w:rFonts w:ascii="Calibri" w:eastAsia="Calibri" w:hAnsi="Calibri" w:cs="Calibri"/>
              <w:color w:val="0070C0"/>
              <w:lang w:val="pl-PL"/>
            </w:rPr>
            <w:t xml:space="preserve">Literatura i literatura uzupełniająca                </w:t>
          </w:r>
        </w:p>
        <w:p w14:paraId="7595CB2F" w14:textId="72D8CEA2" w:rsidR="00343533" w:rsidRPr="00343533" w:rsidRDefault="00343533">
          <w:pPr>
            <w:pStyle w:val="Spistreci1"/>
            <w:rPr>
              <w:rFonts w:asciiTheme="minorHAnsi" w:eastAsiaTheme="minorEastAsia" w:hAnsiTheme="minorHAnsi" w:cstheme="minorBidi"/>
              <w:snapToGrid/>
              <w:color w:val="auto"/>
              <w:sz w:val="22"/>
              <w:szCs w:val="22"/>
              <w:lang w:val="pl-PL" w:eastAsia="en-GB"/>
            </w:rPr>
          </w:pPr>
          <w:r w:rsidRPr="003D16D1">
            <w:rPr>
              <w:rFonts w:ascii="Calibri" w:eastAsia="Calibri" w:hAnsi="Calibri" w:cs="Calibri"/>
              <w:color w:val="0070C0"/>
              <w:lang w:val="pl-PL"/>
            </w:rPr>
            <w:t xml:space="preserve"> </w:t>
          </w:r>
          <w:r w:rsidRPr="003D16D1">
            <w:rPr>
              <w:rFonts w:ascii="Calibri" w:eastAsia="Calibri" w:hAnsi="Calibri" w:cs="Calibri"/>
              <w:i/>
              <w:color w:val="0070C0"/>
              <w:lang w:val="pl-PL"/>
            </w:rPr>
            <w:t>Literature and supplementary literature</w:t>
          </w:r>
          <w:r w:rsidRPr="00343533">
            <w:rPr>
              <w:lang w:val="pl-PL"/>
            </w:rPr>
            <w:tab/>
          </w:r>
          <w:r>
            <w:fldChar w:fldCharType="begin"/>
          </w:r>
          <w:r w:rsidRPr="00343533">
            <w:rPr>
              <w:lang w:val="pl-PL"/>
            </w:rPr>
            <w:instrText xml:space="preserve"> PAGEREF _Toc95378014 \h </w:instrText>
          </w:r>
          <w:r>
            <w:fldChar w:fldCharType="separate"/>
          </w:r>
          <w:r w:rsidRPr="00343533">
            <w:rPr>
              <w:lang w:val="pl-PL"/>
            </w:rPr>
            <w:t>112</w:t>
          </w:r>
          <w:r>
            <w:fldChar w:fldCharType="end"/>
          </w:r>
        </w:p>
        <w:p w14:paraId="4D8292D3" w14:textId="77777777" w:rsidR="007308A9" w:rsidRDefault="00343533">
          <w:pPr>
            <w:pStyle w:val="Spistreci1"/>
            <w:rPr>
              <w:rFonts w:ascii="Calibri" w:eastAsia="Calibri" w:hAnsi="Calibri" w:cs="Calibri"/>
              <w:color w:val="0070C0"/>
            </w:rPr>
          </w:pPr>
          <w:r w:rsidRPr="003D16D1">
            <w:rPr>
              <w:rFonts w:ascii="Noto Sans Symbols" w:eastAsia="Noto Sans Symbols" w:hAnsi="Noto Sans Symbols" w:cs="Noto Sans Symbols"/>
              <w:color w:val="0070C0"/>
            </w:rPr>
            <w:t>▪</w:t>
          </w:r>
          <w:r>
            <w:rPr>
              <w:rFonts w:asciiTheme="minorHAnsi" w:eastAsiaTheme="minorEastAsia" w:hAnsiTheme="minorHAnsi" w:cstheme="minorBidi"/>
              <w:snapToGrid/>
              <w:color w:val="auto"/>
              <w:sz w:val="22"/>
              <w:szCs w:val="22"/>
              <w:lang w:val="en-GB" w:eastAsia="en-GB"/>
            </w:rPr>
            <w:tab/>
          </w:r>
          <w:r w:rsidRPr="003D16D1">
            <w:rPr>
              <w:rFonts w:ascii="Calibri" w:eastAsia="Calibri" w:hAnsi="Calibri" w:cs="Calibri"/>
              <w:color w:val="0070C0"/>
            </w:rPr>
            <w:t xml:space="preserve">Definicje i akronimy          </w:t>
          </w:r>
        </w:p>
        <w:p w14:paraId="0EA0C855" w14:textId="3D56FF07" w:rsidR="00343533" w:rsidRDefault="00343533">
          <w:pPr>
            <w:pStyle w:val="Spistreci1"/>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0070C0"/>
            </w:rPr>
            <w:t>Definitions and Acronyms</w:t>
          </w:r>
          <w:r>
            <w:tab/>
          </w:r>
          <w:r>
            <w:fldChar w:fldCharType="begin"/>
          </w:r>
          <w:r>
            <w:instrText xml:space="preserve"> PAGEREF _Toc95378015 \h </w:instrText>
          </w:r>
          <w:r>
            <w:fldChar w:fldCharType="separate"/>
          </w:r>
          <w:r>
            <w:t>116</w:t>
          </w:r>
          <w:r>
            <w:fldChar w:fldCharType="end"/>
          </w:r>
        </w:p>
        <w:p w14:paraId="1E893449" w14:textId="77777777" w:rsidR="007308A9" w:rsidRDefault="00343533">
          <w:pPr>
            <w:pStyle w:val="Spistreci1"/>
            <w:rPr>
              <w:rFonts w:ascii="Calibri" w:eastAsia="Calibri" w:hAnsi="Calibri" w:cs="Calibri"/>
              <w:color w:val="0070C0"/>
              <w:lang w:val="pl-PL"/>
            </w:rPr>
          </w:pPr>
          <w:r w:rsidRPr="003D16D1">
            <w:rPr>
              <w:rFonts w:ascii="Calibri" w:eastAsia="Calibri" w:hAnsi="Calibri" w:cs="Calibri"/>
              <w:color w:val="0070C0"/>
              <w:lang w:val="pl-PL"/>
            </w:rPr>
            <w:t xml:space="preserve">Załącznik A: Jednostkowe koszty ekonomiczne i finansowe </w:t>
          </w:r>
        </w:p>
        <w:p w14:paraId="49321AE7" w14:textId="3DDE91B9" w:rsidR="00343533" w:rsidRPr="007308A9" w:rsidRDefault="00343533">
          <w:pPr>
            <w:pStyle w:val="Spistreci1"/>
            <w:rPr>
              <w:rFonts w:asciiTheme="minorHAnsi" w:eastAsiaTheme="minorEastAsia" w:hAnsiTheme="minorHAnsi" w:cstheme="minorBidi"/>
              <w:snapToGrid/>
              <w:color w:val="auto"/>
              <w:sz w:val="22"/>
              <w:szCs w:val="22"/>
              <w:lang w:val="en-GB" w:eastAsia="en-GB"/>
            </w:rPr>
          </w:pPr>
          <w:r w:rsidRPr="007308A9">
            <w:rPr>
              <w:rFonts w:asciiTheme="minorHAnsi" w:hAnsiTheme="minorHAnsi"/>
              <w:i/>
              <w:color w:val="0070C0"/>
              <w:lang w:val="en-GB"/>
            </w:rPr>
            <w:t>Appendix A: Economic and financial unit costs</w:t>
          </w:r>
          <w:r w:rsidRPr="007308A9">
            <w:rPr>
              <w:lang w:val="en-GB"/>
            </w:rPr>
            <w:tab/>
          </w:r>
          <w:r>
            <w:fldChar w:fldCharType="begin"/>
          </w:r>
          <w:r w:rsidRPr="007308A9">
            <w:rPr>
              <w:lang w:val="en-GB"/>
            </w:rPr>
            <w:instrText xml:space="preserve"> PAGEREF _Toc95378016 \h </w:instrText>
          </w:r>
          <w:r>
            <w:fldChar w:fldCharType="separate"/>
          </w:r>
          <w:r w:rsidRPr="007308A9">
            <w:rPr>
              <w:lang w:val="en-GB"/>
            </w:rPr>
            <w:t>122</w:t>
          </w:r>
          <w:r>
            <w:fldChar w:fldCharType="end"/>
          </w:r>
        </w:p>
        <w:p w14:paraId="5D9627BF" w14:textId="77777777" w:rsidR="007308A9"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B: Prognozy ruchu                                               </w:t>
          </w:r>
        </w:p>
        <w:p w14:paraId="223EE856" w14:textId="53F0F28F" w:rsidR="00343533" w:rsidRPr="00343533" w:rsidRDefault="00343533">
          <w:pPr>
            <w:pStyle w:val="Spistreci1"/>
            <w:rPr>
              <w:rFonts w:asciiTheme="minorHAnsi" w:eastAsiaTheme="minorEastAsia" w:hAnsiTheme="minorHAnsi" w:cstheme="minorBidi"/>
              <w:snapToGrid/>
              <w:color w:val="auto"/>
              <w:sz w:val="22"/>
              <w:szCs w:val="22"/>
              <w:lang w:val="pl-PL" w:eastAsia="en-GB"/>
            </w:rPr>
          </w:pPr>
          <w:r w:rsidRPr="003D16D1">
            <w:rPr>
              <w:rFonts w:ascii="Calibri" w:eastAsia="Calibri" w:hAnsi="Calibri" w:cs="Calibri"/>
              <w:color w:val="0070C0"/>
              <w:lang w:val="pl-PL"/>
            </w:rPr>
            <w:t>Appendix B: Traffic forecasts</w:t>
          </w:r>
          <w:r w:rsidRPr="00343533">
            <w:rPr>
              <w:lang w:val="pl-PL"/>
            </w:rPr>
            <w:tab/>
          </w:r>
          <w:r>
            <w:fldChar w:fldCharType="begin"/>
          </w:r>
          <w:r w:rsidRPr="00343533">
            <w:rPr>
              <w:lang w:val="pl-PL"/>
            </w:rPr>
            <w:instrText xml:space="preserve"> PAGEREF _Toc95378017 \h </w:instrText>
          </w:r>
          <w:r>
            <w:fldChar w:fldCharType="separate"/>
          </w:r>
          <w:r w:rsidRPr="00343533">
            <w:rPr>
              <w:lang w:val="pl-PL"/>
            </w:rPr>
            <w:t>152</w:t>
          </w:r>
          <w:r>
            <w:fldChar w:fldCharType="end"/>
          </w:r>
        </w:p>
        <w:p w14:paraId="2CC1C8FF" w14:textId="77777777" w:rsidR="007308A9"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C: Podstawy metodologiczne obliczania współczynników                      </w:t>
          </w:r>
          <w:r w:rsidRPr="003D16D1">
            <w:rPr>
              <w:rFonts w:ascii="Calibri" w:eastAsia="Calibri" w:hAnsi="Calibri" w:cs="Calibri"/>
              <w:color w:val="0070C0"/>
              <w:vertAlign w:val="superscript"/>
              <w:lang w:val="pl-PL"/>
            </w:rPr>
            <w:t xml:space="preserve">  </w:t>
          </w:r>
          <w:r w:rsidRPr="003D16D1">
            <w:rPr>
              <w:rFonts w:ascii="Calibri" w:eastAsia="Calibri" w:hAnsi="Calibri" w:cs="Calibri"/>
              <w:color w:val="0070C0"/>
              <w:lang w:val="pl-PL"/>
            </w:rPr>
            <w:t xml:space="preserve">przeliczeniowych (konwersji) </w:t>
          </w:r>
        </w:p>
        <w:p w14:paraId="6263EB9B" w14:textId="1502F01A" w:rsidR="00343533" w:rsidRPr="007308A9" w:rsidRDefault="00343533">
          <w:pPr>
            <w:pStyle w:val="Spistreci1"/>
            <w:rPr>
              <w:rFonts w:asciiTheme="minorHAnsi" w:eastAsiaTheme="minorEastAsia" w:hAnsiTheme="minorHAnsi" w:cstheme="minorBidi"/>
              <w:snapToGrid/>
              <w:color w:val="auto"/>
              <w:sz w:val="22"/>
              <w:szCs w:val="22"/>
              <w:lang w:val="en-GB" w:eastAsia="en-GB"/>
            </w:rPr>
          </w:pPr>
          <w:r w:rsidRPr="007308A9">
            <w:rPr>
              <w:rFonts w:ascii="Calibri" w:eastAsia="Calibri" w:hAnsi="Calibri" w:cs="Calibri"/>
              <w:i/>
              <w:color w:val="0070C0"/>
              <w:lang w:val="en-GB"/>
            </w:rPr>
            <w:t>Appendix C: Methodological background to calculate Conversion Factors</w:t>
          </w:r>
          <w:r w:rsidRPr="007308A9">
            <w:rPr>
              <w:lang w:val="en-GB"/>
            </w:rPr>
            <w:tab/>
          </w:r>
          <w:r>
            <w:fldChar w:fldCharType="begin"/>
          </w:r>
          <w:r w:rsidRPr="007308A9">
            <w:rPr>
              <w:lang w:val="en-GB"/>
            </w:rPr>
            <w:instrText xml:space="preserve"> PAGEREF _Toc95378018 \h </w:instrText>
          </w:r>
          <w:r>
            <w:fldChar w:fldCharType="separate"/>
          </w:r>
          <w:r w:rsidRPr="007308A9">
            <w:rPr>
              <w:lang w:val="en-GB"/>
            </w:rPr>
            <w:t>170</w:t>
          </w:r>
          <w:r>
            <w:fldChar w:fldCharType="end"/>
          </w:r>
        </w:p>
        <w:p w14:paraId="57BD7258" w14:textId="77777777" w:rsidR="00573A14"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D: Podstawy metodologiczne obliczania jednostkowych </w:t>
          </w:r>
          <w:r w:rsidRPr="003D16D1">
            <w:rPr>
              <w:rFonts w:ascii="Calibri" w:eastAsia="Calibri" w:hAnsi="Calibri" w:cs="Calibri"/>
              <w:color w:val="0070C0"/>
              <w:vertAlign w:val="superscript"/>
              <w:lang w:val="pl-PL"/>
            </w:rPr>
            <w:t xml:space="preserve"> </w:t>
          </w:r>
          <w:r w:rsidRPr="003D16D1">
            <w:rPr>
              <w:rFonts w:ascii="Calibri" w:eastAsia="Calibri" w:hAnsi="Calibri" w:cs="Calibri"/>
              <w:color w:val="0070C0"/>
              <w:lang w:val="pl-PL"/>
            </w:rPr>
            <w:t xml:space="preserve">kosztów </w:t>
          </w:r>
        </w:p>
        <w:p w14:paraId="6766027F" w14:textId="7879123C" w:rsidR="007308A9" w:rsidRPr="00374F74" w:rsidRDefault="00343533">
          <w:pPr>
            <w:pStyle w:val="Spistreci1"/>
            <w:rPr>
              <w:rFonts w:ascii="Calibri" w:eastAsia="Calibri" w:hAnsi="Calibri" w:cs="Calibri"/>
              <w:color w:val="0070C0"/>
              <w:lang w:val="en-GB"/>
            </w:rPr>
          </w:pPr>
          <w:r w:rsidRPr="00374F74">
            <w:rPr>
              <w:rFonts w:ascii="Calibri" w:eastAsia="Calibri" w:hAnsi="Calibri" w:cs="Calibri"/>
              <w:color w:val="0070C0"/>
              <w:lang w:val="en-GB"/>
            </w:rPr>
            <w:t xml:space="preserve">eksploatacji pojazdów (VOC) </w:t>
          </w:r>
        </w:p>
        <w:p w14:paraId="4676350B" w14:textId="77777777" w:rsidR="007308A9" w:rsidRDefault="00343533">
          <w:pPr>
            <w:pStyle w:val="Spistreci1"/>
            <w:rPr>
              <w:rFonts w:ascii="Calibri" w:eastAsia="Calibri" w:hAnsi="Calibri" w:cs="Calibri"/>
              <w:i/>
              <w:color w:val="0070C0"/>
              <w:lang w:val="en-GB"/>
            </w:rPr>
          </w:pPr>
          <w:r w:rsidRPr="007308A9">
            <w:rPr>
              <w:rFonts w:ascii="Calibri" w:eastAsia="Calibri" w:hAnsi="Calibri" w:cs="Calibri"/>
              <w:i/>
              <w:color w:val="0070C0"/>
              <w:lang w:val="en-GB"/>
            </w:rPr>
            <w:t>Appendix D: Methodological backgr</w:t>
          </w:r>
          <w:r w:rsidR="007308A9">
            <w:rPr>
              <w:rFonts w:ascii="Calibri" w:eastAsia="Calibri" w:hAnsi="Calibri" w:cs="Calibri"/>
              <w:i/>
              <w:color w:val="0070C0"/>
              <w:lang w:val="en-GB"/>
            </w:rPr>
            <w:t xml:space="preserve">ound to calculate unit Vehicle </w:t>
          </w:r>
        </w:p>
        <w:p w14:paraId="2E527446" w14:textId="359F9725" w:rsidR="00343533" w:rsidRPr="00374F74" w:rsidRDefault="00343533">
          <w:pPr>
            <w:pStyle w:val="Spistreci1"/>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0070C0"/>
              <w:lang w:val="pl-PL"/>
            </w:rPr>
            <w:t>Operating Costs (VOC)</w:t>
          </w:r>
          <w:r w:rsidRPr="00374F74">
            <w:rPr>
              <w:lang w:val="pl-PL"/>
            </w:rPr>
            <w:tab/>
          </w:r>
          <w:r>
            <w:fldChar w:fldCharType="begin"/>
          </w:r>
          <w:r w:rsidRPr="00374F74">
            <w:rPr>
              <w:lang w:val="pl-PL"/>
            </w:rPr>
            <w:instrText xml:space="preserve"> PAGEREF _Toc95378019 \h </w:instrText>
          </w:r>
          <w:r>
            <w:fldChar w:fldCharType="separate"/>
          </w:r>
          <w:r w:rsidRPr="00374F74">
            <w:rPr>
              <w:lang w:val="pl-PL"/>
            </w:rPr>
            <w:t>173</w:t>
          </w:r>
          <w:r>
            <w:fldChar w:fldCharType="end"/>
          </w:r>
        </w:p>
        <w:p w14:paraId="1B63E973" w14:textId="77777777" w:rsidR="007308A9"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E: Metody obliczania kosztów wypadków drogowych </w:t>
          </w:r>
        </w:p>
        <w:p w14:paraId="04055563" w14:textId="6E48BED4" w:rsidR="008F06BF" w:rsidRDefault="00343533" w:rsidP="003365B1">
          <w:pPr>
            <w:pStyle w:val="Spistreci1"/>
          </w:pPr>
          <w:r w:rsidRPr="00DF06FA">
            <w:rPr>
              <w:rFonts w:ascii="Calibri" w:eastAsia="Calibri" w:hAnsi="Calibri" w:cs="Calibri"/>
              <w:i/>
              <w:color w:val="0070C0"/>
              <w:lang w:val="en-GB"/>
            </w:rPr>
            <w:t>Appendix E: Methods of accidents costs calculation</w:t>
          </w:r>
          <w:r w:rsidRPr="00DF06FA">
            <w:rPr>
              <w:lang w:val="en-GB"/>
            </w:rPr>
            <w:tab/>
          </w:r>
          <w:r>
            <w:fldChar w:fldCharType="begin"/>
          </w:r>
          <w:r w:rsidRPr="00DF06FA">
            <w:rPr>
              <w:lang w:val="en-GB"/>
            </w:rPr>
            <w:instrText xml:space="preserve"> PAGEREF _Toc95378020 \h </w:instrText>
          </w:r>
          <w:r>
            <w:fldChar w:fldCharType="separate"/>
          </w:r>
          <w:r w:rsidRPr="00DF06FA">
            <w:rPr>
              <w:lang w:val="en-GB"/>
            </w:rPr>
            <w:t>183</w:t>
          </w:r>
          <w:r>
            <w:fldChar w:fldCharType="end"/>
          </w:r>
          <w:r w:rsidR="008F06BF" w:rsidRPr="00D4323B">
            <w:rPr>
              <w:sz w:val="22"/>
              <w:szCs w:val="22"/>
            </w:rPr>
            <w:fldChar w:fldCharType="end"/>
          </w:r>
        </w:p>
      </w:sdtContent>
    </w:sdt>
    <w:p w14:paraId="614696EB" w14:textId="77777777" w:rsidR="00600DEE" w:rsidRPr="00374F74" w:rsidRDefault="00641FB5">
      <w:pPr>
        <w:pBdr>
          <w:top w:val="nil"/>
          <w:left w:val="nil"/>
          <w:bottom w:val="nil"/>
          <w:right w:val="nil"/>
          <w:between w:val="nil"/>
        </w:pBdr>
        <w:tabs>
          <w:tab w:val="left" w:pos="357"/>
          <w:tab w:val="right" w:pos="8222"/>
          <w:tab w:val="left" w:pos="9638"/>
        </w:tabs>
        <w:spacing w:before="120"/>
        <w:rPr>
          <w:rFonts w:ascii="Calibri" w:eastAsia="Calibri" w:hAnsi="Calibri" w:cs="Calibri"/>
          <w:b/>
          <w:color w:val="4367C5"/>
          <w:sz w:val="48"/>
          <w:szCs w:val="48"/>
          <w:lang w:val="en-GB"/>
        </w:rPr>
        <w:sectPr w:rsidR="00600DEE" w:rsidRPr="00374F74">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1134" w:right="1134" w:bottom="1134" w:left="1134" w:header="709" w:footer="709" w:gutter="0"/>
          <w:pgNumType w:start="1"/>
          <w:cols w:space="708"/>
          <w:titlePg/>
        </w:sectPr>
      </w:pPr>
      <w:r w:rsidRPr="00374F74">
        <w:rPr>
          <w:lang w:val="en-GB"/>
        </w:rPr>
        <w:br w:type="page"/>
      </w:r>
    </w:p>
    <w:p w14:paraId="6C18AF80" w14:textId="614C5592" w:rsidR="00600DEE" w:rsidRDefault="00641FB5">
      <w:pPr>
        <w:pStyle w:val="Nagwek1"/>
        <w:rPr>
          <w:rFonts w:ascii="Calibri" w:eastAsia="Calibri" w:hAnsi="Calibri" w:cs="Calibri"/>
          <w:color w:val="0070C0"/>
        </w:rPr>
      </w:pPr>
      <w:bookmarkStart w:id="1" w:name="_Toc95377958"/>
      <w:proofErr w:type="spellStart"/>
      <w:r>
        <w:rPr>
          <w:rFonts w:ascii="Calibri" w:eastAsia="Calibri" w:hAnsi="Calibri" w:cs="Calibri"/>
          <w:color w:val="0070C0"/>
        </w:rPr>
        <w:lastRenderedPageBreak/>
        <w:t>Wprowadzenie</w:t>
      </w:r>
      <w:proofErr w:type="spellEnd"/>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t xml:space="preserve">     </w:t>
      </w:r>
      <w:r>
        <w:rPr>
          <w:rFonts w:ascii="Calibri" w:eastAsia="Calibri" w:hAnsi="Calibri" w:cs="Calibri"/>
          <w:i/>
          <w:color w:val="0070C0"/>
        </w:rPr>
        <w:t>Background</w:t>
      </w:r>
      <w:bookmarkEnd w:id="1"/>
    </w:p>
    <w:p w14:paraId="0A11C48E" w14:textId="2188394E" w:rsidR="00600DEE" w:rsidRDefault="00641FB5">
      <w:pPr>
        <w:pStyle w:val="Nagwek2"/>
        <w:rPr>
          <w:rFonts w:ascii="Calibri" w:eastAsia="Calibri" w:hAnsi="Calibri" w:cs="Calibri"/>
          <w:color w:val="4F81BD"/>
        </w:rPr>
      </w:pPr>
      <w:bookmarkStart w:id="2" w:name="_Toc95377959"/>
      <w:proofErr w:type="spellStart"/>
      <w:r>
        <w:rPr>
          <w:rFonts w:ascii="Calibri" w:eastAsia="Calibri" w:hAnsi="Calibri" w:cs="Calibri"/>
          <w:color w:val="4F81BD"/>
        </w:rPr>
        <w:t>Cel</w:t>
      </w:r>
      <w:proofErr w:type="spellEnd"/>
      <w:r>
        <w:rPr>
          <w:rFonts w:ascii="Calibri" w:eastAsia="Calibri" w:hAnsi="Calibri" w:cs="Calibri"/>
          <w:color w:val="4F81BD"/>
        </w:rPr>
        <w:t xml:space="preserve"> </w:t>
      </w:r>
      <w:proofErr w:type="spellStart"/>
      <w:r>
        <w:rPr>
          <w:rFonts w:ascii="Calibri" w:eastAsia="Calibri" w:hAnsi="Calibri" w:cs="Calibri"/>
          <w:color w:val="4F81BD"/>
        </w:rPr>
        <w:t>podręcznika</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Purpose of the manual</w:t>
      </w:r>
      <w:bookmarkEnd w:id="2"/>
    </w:p>
    <w:tbl>
      <w:tblPr>
        <w:tblStyle w:val="a"/>
        <w:tblW w:w="14571" w:type="dxa"/>
        <w:tblLayout w:type="fixed"/>
        <w:tblLook w:val="0400" w:firstRow="0" w:lastRow="0" w:firstColumn="0" w:lastColumn="0" w:noHBand="0" w:noVBand="1"/>
      </w:tblPr>
      <w:tblGrid>
        <w:gridCol w:w="7285"/>
        <w:gridCol w:w="7286"/>
      </w:tblGrid>
      <w:tr w:rsidR="00600DEE" w:rsidRPr="008C4407" w14:paraId="2DBD1526" w14:textId="77777777">
        <w:tc>
          <w:tcPr>
            <w:tcW w:w="7285" w:type="dxa"/>
            <w:tcBorders>
              <w:right w:val="single" w:sz="4" w:space="0" w:color="000000"/>
            </w:tcBorders>
            <w:tcMar>
              <w:left w:w="284" w:type="dxa"/>
              <w:right w:w="284" w:type="dxa"/>
            </w:tcMar>
          </w:tcPr>
          <w:p w14:paraId="66AE2339" w14:textId="0F55E2F5"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Celem niniejszego podręcznika jest zaprezentowanie metody przeprowadzania analizy kosztów i korzyści AKK (z ang. </w:t>
            </w:r>
            <w:proofErr w:type="spellStart"/>
            <w:r>
              <w:rPr>
                <w:rFonts w:ascii="Calibri" w:eastAsia="Calibri" w:hAnsi="Calibri" w:cs="Calibri"/>
                <w:sz w:val="20"/>
                <w:szCs w:val="20"/>
              </w:rPr>
              <w:t>cost</w:t>
            </w:r>
            <w:proofErr w:type="spellEnd"/>
            <w:r>
              <w:rPr>
                <w:rFonts w:ascii="Calibri" w:eastAsia="Calibri" w:hAnsi="Calibri" w:cs="Calibri"/>
                <w:sz w:val="20"/>
                <w:szCs w:val="20"/>
              </w:rPr>
              <w:t xml:space="preserve">-benefit </w:t>
            </w:r>
            <w:proofErr w:type="spellStart"/>
            <w:r>
              <w:rPr>
                <w:rFonts w:ascii="Calibri" w:eastAsia="Calibri" w:hAnsi="Calibri" w:cs="Calibri"/>
                <w:sz w:val="20"/>
                <w:szCs w:val="20"/>
              </w:rPr>
              <w:t>analysis</w:t>
            </w:r>
            <w:proofErr w:type="spellEnd"/>
            <w:r>
              <w:rPr>
                <w:rFonts w:ascii="Calibri" w:eastAsia="Calibri" w:hAnsi="Calibri" w:cs="Calibri"/>
                <w:sz w:val="20"/>
                <w:szCs w:val="20"/>
              </w:rPr>
              <w:t>, CBA) dla planowanych projektów inwestycyjnych w sektorze transportu w Polsce, dla których Beneficjenci ubiegają się o pomoc finansową z funduszy Unii Europejskiej 2021-2027. Niniejsza Drogowa Niebieska Księga jest częścią serii Niebieskich Ksiąg obejmujących sektor transportu ( infrastruktura drogowa, infrastruktura kolejowa, transport publiczny). Zaleca się, aby podstawowe zasady przedstawione w niniejszym podręczniku dotyczyły wszelkich projektów, finansowanych ze środków publicznych w sektorze drogowym, niezależnie od źródła ich finansowania. Proponowana metodologia bazuje na odpowiednio dobranych najlepszych praktykach i jest zgodna z kluczowymi wytycznymi Komisji Europejskiej.</w:t>
            </w:r>
            <w:r w:rsidR="00573A14">
              <w:rPr>
                <w:rFonts w:ascii="Calibri" w:eastAsia="Calibri" w:hAnsi="Calibri" w:cs="Calibri"/>
                <w:sz w:val="20"/>
                <w:szCs w:val="20"/>
              </w:rPr>
              <w:t xml:space="preserve"> </w:t>
            </w:r>
          </w:p>
          <w:p w14:paraId="418A1EEB" w14:textId="5D08F2F0"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Niebieskie Księgi są uzupełnieniem i doprecyzowaniem wytycznych Komisji Europejskiej</w:t>
            </w:r>
            <w:bookmarkStart w:id="3" w:name="_Ref91580361"/>
            <w:r>
              <w:rPr>
                <w:rFonts w:ascii="Calibri" w:eastAsia="Calibri" w:hAnsi="Calibri" w:cs="Calibri"/>
                <w:vertAlign w:val="superscript"/>
              </w:rPr>
              <w:footnoteReference w:id="1"/>
            </w:r>
            <w:bookmarkEnd w:id="3"/>
            <w:r>
              <w:rPr>
                <w:rFonts w:ascii="Calibri" w:eastAsia="Calibri" w:hAnsi="Calibri" w:cs="Calibri"/>
                <w:sz w:val="20"/>
                <w:szCs w:val="20"/>
                <w:vertAlign w:val="superscript"/>
              </w:rPr>
              <w:t xml:space="preserve"> </w:t>
            </w:r>
            <w:r>
              <w:rPr>
                <w:rFonts w:ascii="Calibri" w:eastAsia="Calibri" w:hAnsi="Calibri" w:cs="Calibri"/>
                <w:sz w:val="20"/>
                <w:szCs w:val="20"/>
              </w:rPr>
              <w:t>oraz wytycznych krajowych</w:t>
            </w:r>
            <w:r w:rsidR="008155F6">
              <w:rPr>
                <w:rFonts w:ascii="Calibri" w:eastAsia="Calibri" w:hAnsi="Calibri" w:cs="Calibri"/>
                <w:sz w:val="20"/>
                <w:szCs w:val="20"/>
                <w:vertAlign w:val="superscript"/>
              </w:rPr>
              <w:t>2</w:t>
            </w:r>
            <w:r>
              <w:rPr>
                <w:rFonts w:ascii="Calibri" w:eastAsia="Calibri" w:hAnsi="Calibri" w:cs="Calibri"/>
                <w:sz w:val="20"/>
                <w:szCs w:val="20"/>
              </w:rPr>
              <w:t xml:space="preserve"> w zakresie przygotowania AKK. W przypadku ewentualnych zmian w europejskich lub krajowych wytycznych, niektóre zapisy niniejszej Niebieskiej Księgi mogą ulec dezaktualizacji i w tych aspektach wytyczne europejskie i krajowe będą wiążące.</w:t>
            </w:r>
          </w:p>
          <w:p w14:paraId="5C333E9C" w14:textId="4E901127" w:rsidR="00600DEE" w:rsidRPr="00E12F72" w:rsidRDefault="00641FB5" w:rsidP="00E12F72">
            <w:pPr>
              <w:pBdr>
                <w:top w:val="nil"/>
                <w:left w:val="nil"/>
                <w:bottom w:val="nil"/>
                <w:right w:val="nil"/>
                <w:between w:val="nil"/>
              </w:pBdr>
              <w:spacing w:before="120" w:after="120"/>
              <w:ind w:left="-12" w:firstLine="12"/>
              <w:jc w:val="both"/>
              <w:rPr>
                <w:rFonts w:ascii="Calibri" w:eastAsia="Calibri" w:hAnsi="Calibri" w:cs="Calibri"/>
                <w:color w:val="000000"/>
                <w:sz w:val="20"/>
                <w:szCs w:val="20"/>
              </w:rPr>
            </w:pPr>
            <w:bookmarkStart w:id="4" w:name="_heading=h.3znysh7" w:colFirst="0" w:colLast="0"/>
            <w:bookmarkEnd w:id="4"/>
            <w:r>
              <w:rPr>
                <w:rFonts w:ascii="Calibri" w:eastAsia="Calibri" w:hAnsi="Calibri" w:cs="Calibri"/>
                <w:color w:val="000000"/>
                <w:sz w:val="20"/>
                <w:szCs w:val="20"/>
              </w:rPr>
              <w:t xml:space="preserve">Ponadto, celem Niebieskich Ksiąg jest ułatwienie wdrażania krajowych i unijnych polityk w sektorze transportu. W tym sensie mają one szczególne znaczenie dla zapewnienia spójności projektów transportowych z celami Porozumienia Paryskiego i unijnego Zielonego Ładu stanowiącymi podstawę aktualnych polityk </w:t>
            </w:r>
            <w:r>
              <w:rPr>
                <w:rFonts w:ascii="Calibri" w:eastAsia="Calibri" w:hAnsi="Calibri" w:cs="Calibri"/>
                <w:color w:val="000000"/>
                <w:sz w:val="20"/>
                <w:szCs w:val="20"/>
              </w:rPr>
              <w:lastRenderedPageBreak/>
              <w:t xml:space="preserve">UE. Dotyczą one m.in.: (i) redukcji gazów cieplarnianych oraz osiągnięcia w UE celu neutralności klimatycznej do 2050 r.  oraz (ii) odporności na zmiany klimatu. </w:t>
            </w:r>
          </w:p>
          <w:p w14:paraId="34F5BB6B" w14:textId="18DED401"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Konkretne cele sektora transportu wymagają szczególnej uwagi na poziomie UE: (i) oczekuje się redukcji gazów cieplarnianych emitowanych przez transport o 90% do 2050 r. w porównaniu z poziomem z 1990 r. oraz (ii) odporności sektora transportu na zmiany klimatu. Ponadto oczekuje się, że te polityki i cele zostaną odpowiednio przełożone na poziom krajowy (w tym sektorowy). Proces uwzględniania tych uwarunkowań i celów w Polsce, w planach krajowych</w:t>
            </w:r>
            <w:r w:rsidR="009A6C17" w:rsidRPr="009A6C17">
              <w:rPr>
                <w:rFonts w:ascii="Calibri" w:eastAsia="Calibri" w:hAnsi="Calibri" w:cs="Calibri"/>
                <w:color w:val="000000"/>
                <w:sz w:val="20"/>
                <w:szCs w:val="20"/>
                <w:vertAlign w:val="superscript"/>
              </w:rPr>
              <w:t>3</w:t>
            </w:r>
            <w:r>
              <w:rPr>
                <w:rFonts w:ascii="Calibri" w:eastAsia="Calibri" w:hAnsi="Calibri" w:cs="Calibri"/>
                <w:color w:val="000000"/>
                <w:sz w:val="20"/>
                <w:szCs w:val="20"/>
              </w:rPr>
              <w:t>, regionalnych i lokalnych jeszcze trwa, zarówno dla planów regionalnych i lokalnych jak i sektorowych.</w:t>
            </w:r>
          </w:p>
          <w:p w14:paraId="5223BC0E"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Plany transportowe (na poziomie krajowym, regionalnym czy każdym innym odpowiednim poziomie) powinny zatem uwzględniać problematykę zmian klimatu jako jeden z kluczowych celów. A zatem, w ramach tych planów należy dokonać oceny: (i) spodziewanych poziomów emisji gazów cieplarnianych emitowanych w analizowanym okresie (oraz w kontekście spodziewanych wartości docelowych, o ile zostały one określone dla danego planu); oraz (ii) odporności na zmiany klimatu systemów transportowych poprzez przeprowadzenie oceny wrażliwości na zmiany klimatu i oceny ryzyka. W niniejszej Niebieskiej Księdze zawarto zasady obliczania szacunkowych wartości emisji gazów cieplarnianych dla projektów transportowych (analogiczne zasady mogą być zastosowane na poziomie planów). Odniesiono się również do zagadnienia odporności na zmiany klimatu, nie mniej jednak szczegółowy opis ram metodologicznych do oceny odporności na zmiany klimatu nie jest w zakresie tej Niebieskiej Księgi.</w:t>
            </w:r>
          </w:p>
          <w:p w14:paraId="3FF24A2A"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Celem Niebieskiej Księgi jest określenie zasad i założeń oraz spójnego podejścia do analiz kosztów i korzyści w celu zapewnienia porównywalności i spójności w ocenie projektów w ramach sektora transportu, a także pomocy przy przygotowywaniu analiz przez Beneficjentów kiedykolwiek będzie to konieczne.</w:t>
            </w:r>
          </w:p>
          <w:p w14:paraId="4D14085F" w14:textId="243D28F6"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Zadaniem niniejszego podręcznika nie było sformułowanie szczegółowych wytycznych dla wszystkich sytuacji, które może napotkać osoba analizująca projekt. Z powodu ogromnej różnorodności potencjalne możliwych projektów, założenia i rekomendacje przedstawione w tym podręczniku mają wyłącznie charakter wskazówek i może zaistnieć konieczność zastosowania dodatkowego szczegółowego podejścia w odniesieniu do pewnych szczególnych okoliczności związanych z danym projektem. Bardziej szczegółowe informacje można znaleźć </w:t>
            </w:r>
            <w:r>
              <w:rPr>
                <w:rFonts w:ascii="Calibri" w:eastAsia="Calibri" w:hAnsi="Calibri" w:cs="Calibri"/>
                <w:sz w:val="20"/>
                <w:szCs w:val="20"/>
              </w:rPr>
              <w:lastRenderedPageBreak/>
              <w:t>w klasycznych podręcznikach do analizy kosztów i korzyści (patrz odwołania w </w:t>
            </w:r>
            <w:r w:rsidR="004D5549">
              <w:rPr>
                <w:rFonts w:asciiTheme="minorHAnsi" w:hAnsiTheme="minorHAnsi"/>
                <w:sz w:val="20"/>
              </w:rPr>
              <w:t>rozdziale „Literatura i literatura uzupełniająca” na końcu głównej części niniejszej Niebieskiej Księgi)</w:t>
            </w:r>
            <w:r>
              <w:rPr>
                <w:rFonts w:ascii="Calibri" w:eastAsia="Calibri" w:hAnsi="Calibri" w:cs="Calibri"/>
                <w:sz w:val="20"/>
                <w:szCs w:val="20"/>
              </w:rPr>
              <w:t>, a wszystkie wykorzystywane założenia i odniesienia metodyczne są odpowiednio opisane w stopkach metodycznych oraz załącznikach. Zakłada się, że podmioty i osoby przygotowujące analizy kosztów i korzyści w oparciu o niniejszy podręcznik posiadają wiedzę teoretyczną, przygotowanie merytoryczne i doświadczenie w tym zakresie.</w:t>
            </w:r>
          </w:p>
          <w:p w14:paraId="1491F98F"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Techniki przedstawione w tym podręczniku, przy ich prawidłowym stosowaniu, (i) pomogą w wyborze optymalnego rozwiązania, które zrealizuje cele projektu oraz wygeneruje korzyści </w:t>
            </w:r>
            <w:proofErr w:type="spellStart"/>
            <w:r>
              <w:rPr>
                <w:rFonts w:ascii="Calibri" w:eastAsia="Calibri" w:hAnsi="Calibri" w:cs="Calibri"/>
                <w:sz w:val="20"/>
                <w:szCs w:val="20"/>
              </w:rPr>
              <w:t>społeczno</w:t>
            </w:r>
            <w:proofErr w:type="spellEnd"/>
            <w:r>
              <w:rPr>
                <w:rFonts w:ascii="Calibri" w:eastAsia="Calibri" w:hAnsi="Calibri" w:cs="Calibri"/>
                <w:sz w:val="20"/>
                <w:szCs w:val="20"/>
              </w:rPr>
              <w:t>–ekonomiczne przy zapewnieniu najbardziej efektywnego sposobu wykorzystania środków publicznych; oraz/lub (ii) potwierdzą adekwatność i uzasadnienie ekonomiczne zaproponowanego rozwiązania zmierzającego do spełnienia określonych celów projektu.</w:t>
            </w:r>
          </w:p>
          <w:p w14:paraId="3F1F9CA5"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Zaleca się stosowanie podstawowych zasad tego podręcznika do wszystkich projektów, które będą finansowane z funduszy publicznych z zakresu infrastruktury drogowej. </w:t>
            </w:r>
          </w:p>
          <w:p w14:paraId="3AC93A89"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Zaleca się dostosowanie stopnia skomplikowania analizy do wielkości i złożoności projektów tak, aby uniknąć zbędnego nakładu pracy w przypadku małych projektów.</w:t>
            </w:r>
          </w:p>
          <w:p w14:paraId="54D77661"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Projekty przygotowywane w oparciu o wcześniejsze edycje Niebieskiej Księgi w okresie poprzedzającym opublikowanie ostatecznej wersji niniejszego podręcznika, nie będą weryfikowane pod względem zgodności zastosowanej metodyki, stawek kosztów jednostkowych i innych elementów opisanych w podręczniku, ale oczywiście będą podlegały merytorycznej ocenie poprawności zastosowanych rozwiązań zgodnie z wymaganiami KE dla Perspektywy 2021 – 2027.</w:t>
            </w:r>
          </w:p>
        </w:tc>
        <w:tc>
          <w:tcPr>
            <w:tcW w:w="7286" w:type="dxa"/>
            <w:tcBorders>
              <w:left w:val="single" w:sz="4" w:space="0" w:color="000000"/>
            </w:tcBorders>
            <w:tcMar>
              <w:left w:w="284" w:type="dxa"/>
              <w:right w:w="284" w:type="dxa"/>
            </w:tcMar>
          </w:tcPr>
          <w:p w14:paraId="68E5548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The purpose of this Manual is to present the methodology for performing a cost-benefit analysis (CBA) for transport investment projects to be implemented in Poland, for which the Beneficiaries are applying for financial contribution from EU funds 2021-2027. The present Roads Blue Book is part of a series of Blue Books covering the transport sector (road infrastructure, railway infrastructure, public transport).</w:t>
            </w:r>
            <w:r w:rsidRPr="0045151D">
              <w:rPr>
                <w:lang w:val="en-GB"/>
              </w:rPr>
              <w:t xml:space="preserve"> </w:t>
            </w:r>
            <w:r w:rsidRPr="0045151D">
              <w:rPr>
                <w:rFonts w:ascii="Calibri" w:eastAsia="Calibri" w:hAnsi="Calibri" w:cs="Calibri"/>
                <w:sz w:val="20"/>
                <w:szCs w:val="20"/>
                <w:lang w:val="en-GB"/>
              </w:rPr>
              <w:t>We recommend that the basic principles of this manual apply to all projects to be financed from public funds in the road sector, regardless the source of their financing. The suggested methodology encompasses intentionally adopted best practices and follows key European Commission guidelines.</w:t>
            </w:r>
          </w:p>
          <w:p w14:paraId="40E9CC50" w14:textId="79C57A1E"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The Blue Books are complementary to and provide further details with regards to the guidelines of the European Commission</w:t>
            </w:r>
            <w:r w:rsidRPr="0045151D">
              <w:rPr>
                <w:rFonts w:ascii="Calibri" w:eastAsia="Calibri" w:hAnsi="Calibri" w:cs="Calibri"/>
                <w:sz w:val="20"/>
                <w:szCs w:val="20"/>
                <w:vertAlign w:val="superscript"/>
                <w:lang w:val="en-GB"/>
              </w:rPr>
              <w:t>1</w:t>
            </w:r>
            <w:r w:rsidRPr="0045151D">
              <w:rPr>
                <w:rFonts w:ascii="Calibri" w:eastAsia="Calibri" w:hAnsi="Calibri" w:cs="Calibri"/>
                <w:sz w:val="20"/>
                <w:szCs w:val="20"/>
                <w:lang w:val="en-GB"/>
              </w:rPr>
              <w:t xml:space="preserve"> and the national guidelines</w:t>
            </w:r>
            <w:r w:rsidR="008155F6">
              <w:rPr>
                <w:rStyle w:val="Odwoanieprzypisudolnego"/>
                <w:rFonts w:ascii="Calibri" w:eastAsia="Calibri" w:hAnsi="Calibri" w:cs="Calibri"/>
                <w:sz w:val="20"/>
                <w:szCs w:val="20"/>
                <w:lang w:val="en-GB"/>
              </w:rPr>
              <w:footnoteReference w:id="2"/>
            </w:r>
            <w:r w:rsidRPr="0045151D">
              <w:rPr>
                <w:rFonts w:ascii="Calibri" w:eastAsia="Calibri" w:hAnsi="Calibri" w:cs="Calibri"/>
                <w:sz w:val="20"/>
                <w:szCs w:val="20"/>
                <w:lang w:val="en-GB"/>
              </w:rPr>
              <w:t xml:space="preserve"> concerning the preparation of cost-benefit analysis (CBA). In case changes of the European and/or the national guidelines would occur in the future which would make some of the provisions of this Blue Book outdated, the European and national guidelines should prevail.</w:t>
            </w:r>
          </w:p>
          <w:p w14:paraId="644FF526"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Furthermore, the Blue Books aim at facilitating implementation of national and EU policies in the transport sector. In this sense, it is of special relevance to ensure that transport projects are aligned with the goals of Paris Agreement and EU Green Deal being at the core of current EU policies. It includes: (</w:t>
            </w:r>
            <w:proofErr w:type="spellStart"/>
            <w:r w:rsidRPr="0045151D">
              <w:rPr>
                <w:rFonts w:ascii="Calibri" w:eastAsia="Calibri" w:hAnsi="Calibri" w:cs="Calibri"/>
                <w:sz w:val="20"/>
                <w:szCs w:val="20"/>
                <w:lang w:val="en-GB"/>
              </w:rPr>
              <w:t>i</w:t>
            </w:r>
            <w:proofErr w:type="spellEnd"/>
            <w:r w:rsidRPr="0045151D">
              <w:rPr>
                <w:rFonts w:ascii="Calibri" w:eastAsia="Calibri" w:hAnsi="Calibri" w:cs="Calibri"/>
                <w:sz w:val="20"/>
                <w:szCs w:val="20"/>
                <w:lang w:val="en-GB"/>
              </w:rPr>
              <w:t xml:space="preserve">) reduction of GHG emissions and EU climate neutrality target by 2050; and (ii) resilience to climate change. </w:t>
            </w:r>
          </w:p>
          <w:p w14:paraId="6A7C95B5" w14:textId="77777777" w:rsidR="00600DEE" w:rsidRPr="0045151D" w:rsidRDefault="00600DEE">
            <w:pPr>
              <w:spacing w:after="120"/>
              <w:ind w:right="28"/>
              <w:jc w:val="both"/>
              <w:rPr>
                <w:rFonts w:ascii="Calibri" w:eastAsia="Calibri" w:hAnsi="Calibri" w:cs="Calibri"/>
                <w:sz w:val="20"/>
                <w:szCs w:val="20"/>
                <w:lang w:val="en-GB"/>
              </w:rPr>
            </w:pPr>
          </w:p>
          <w:p w14:paraId="2CD7D832" w14:textId="77777777" w:rsidR="00600DEE" w:rsidRPr="0045151D" w:rsidRDefault="00641FB5" w:rsidP="00E12F72">
            <w:pPr>
              <w:spacing w:before="120"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Specific objectives for transport sector require special attention at EU level: (</w:t>
            </w:r>
            <w:proofErr w:type="spellStart"/>
            <w:r w:rsidRPr="0045151D">
              <w:rPr>
                <w:rFonts w:ascii="Calibri" w:eastAsia="Calibri" w:hAnsi="Calibri" w:cs="Calibri"/>
                <w:sz w:val="20"/>
                <w:szCs w:val="20"/>
                <w:lang w:val="en-GB"/>
              </w:rPr>
              <w:t>i</w:t>
            </w:r>
            <w:proofErr w:type="spellEnd"/>
            <w:r w:rsidRPr="0045151D">
              <w:rPr>
                <w:rFonts w:ascii="Calibri" w:eastAsia="Calibri" w:hAnsi="Calibri" w:cs="Calibri"/>
                <w:sz w:val="20"/>
                <w:szCs w:val="20"/>
                <w:lang w:val="en-GB"/>
              </w:rPr>
              <w:t>) transport GHG emissions are expected to be reduced by 90% in 2050 compared to 1990 levels; and (ii) resilience of transport mobility to climate change impacts. Additionally, those policies and targets are expected to be duly considered at national level (including sectoral levels). In Poland, the process of including those considerations and targets in national</w:t>
            </w:r>
            <w:bookmarkStart w:id="5" w:name="_Ref91580431"/>
            <w:r>
              <w:rPr>
                <w:rFonts w:ascii="Calibri" w:eastAsia="Calibri" w:hAnsi="Calibri" w:cs="Calibri"/>
                <w:sz w:val="20"/>
                <w:szCs w:val="20"/>
                <w:vertAlign w:val="superscript"/>
              </w:rPr>
              <w:footnoteReference w:id="3"/>
            </w:r>
            <w:bookmarkEnd w:id="5"/>
            <w:r w:rsidRPr="0045151D">
              <w:rPr>
                <w:rFonts w:ascii="Calibri" w:eastAsia="Calibri" w:hAnsi="Calibri" w:cs="Calibri"/>
                <w:sz w:val="20"/>
                <w:szCs w:val="20"/>
                <w:lang w:val="en-GB"/>
              </w:rPr>
              <w:t>, regional and local Plans is on-going, both for the regional and local Plans and for the sectoral ones.</w:t>
            </w:r>
          </w:p>
          <w:p w14:paraId="6F8DCB5B"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Transport Plans (at national, regional or any other relevant level) are, therefore, expected to include climate change considerations as part of key objectives. Therefore, those Plans should assess: (</w:t>
            </w:r>
            <w:proofErr w:type="spellStart"/>
            <w:r w:rsidRPr="0045151D">
              <w:rPr>
                <w:rFonts w:ascii="Calibri" w:eastAsia="Calibri" w:hAnsi="Calibri" w:cs="Calibri"/>
                <w:sz w:val="20"/>
                <w:szCs w:val="20"/>
                <w:lang w:val="en-GB"/>
              </w:rPr>
              <w:t>i</w:t>
            </w:r>
            <w:proofErr w:type="spellEnd"/>
            <w:r w:rsidRPr="0045151D">
              <w:rPr>
                <w:rFonts w:ascii="Calibri" w:eastAsia="Calibri" w:hAnsi="Calibri" w:cs="Calibri"/>
                <w:sz w:val="20"/>
                <w:szCs w:val="20"/>
                <w:lang w:val="en-GB"/>
              </w:rPr>
              <w:t>) the expected levels of GHG emissions generated along the analysed period (and in relation to expected targets if those are set for the specific Plan); and (ii) climate change resilience of the transport systems covered by conducting climate change vulnerability and risk assessment.  The Blue Books present the calculation principles for estimations of GHG emissions of transport projects (equivalent principles can be applied at the Planning level). They will also refer to climate change resilience considerations; nevertheless, the details of the methodological assessment framework for climate resilience are not object of this Blue Book scope.</w:t>
            </w:r>
          </w:p>
          <w:p w14:paraId="2DBF500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purpose of the Blue Book is to define the principles, objectives and a coherent approach to the CBA to ensure comparability and consistency in the evaluation of projects in the transport sector as well as to assist the Beneficiaries in the preparation of such analysis wherever necessary. </w:t>
            </w:r>
          </w:p>
          <w:p w14:paraId="1F6EF571" w14:textId="38DA2180"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This manual is not meant to provide detailed guidelines for all circumstances a project analyst may face. Due to the vast diversity of possible projects, assumptions and recommendations presented in this manual have the character of guidelines and specific solutions might have to be applied with regard to specific project circumstances. More detailed guidance can be found in classic handbooks and manuals on CBA (see </w:t>
            </w:r>
            <w:r w:rsidR="004D5549">
              <w:rPr>
                <w:rFonts w:asciiTheme="minorHAnsi" w:hAnsiTheme="minorHAnsi"/>
                <w:sz w:val="20"/>
                <w:lang w:val="en-GB"/>
              </w:rPr>
              <w:t>section “Literature and supplementary literature” at the end of the main part of this Blue Book</w:t>
            </w:r>
            <w:r w:rsidRPr="0045151D">
              <w:rPr>
                <w:rFonts w:ascii="Calibri" w:eastAsia="Calibri" w:hAnsi="Calibri" w:cs="Calibri"/>
                <w:sz w:val="20"/>
                <w:szCs w:val="20"/>
                <w:lang w:val="en-GB"/>
              </w:rPr>
              <w:t xml:space="preserve">), and all assumptions and methodological background used are adequately referenced in methodical footers and appendices. It is assumed that the entities and experts preparing cost-benefit analysis using this manual have the theoretical knowledge, specialized background and necessary experience in this field. </w:t>
            </w:r>
          </w:p>
          <w:p w14:paraId="7ECAA70B"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A proper application of the techniques presented in the Manual will (</w:t>
            </w:r>
            <w:proofErr w:type="spellStart"/>
            <w:r w:rsidRPr="0045151D">
              <w:rPr>
                <w:rFonts w:ascii="Calibri" w:eastAsia="Calibri" w:hAnsi="Calibri" w:cs="Calibri"/>
                <w:sz w:val="20"/>
                <w:szCs w:val="20"/>
                <w:lang w:val="en-GB"/>
              </w:rPr>
              <w:t>i</w:t>
            </w:r>
            <w:proofErr w:type="spellEnd"/>
            <w:r w:rsidRPr="0045151D">
              <w:rPr>
                <w:rFonts w:ascii="Calibri" w:eastAsia="Calibri" w:hAnsi="Calibri" w:cs="Calibri"/>
                <w:sz w:val="20"/>
                <w:szCs w:val="20"/>
                <w:lang w:val="en-GB"/>
              </w:rPr>
              <w:t xml:space="preserve">) help to choose the optimal solution achieving project objectives and delivering socio-economic benefits while ensuring the most effective use of public funds; and/or (ii) provide confirmation of the adequacy and economic justification of the proposed solution aiming to meet the defined project objectives, </w:t>
            </w:r>
          </w:p>
          <w:p w14:paraId="3F775DA3"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It is recommended to apply the basic principles of this manual to all road infrastructure projects which are to be financed from the public funds. </w:t>
            </w:r>
          </w:p>
          <w:p w14:paraId="61500DC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It is recommended to adapt the level of complexity of the analysis to the size and complexity of projects to avoid unnecessary work in the case of small projects.</w:t>
            </w:r>
          </w:p>
          <w:p w14:paraId="572E7EA3" w14:textId="77777777" w:rsidR="00600DEE" w:rsidRPr="0045151D" w:rsidRDefault="00641FB5">
            <w:pPr>
              <w:jc w:val="both"/>
              <w:rPr>
                <w:rFonts w:ascii="Calibri" w:eastAsia="Calibri" w:hAnsi="Calibri" w:cs="Calibri"/>
                <w:lang w:val="en-GB"/>
              </w:rPr>
            </w:pPr>
            <w:r w:rsidRPr="0045151D">
              <w:rPr>
                <w:rFonts w:ascii="Calibri" w:eastAsia="Calibri" w:hAnsi="Calibri" w:cs="Calibri"/>
                <w:sz w:val="20"/>
                <w:szCs w:val="20"/>
                <w:lang w:val="en-GB"/>
              </w:rPr>
              <w:t>Projects prepared on the basis of previous editions of the Blue Book, in the period prior to the publication of the final version of this manual, will not be verified in terms of compliance of the applied methods, unit costs rates and other elements described in the manual, but they will certainly be subject to substantial assessment of the correctness of the applied solutions vis a vis requirements of the EC for the 2021-2027 Financial Perspective.</w:t>
            </w:r>
          </w:p>
        </w:tc>
      </w:tr>
    </w:tbl>
    <w:p w14:paraId="49E115CA" w14:textId="77E61F5C" w:rsidR="00600DEE" w:rsidRDefault="00641FB5">
      <w:pPr>
        <w:pStyle w:val="Nagwek2"/>
        <w:ind w:right="26"/>
        <w:rPr>
          <w:rFonts w:ascii="Calibri" w:eastAsia="Calibri" w:hAnsi="Calibri" w:cs="Calibri"/>
          <w:color w:val="4F81BD"/>
        </w:rPr>
      </w:pPr>
      <w:bookmarkStart w:id="6" w:name="_Toc95377960"/>
      <w:proofErr w:type="spellStart"/>
      <w:r>
        <w:rPr>
          <w:rFonts w:ascii="Calibri" w:eastAsia="Calibri" w:hAnsi="Calibri" w:cs="Calibri"/>
          <w:color w:val="4F81BD"/>
        </w:rPr>
        <w:lastRenderedPageBreak/>
        <w:t>Tło</w:t>
      </w:r>
      <w:proofErr w:type="spellEnd"/>
      <w:r>
        <w:rPr>
          <w:rFonts w:ascii="Calibri" w:eastAsia="Calibri" w:hAnsi="Calibri" w:cs="Calibri"/>
          <w:color w:val="4F81BD"/>
        </w:rPr>
        <w:t xml:space="preserve"> </w:t>
      </w:r>
      <w:proofErr w:type="spellStart"/>
      <w:r>
        <w:rPr>
          <w:rFonts w:ascii="Calibri" w:eastAsia="Calibri" w:hAnsi="Calibri" w:cs="Calibri"/>
          <w:color w:val="4F81BD"/>
        </w:rPr>
        <w:t>przygotowania</w:t>
      </w:r>
      <w:proofErr w:type="spellEnd"/>
      <w:r>
        <w:rPr>
          <w:rFonts w:ascii="Calibri" w:eastAsia="Calibri" w:hAnsi="Calibri" w:cs="Calibri"/>
          <w:color w:val="4F81BD"/>
        </w:rPr>
        <w:t xml:space="preserve"> </w:t>
      </w:r>
      <w:proofErr w:type="spellStart"/>
      <w:r>
        <w:rPr>
          <w:rFonts w:ascii="Calibri" w:eastAsia="Calibri" w:hAnsi="Calibri" w:cs="Calibri"/>
          <w:color w:val="4F81BD"/>
        </w:rPr>
        <w:t>podręcznika</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Background of the manual preparation</w:t>
      </w:r>
      <w:bookmarkEnd w:id="6"/>
    </w:p>
    <w:tbl>
      <w:tblPr>
        <w:tblStyle w:val="a0"/>
        <w:tblW w:w="14571" w:type="dxa"/>
        <w:tblLayout w:type="fixed"/>
        <w:tblLook w:val="0400" w:firstRow="0" w:lastRow="0" w:firstColumn="0" w:lastColumn="0" w:noHBand="0" w:noVBand="1"/>
      </w:tblPr>
      <w:tblGrid>
        <w:gridCol w:w="7285"/>
        <w:gridCol w:w="7286"/>
      </w:tblGrid>
      <w:tr w:rsidR="00600DEE" w:rsidRPr="008C4407" w14:paraId="03209F46" w14:textId="77777777">
        <w:tc>
          <w:tcPr>
            <w:tcW w:w="7285" w:type="dxa"/>
            <w:tcBorders>
              <w:right w:val="single" w:sz="4" w:space="0" w:color="000000"/>
            </w:tcBorders>
            <w:tcMar>
              <w:left w:w="284" w:type="dxa"/>
              <w:right w:w="284" w:type="dxa"/>
            </w:tcMar>
          </w:tcPr>
          <w:p w14:paraId="5B0DCF0E"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Niniejszy podręcznik jest rekomendowany przez Ministerstwo Funduszy i Polityki Regionalnej (</w:t>
            </w:r>
            <w:proofErr w:type="spellStart"/>
            <w:r>
              <w:rPr>
                <w:rFonts w:ascii="Calibri" w:eastAsia="Calibri" w:hAnsi="Calibri" w:cs="Calibri"/>
                <w:sz w:val="20"/>
                <w:szCs w:val="20"/>
              </w:rPr>
              <w:t>MFiPR</w:t>
            </w:r>
            <w:proofErr w:type="spellEnd"/>
            <w:r>
              <w:rPr>
                <w:rFonts w:ascii="Calibri" w:eastAsia="Calibri" w:hAnsi="Calibri" w:cs="Calibri"/>
                <w:sz w:val="20"/>
                <w:szCs w:val="20"/>
              </w:rPr>
              <w:t>), które jest Instytucją Zarządzającą dla Programu Operacyjnego Fundusze Europejskie na Infrastrukturę, Klimat i Środowisko (</w:t>
            </w:r>
            <w:proofErr w:type="spellStart"/>
            <w:r>
              <w:rPr>
                <w:rFonts w:ascii="Calibri" w:eastAsia="Calibri" w:hAnsi="Calibri" w:cs="Calibri"/>
                <w:sz w:val="20"/>
                <w:szCs w:val="20"/>
              </w:rPr>
              <w:t>FEnIKS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MFiPR</w:t>
            </w:r>
            <w:proofErr w:type="spellEnd"/>
            <w:r>
              <w:rPr>
                <w:rFonts w:ascii="Calibri" w:eastAsia="Calibri" w:hAnsi="Calibri" w:cs="Calibri"/>
                <w:sz w:val="20"/>
                <w:szCs w:val="20"/>
              </w:rPr>
              <w:t xml:space="preserve"> i CUPT zwróciły się do JASPERS (Wspólna Pomoc dla Projektów w Europejskich Regionach) z prośbą o wsparcie w opracowaniu aktualizacji podręcznika, który był stosowany </w:t>
            </w:r>
            <w:r>
              <w:rPr>
                <w:rFonts w:ascii="Calibri" w:eastAsia="Calibri" w:hAnsi="Calibri" w:cs="Calibri"/>
                <w:sz w:val="20"/>
                <w:szCs w:val="20"/>
              </w:rPr>
              <w:lastRenderedPageBreak/>
              <w:t>w poprzedniej perspektywie finansowej, w celu uwzględnienia nowych regulacji KE dla perspektywy finansowej 2021-2027.</w:t>
            </w:r>
          </w:p>
          <w:p w14:paraId="3BCD42C6" w14:textId="28D0A11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Obecna wersja stanowi aktualizację poprzedniej edycji podręcznika opracowanej w 2006</w:t>
            </w:r>
            <w:r w:rsidR="009A6C17">
              <w:rPr>
                <w:rStyle w:val="Odwoanieprzypisudolnego"/>
                <w:rFonts w:ascii="Calibri" w:eastAsia="Calibri" w:hAnsi="Calibri" w:cs="Calibri"/>
                <w:sz w:val="20"/>
                <w:szCs w:val="20"/>
              </w:rPr>
              <w:footnoteReference w:id="4"/>
            </w:r>
            <w:r>
              <w:rPr>
                <w:rFonts w:ascii="Calibri" w:eastAsia="Calibri" w:hAnsi="Calibri" w:cs="Calibri"/>
                <w:sz w:val="20"/>
                <w:szCs w:val="20"/>
              </w:rPr>
              <w:t>, 2008</w:t>
            </w:r>
            <w:bookmarkStart w:id="7" w:name="_Ref91580470"/>
            <w:r w:rsidR="009A6C17">
              <w:rPr>
                <w:rStyle w:val="Odwoanieprzypisudolnego"/>
                <w:rFonts w:ascii="Calibri" w:eastAsia="Calibri" w:hAnsi="Calibri" w:cs="Calibri"/>
                <w:sz w:val="20"/>
                <w:szCs w:val="20"/>
              </w:rPr>
              <w:footnoteReference w:id="5"/>
            </w:r>
            <w:bookmarkEnd w:id="7"/>
            <w:r>
              <w:rPr>
                <w:rFonts w:ascii="Calibri" w:eastAsia="Calibri" w:hAnsi="Calibri" w:cs="Calibri"/>
                <w:sz w:val="20"/>
                <w:szCs w:val="20"/>
              </w:rPr>
              <w:t xml:space="preserve"> i 2015</w:t>
            </w:r>
            <w:bookmarkStart w:id="8" w:name="_Ref91580476"/>
            <w:r>
              <w:rPr>
                <w:rFonts w:ascii="Calibri" w:eastAsia="Calibri" w:hAnsi="Calibri" w:cs="Calibri"/>
                <w:sz w:val="20"/>
                <w:szCs w:val="20"/>
                <w:vertAlign w:val="superscript"/>
              </w:rPr>
              <w:footnoteReference w:id="6"/>
            </w:r>
            <w:bookmarkEnd w:id="8"/>
            <w:r>
              <w:rPr>
                <w:rFonts w:ascii="Calibri" w:eastAsia="Calibri" w:hAnsi="Calibri" w:cs="Calibri"/>
                <w:sz w:val="20"/>
                <w:szCs w:val="20"/>
              </w:rPr>
              <w:t xml:space="preserve"> roku. </w:t>
            </w:r>
          </w:p>
          <w:p w14:paraId="4C8774FB"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Aktualizacja podręcznika została przeprowadzona przy aktywnym uczestnictwie ekspertów Departamentu Projektów Unijnych m.in. z Wydziału Studiów w Krakowie z GDDKiA oraz CUPT. </w:t>
            </w:r>
          </w:p>
          <w:p w14:paraId="039F8CDD"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Podręcznik, w zakresie założeń oraz metodyki wykonywania AKK, jest zgodny z zasadami przedstawionymi w opublikowanym 20 września 2021 ‘’</w:t>
            </w:r>
            <w:proofErr w:type="spellStart"/>
            <w:r>
              <w:rPr>
                <w:rFonts w:ascii="Calibri" w:eastAsia="Calibri" w:hAnsi="Calibri" w:cs="Calibri"/>
                <w:sz w:val="20"/>
                <w:szCs w:val="20"/>
              </w:rPr>
              <w:t>Economic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Appraisal</w:t>
            </w:r>
            <w:proofErr w:type="spellEnd"/>
            <w:r>
              <w:rPr>
                <w:rFonts w:ascii="Calibri" w:eastAsia="Calibri" w:hAnsi="Calibri" w:cs="Calibri"/>
                <w:sz w:val="20"/>
                <w:szCs w:val="20"/>
              </w:rPr>
              <w:t xml:space="preserve"> Vademecum 2021-2027 - General </w:t>
            </w:r>
            <w:proofErr w:type="spellStart"/>
            <w:r>
              <w:rPr>
                <w:rFonts w:ascii="Calibri" w:eastAsia="Calibri" w:hAnsi="Calibri" w:cs="Calibri"/>
                <w:sz w:val="20"/>
                <w:szCs w:val="20"/>
              </w:rPr>
              <w:t>Principles</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Sector</w:t>
            </w:r>
            <w:proofErr w:type="spellEnd"/>
            <w:r>
              <w:rPr>
                <w:rFonts w:ascii="Calibri" w:eastAsia="Calibri" w:hAnsi="Calibri" w:cs="Calibri"/>
                <w:sz w:val="20"/>
                <w:szCs w:val="20"/>
              </w:rPr>
              <w:t xml:space="preserve"> Applications” uzupełniającym przewodnik po analizie kosztów i korzyści projektów inwestycyjnych („</w:t>
            </w:r>
            <w:r>
              <w:rPr>
                <w:rFonts w:ascii="Calibri" w:eastAsia="Calibri" w:hAnsi="Calibri" w:cs="Calibri"/>
                <w:i/>
                <w:sz w:val="20"/>
                <w:szCs w:val="20"/>
              </w:rPr>
              <w:t xml:space="preserve">Guide to </w:t>
            </w:r>
            <w:proofErr w:type="spellStart"/>
            <w:r>
              <w:rPr>
                <w:rFonts w:ascii="Calibri" w:eastAsia="Calibri" w:hAnsi="Calibri" w:cs="Calibri"/>
                <w:i/>
                <w:sz w:val="20"/>
                <w:szCs w:val="20"/>
              </w:rPr>
              <w:t>Cost</w:t>
            </w:r>
            <w:proofErr w:type="spellEnd"/>
            <w:r>
              <w:rPr>
                <w:rFonts w:ascii="Calibri" w:eastAsia="Calibri" w:hAnsi="Calibri" w:cs="Calibri"/>
                <w:i/>
                <w:sz w:val="20"/>
                <w:szCs w:val="20"/>
              </w:rPr>
              <w:t xml:space="preserve">-benefit Analysis of Investment </w:t>
            </w:r>
            <w:proofErr w:type="spellStart"/>
            <w:r>
              <w:rPr>
                <w:rFonts w:ascii="Calibri" w:eastAsia="Calibri" w:hAnsi="Calibri" w:cs="Calibri"/>
                <w:i/>
                <w:sz w:val="20"/>
                <w:szCs w:val="20"/>
              </w:rPr>
              <w:t>Projects</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Economic</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appraisal</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tool</w:t>
            </w:r>
            <w:proofErr w:type="spellEnd"/>
            <w:r>
              <w:rPr>
                <w:rFonts w:ascii="Calibri" w:eastAsia="Calibri" w:hAnsi="Calibri" w:cs="Calibri"/>
                <w:i/>
                <w:sz w:val="20"/>
                <w:szCs w:val="20"/>
              </w:rPr>
              <w:t xml:space="preserve"> for </w:t>
            </w:r>
            <w:proofErr w:type="spellStart"/>
            <w:r>
              <w:rPr>
                <w:rFonts w:ascii="Calibri" w:eastAsia="Calibri" w:hAnsi="Calibri" w:cs="Calibri"/>
                <w:i/>
                <w:sz w:val="20"/>
                <w:szCs w:val="20"/>
              </w:rPr>
              <w:t>Cohesion</w:t>
            </w:r>
            <w:proofErr w:type="spellEnd"/>
            <w:r>
              <w:rPr>
                <w:rFonts w:ascii="Calibri" w:eastAsia="Calibri" w:hAnsi="Calibri" w:cs="Calibri"/>
                <w:i/>
                <w:sz w:val="20"/>
                <w:szCs w:val="20"/>
              </w:rPr>
              <w:t xml:space="preserve"> Policy 2014-2020”</w:t>
            </w:r>
            <w:r>
              <w:rPr>
                <w:rFonts w:ascii="Calibri" w:eastAsia="Calibri" w:hAnsi="Calibri" w:cs="Calibri"/>
                <w:sz w:val="20"/>
                <w:szCs w:val="20"/>
              </w:rPr>
              <w:t xml:space="preserve">) Dyrekcji Generalnej ds. Polityki Regionalnej i Miejskiej. </w:t>
            </w:r>
          </w:p>
          <w:p w14:paraId="1AEBBF4C"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Aktualizacja pozwoliła na włączenie do treści szeregu uściśleń i uaktualnień dotyczących: </w:t>
            </w:r>
          </w:p>
          <w:p w14:paraId="6116853F" w14:textId="77777777" w:rsidR="00600DEE" w:rsidRDefault="00641FB5" w:rsidP="00D5736B">
            <w:pPr>
              <w:numPr>
                <w:ilvl w:val="0"/>
                <w:numId w:val="25"/>
              </w:numPr>
              <w:pBdr>
                <w:top w:val="nil"/>
                <w:left w:val="nil"/>
                <w:bottom w:val="nil"/>
                <w:right w:val="nil"/>
                <w:between w:val="nil"/>
              </w:pBdr>
              <w:ind w:right="28"/>
              <w:jc w:val="both"/>
              <w:rPr>
                <w:rFonts w:ascii="Calibri" w:eastAsia="Calibri" w:hAnsi="Calibri" w:cs="Calibri"/>
                <w:color w:val="000000"/>
                <w:sz w:val="20"/>
                <w:szCs w:val="20"/>
              </w:rPr>
            </w:pPr>
            <w:r>
              <w:rPr>
                <w:rFonts w:ascii="Calibri" w:eastAsia="Calibri" w:hAnsi="Calibri" w:cs="Calibri"/>
                <w:color w:val="000000"/>
                <w:sz w:val="20"/>
                <w:szCs w:val="20"/>
              </w:rPr>
              <w:t xml:space="preserve">uwarunkowań związanych z modelowaniem i prognozowaniem ruchu uwzględniających wpływ innych gałęzi transportu, </w:t>
            </w:r>
          </w:p>
          <w:p w14:paraId="3802BC65" w14:textId="77777777" w:rsidR="00600DEE" w:rsidRDefault="00641FB5" w:rsidP="00D5736B">
            <w:pPr>
              <w:numPr>
                <w:ilvl w:val="0"/>
                <w:numId w:val="25"/>
              </w:numPr>
              <w:pBdr>
                <w:top w:val="nil"/>
                <w:left w:val="nil"/>
                <w:bottom w:val="nil"/>
                <w:right w:val="nil"/>
                <w:between w:val="nil"/>
              </w:pBdr>
              <w:ind w:right="28"/>
              <w:jc w:val="both"/>
              <w:rPr>
                <w:rFonts w:ascii="Calibri" w:eastAsia="Calibri" w:hAnsi="Calibri" w:cs="Calibri"/>
                <w:color w:val="000000"/>
                <w:sz w:val="20"/>
                <w:szCs w:val="20"/>
              </w:rPr>
            </w:pPr>
            <w:r>
              <w:rPr>
                <w:rFonts w:ascii="Calibri" w:eastAsia="Calibri" w:hAnsi="Calibri" w:cs="Calibri"/>
                <w:color w:val="000000"/>
                <w:sz w:val="20"/>
                <w:szCs w:val="20"/>
              </w:rPr>
              <w:t>aspektów dotyczących najnowszych polityk UE, w szczególności najnowszych polityk i celów klimatycznych,</w:t>
            </w:r>
            <w:r>
              <w:rPr>
                <w:rFonts w:ascii="Roboto" w:eastAsia="Roboto" w:hAnsi="Roboto" w:cs="Roboto"/>
                <w:color w:val="000000"/>
                <w:sz w:val="27"/>
                <w:szCs w:val="27"/>
              </w:rPr>
              <w:t xml:space="preserve"> </w:t>
            </w:r>
          </w:p>
          <w:p w14:paraId="5C0247DB" w14:textId="77777777" w:rsidR="00600DEE" w:rsidRDefault="00641FB5" w:rsidP="00D5736B">
            <w:pPr>
              <w:numPr>
                <w:ilvl w:val="0"/>
                <w:numId w:val="25"/>
              </w:numPr>
              <w:pBdr>
                <w:top w:val="nil"/>
                <w:left w:val="nil"/>
                <w:bottom w:val="nil"/>
                <w:right w:val="nil"/>
                <w:between w:val="nil"/>
              </w:pBdr>
              <w:ind w:right="28"/>
              <w:jc w:val="both"/>
              <w:rPr>
                <w:rFonts w:ascii="Calibri" w:eastAsia="Calibri" w:hAnsi="Calibri" w:cs="Calibri"/>
                <w:color w:val="000000"/>
                <w:sz w:val="20"/>
                <w:szCs w:val="20"/>
              </w:rPr>
            </w:pPr>
            <w:r>
              <w:rPr>
                <w:rFonts w:ascii="Calibri" w:eastAsia="Calibri" w:hAnsi="Calibri" w:cs="Calibri"/>
                <w:color w:val="000000"/>
                <w:sz w:val="20"/>
                <w:szCs w:val="20"/>
              </w:rPr>
              <w:t>optymalizacji przepustowości planowanych projektów drogowych na etapie analizy opcji,</w:t>
            </w:r>
            <w:r>
              <w:rPr>
                <w:rFonts w:ascii="Roboto" w:eastAsia="Roboto" w:hAnsi="Roboto" w:cs="Roboto"/>
                <w:color w:val="000000"/>
                <w:sz w:val="27"/>
                <w:szCs w:val="27"/>
                <w:shd w:val="clear" w:color="auto" w:fill="F5F5F5"/>
              </w:rPr>
              <w:t xml:space="preserve"> </w:t>
            </w:r>
          </w:p>
          <w:p w14:paraId="5E8B7C3E" w14:textId="77777777" w:rsidR="00600DEE" w:rsidRDefault="00641FB5" w:rsidP="00D5736B">
            <w:pPr>
              <w:numPr>
                <w:ilvl w:val="0"/>
                <w:numId w:val="25"/>
              </w:numPr>
              <w:pBdr>
                <w:top w:val="nil"/>
                <w:left w:val="nil"/>
                <w:bottom w:val="nil"/>
                <w:right w:val="nil"/>
                <w:between w:val="nil"/>
              </w:pBdr>
              <w:spacing w:after="120"/>
              <w:ind w:right="28"/>
              <w:jc w:val="both"/>
              <w:rPr>
                <w:rFonts w:ascii="Calibri" w:eastAsia="Calibri" w:hAnsi="Calibri" w:cs="Calibri"/>
                <w:color w:val="000000"/>
                <w:sz w:val="20"/>
                <w:szCs w:val="20"/>
              </w:rPr>
            </w:pPr>
            <w:r>
              <w:rPr>
                <w:rFonts w:ascii="Calibri" w:eastAsia="Calibri" w:hAnsi="Calibri" w:cs="Calibri"/>
                <w:color w:val="000000"/>
                <w:sz w:val="20"/>
                <w:szCs w:val="20"/>
              </w:rPr>
              <w:t xml:space="preserve">aktualizacja kosztów jednostkowych dla szeregu różnych kategorii kosztów/korzyści, w szczególności w celu uwzględnienia ewolucji floty </w:t>
            </w:r>
            <w:r>
              <w:rPr>
                <w:rFonts w:ascii="Calibri" w:eastAsia="Calibri" w:hAnsi="Calibri" w:cs="Calibri"/>
                <w:color w:val="000000"/>
                <w:sz w:val="20"/>
                <w:szCs w:val="20"/>
              </w:rPr>
              <w:lastRenderedPageBreak/>
              <w:t>pojazdów drogowych w Polsce oraz oczekiwanej elektryfikacji floty (zgodnie z celami klimatycznymi).</w:t>
            </w:r>
            <w:r>
              <w:rPr>
                <w:rFonts w:ascii="Roboto" w:eastAsia="Roboto" w:hAnsi="Roboto" w:cs="Roboto"/>
                <w:color w:val="000000"/>
                <w:sz w:val="27"/>
                <w:szCs w:val="27"/>
                <w:shd w:val="clear" w:color="auto" w:fill="F5F5F5"/>
              </w:rPr>
              <w:t xml:space="preserve"> </w:t>
            </w:r>
          </w:p>
          <w:p w14:paraId="282A2EA4" w14:textId="77777777" w:rsidR="00600DEE" w:rsidRDefault="00641FB5">
            <w:pPr>
              <w:spacing w:after="120"/>
              <w:ind w:right="28"/>
              <w:jc w:val="both"/>
              <w:rPr>
                <w:rFonts w:ascii="Calibri" w:eastAsia="Calibri" w:hAnsi="Calibri" w:cs="Calibri"/>
              </w:rPr>
            </w:pPr>
            <w:r>
              <w:rPr>
                <w:rFonts w:ascii="Calibri" w:eastAsia="Calibri" w:hAnsi="Calibri" w:cs="Calibri"/>
                <w:sz w:val="20"/>
                <w:szCs w:val="20"/>
              </w:rPr>
              <w:t>Zorganizowano również serię roboczych spotkań, na które zaproszono najważniejsze, zainteresowane tym tematem instytucje. Autorzy pragną podziękować Generalnej Dyrekcji Dróg Krajowych i Autostrad (GDDKiA), CUPT (Centrum Unijnych Projektów Transportowych), PKP Polskie Linie Kolejowe S.A. (PLK), Ministerstwu Funduszy i Polityki Regionalnej (</w:t>
            </w:r>
            <w:proofErr w:type="spellStart"/>
            <w:r>
              <w:rPr>
                <w:rFonts w:ascii="Calibri" w:eastAsia="Calibri" w:hAnsi="Calibri" w:cs="Calibri"/>
                <w:sz w:val="20"/>
                <w:szCs w:val="20"/>
              </w:rPr>
              <w:t>MFiPR</w:t>
            </w:r>
            <w:proofErr w:type="spellEnd"/>
            <w:r>
              <w:rPr>
                <w:rFonts w:ascii="Calibri" w:eastAsia="Calibri" w:hAnsi="Calibri" w:cs="Calibri"/>
                <w:sz w:val="20"/>
                <w:szCs w:val="20"/>
              </w:rPr>
              <w:t>), i wielu innym indywidualnym ekspertom, którzy wnieśli wkład do procesu konsultacji i pomogli w dokonaniu niniejszej aktualizacji oraz wszystkim tym, którzy aktywnie przyczynili się do aktualizacji Niebieskiej Księgi.</w:t>
            </w:r>
          </w:p>
        </w:tc>
        <w:tc>
          <w:tcPr>
            <w:tcW w:w="7286" w:type="dxa"/>
            <w:tcBorders>
              <w:left w:val="single" w:sz="4" w:space="0" w:color="000000"/>
            </w:tcBorders>
            <w:tcMar>
              <w:left w:w="284" w:type="dxa"/>
              <w:right w:w="284" w:type="dxa"/>
            </w:tcMar>
          </w:tcPr>
          <w:p w14:paraId="754C146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This Manual is recommended by the Ministry of Development Funds and Regional Policy (MDFRP),  the Managing Authority for the Operational Programme on Infrastructure, Climate and Environment 2021-2027 (</w:t>
            </w:r>
            <w:proofErr w:type="spellStart"/>
            <w:r w:rsidRPr="0045151D">
              <w:rPr>
                <w:rFonts w:ascii="Calibri" w:eastAsia="Calibri" w:hAnsi="Calibri" w:cs="Calibri"/>
                <w:sz w:val="20"/>
                <w:szCs w:val="20"/>
                <w:lang w:val="en-GB"/>
              </w:rPr>
              <w:t>FEnIKS</w:t>
            </w:r>
            <w:proofErr w:type="spellEnd"/>
            <w:r w:rsidRPr="0045151D">
              <w:rPr>
                <w:rFonts w:ascii="Calibri" w:eastAsia="Calibri" w:hAnsi="Calibri" w:cs="Calibri"/>
                <w:sz w:val="20"/>
                <w:szCs w:val="20"/>
                <w:lang w:val="en-GB"/>
              </w:rPr>
              <w:t xml:space="preserve">). The MDFRP and  CUPT requested JASPERS (Joint Assistance to Support Projects in the European Regions) assistance in the preparation of the updated version of the existing </w:t>
            </w:r>
            <w:r w:rsidRPr="0045151D">
              <w:rPr>
                <w:rFonts w:ascii="Calibri" w:eastAsia="Calibri" w:hAnsi="Calibri" w:cs="Calibri"/>
                <w:sz w:val="20"/>
                <w:szCs w:val="20"/>
                <w:lang w:val="en-GB"/>
              </w:rPr>
              <w:lastRenderedPageBreak/>
              <w:t>Manual (used during the previous financial perspective) to reflect the new European Commission’s regulations for 2021-2027.</w:t>
            </w:r>
          </w:p>
          <w:p w14:paraId="0C42ABA3" w14:textId="77777777" w:rsidR="00023AC0" w:rsidRPr="0045151D" w:rsidRDefault="00023AC0">
            <w:pPr>
              <w:spacing w:after="120"/>
              <w:ind w:right="28"/>
              <w:jc w:val="both"/>
              <w:rPr>
                <w:rFonts w:ascii="Calibri" w:eastAsia="Calibri" w:hAnsi="Calibri" w:cs="Calibri"/>
                <w:sz w:val="20"/>
                <w:szCs w:val="20"/>
                <w:lang w:val="en-GB"/>
              </w:rPr>
            </w:pPr>
          </w:p>
          <w:p w14:paraId="02B8AB6A" w14:textId="57F93FFE"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The present version of the Manual is an update of the previous ones prepared in 2006</w:t>
            </w:r>
            <w:r w:rsidR="009A6C17">
              <w:rPr>
                <w:rFonts w:ascii="Calibri" w:eastAsia="Calibri" w:hAnsi="Calibri" w:cs="Calibri"/>
                <w:sz w:val="20"/>
                <w:szCs w:val="20"/>
                <w:vertAlign w:val="superscript"/>
                <w:lang w:val="en-GB"/>
              </w:rPr>
              <w:t>4</w:t>
            </w:r>
            <w:r w:rsidRPr="0045151D">
              <w:rPr>
                <w:rFonts w:ascii="Calibri" w:eastAsia="Calibri" w:hAnsi="Calibri" w:cs="Calibri"/>
                <w:sz w:val="20"/>
                <w:szCs w:val="20"/>
                <w:lang w:val="en-GB"/>
              </w:rPr>
              <w:t>, 2008</w:t>
            </w:r>
            <w:r w:rsidR="009A6C17">
              <w:rPr>
                <w:rFonts w:ascii="Calibri" w:eastAsia="Calibri" w:hAnsi="Calibri" w:cs="Calibri"/>
                <w:sz w:val="20"/>
                <w:szCs w:val="20"/>
                <w:vertAlign w:val="superscript"/>
                <w:lang w:val="en-GB"/>
              </w:rPr>
              <w:t>5</w:t>
            </w:r>
            <w:r w:rsidRPr="0045151D">
              <w:rPr>
                <w:rFonts w:ascii="Calibri" w:eastAsia="Calibri" w:hAnsi="Calibri" w:cs="Calibri"/>
                <w:sz w:val="20"/>
                <w:szCs w:val="20"/>
                <w:lang w:val="en-GB"/>
              </w:rPr>
              <w:t xml:space="preserve"> and 2015</w:t>
            </w:r>
            <w:r w:rsidR="009A6C17">
              <w:rPr>
                <w:rFonts w:ascii="Calibri" w:eastAsia="Calibri" w:hAnsi="Calibri" w:cs="Calibri"/>
                <w:sz w:val="20"/>
                <w:szCs w:val="20"/>
                <w:vertAlign w:val="superscript"/>
                <w:lang w:val="en-GB"/>
              </w:rPr>
              <w:t>6</w:t>
            </w:r>
            <w:r w:rsidRPr="0045151D">
              <w:rPr>
                <w:rFonts w:ascii="Calibri" w:eastAsia="Calibri" w:hAnsi="Calibri" w:cs="Calibri"/>
                <w:sz w:val="20"/>
                <w:szCs w:val="20"/>
                <w:lang w:val="en-GB"/>
              </w:rPr>
              <w:t>.</w:t>
            </w:r>
          </w:p>
          <w:p w14:paraId="0194A0E8"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Manual update was conducted with active participation of the experts from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Department of EU projects (including those from the Kraków-based Studies Unit) and CUPT.  </w:t>
            </w:r>
          </w:p>
          <w:p w14:paraId="3DED9BE1"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Manual is consistent with the principles and methods outlined in ”Economic Appraisal </w:t>
            </w:r>
            <w:proofErr w:type="spellStart"/>
            <w:r w:rsidRPr="0045151D">
              <w:rPr>
                <w:rFonts w:ascii="Calibri" w:eastAsia="Calibri" w:hAnsi="Calibri" w:cs="Calibri"/>
                <w:sz w:val="20"/>
                <w:szCs w:val="20"/>
                <w:lang w:val="en-GB"/>
              </w:rPr>
              <w:t>Vademecum</w:t>
            </w:r>
            <w:proofErr w:type="spellEnd"/>
            <w:r w:rsidRPr="0045151D">
              <w:rPr>
                <w:rFonts w:ascii="Calibri" w:eastAsia="Calibri" w:hAnsi="Calibri" w:cs="Calibri"/>
                <w:sz w:val="20"/>
                <w:szCs w:val="20"/>
                <w:lang w:val="en-GB"/>
              </w:rPr>
              <w:t xml:space="preserve"> 2021-2027 - General Principles and Sector Applications” published on 20/09/2021 which complements the “Guide to Cost-benefit Analysis of Investment Projects: Economic appraisal tool for Cohesion Policy 2014-2020” DG Regio investment project CBA guide. </w:t>
            </w:r>
          </w:p>
          <w:p w14:paraId="5F81EF08"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main amendments and revisions of the present updated version with respect to the previous ones concern: </w:t>
            </w:r>
          </w:p>
          <w:p w14:paraId="16BBED03" w14:textId="77777777" w:rsidR="00600DEE" w:rsidRPr="0045151D" w:rsidRDefault="00641FB5" w:rsidP="00D5736B">
            <w:pPr>
              <w:numPr>
                <w:ilvl w:val="0"/>
                <w:numId w:val="36"/>
              </w:numPr>
              <w:pBdr>
                <w:top w:val="nil"/>
                <w:left w:val="nil"/>
                <w:bottom w:val="nil"/>
                <w:right w:val="nil"/>
                <w:between w:val="nil"/>
              </w:pBdr>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traffic modelling and forecasting considerations to duly consider impacts of other transport modes; </w:t>
            </w:r>
          </w:p>
          <w:p w14:paraId="42803D2B" w14:textId="77777777" w:rsidR="00600DEE" w:rsidRPr="0045151D" w:rsidRDefault="00641FB5" w:rsidP="00D5736B">
            <w:pPr>
              <w:numPr>
                <w:ilvl w:val="0"/>
                <w:numId w:val="36"/>
              </w:numPr>
              <w:pBdr>
                <w:top w:val="nil"/>
                <w:left w:val="nil"/>
                <w:bottom w:val="nil"/>
                <w:right w:val="nil"/>
                <w:between w:val="nil"/>
              </w:pBdr>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aspects related to most recent EU policies, in particular the most recent climate policies and objectives;</w:t>
            </w:r>
          </w:p>
          <w:p w14:paraId="4CB7737C" w14:textId="77777777" w:rsidR="00600DEE" w:rsidRPr="0045151D" w:rsidRDefault="00641FB5" w:rsidP="00D5736B">
            <w:pPr>
              <w:numPr>
                <w:ilvl w:val="0"/>
                <w:numId w:val="36"/>
              </w:numPr>
              <w:pBdr>
                <w:top w:val="nil"/>
                <w:left w:val="nil"/>
                <w:bottom w:val="nil"/>
                <w:right w:val="nil"/>
                <w:between w:val="nil"/>
              </w:pBdr>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considerations of capacity optimisation of planned road projects at the option analysis stage; </w:t>
            </w:r>
          </w:p>
          <w:p w14:paraId="34D64639" w14:textId="77777777" w:rsidR="00600DEE" w:rsidRPr="0045151D" w:rsidRDefault="00641FB5" w:rsidP="00D5736B">
            <w:pPr>
              <w:numPr>
                <w:ilvl w:val="0"/>
                <w:numId w:val="36"/>
              </w:numPr>
              <w:pBdr>
                <w:top w:val="nil"/>
                <w:left w:val="nil"/>
                <w:bottom w:val="nil"/>
                <w:right w:val="nil"/>
                <w:between w:val="nil"/>
              </w:pBdr>
              <w:spacing w:after="120"/>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update of unit values for all different costs/benefits categories, in particular, in particular to consider recent and future evolution of </w:t>
            </w:r>
            <w:r w:rsidRPr="0045151D">
              <w:rPr>
                <w:rFonts w:ascii="Calibri" w:eastAsia="Calibri" w:hAnsi="Calibri" w:cs="Calibri"/>
                <w:color w:val="000000"/>
                <w:sz w:val="20"/>
                <w:szCs w:val="20"/>
                <w:lang w:val="en-GB"/>
              </w:rPr>
              <w:lastRenderedPageBreak/>
              <w:t xml:space="preserve">road fleet vehicles in Poland and the expected fleet electrification (in alignment with the referenced climate objectives). </w:t>
            </w:r>
          </w:p>
          <w:p w14:paraId="1B50BAF2"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A series of working meeting were held for the most important stakeholders. The authors wish to acknowledge the input of General Directorate for National Roads and Motorways (</w:t>
            </w:r>
            <w:proofErr w:type="spellStart"/>
            <w:r w:rsidRPr="0045151D">
              <w:rPr>
                <w:rFonts w:ascii="Calibri" w:eastAsia="Calibri" w:hAnsi="Calibri" w:cs="Calibri"/>
                <w:sz w:val="20"/>
                <w:szCs w:val="20"/>
                <w:lang w:val="en-GB"/>
              </w:rPr>
              <w:t>Generalna</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Dyrekcja</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Dróg</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Krajowych</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i</w:t>
            </w:r>
            <w:proofErr w:type="spellEnd"/>
            <w:r w:rsidRPr="0045151D">
              <w:rPr>
                <w:rFonts w:ascii="Calibri" w:eastAsia="Calibri" w:hAnsi="Calibri" w:cs="Calibri"/>
                <w:sz w:val="20"/>
                <w:szCs w:val="20"/>
                <w:lang w:val="en-GB"/>
              </w:rPr>
              <w:t> </w:t>
            </w:r>
            <w:proofErr w:type="spellStart"/>
            <w:r w:rsidRPr="0045151D">
              <w:rPr>
                <w:rFonts w:ascii="Calibri" w:eastAsia="Calibri" w:hAnsi="Calibri" w:cs="Calibri"/>
                <w:sz w:val="20"/>
                <w:szCs w:val="20"/>
                <w:lang w:val="en-GB"/>
              </w:rPr>
              <w:t>Autostrad</w:t>
            </w:r>
            <w:proofErr w:type="spellEnd"/>
            <w:r w:rsidRPr="0045151D">
              <w:rPr>
                <w:rFonts w:ascii="Calibri" w:eastAsia="Calibri" w:hAnsi="Calibri" w:cs="Calibri"/>
                <w:sz w:val="20"/>
                <w:szCs w:val="20"/>
                <w:lang w:val="en-GB"/>
              </w:rPr>
              <w:t xml:space="preserve"> -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Centre for EU Transport Projects (Centrum </w:t>
            </w:r>
            <w:proofErr w:type="spellStart"/>
            <w:r w:rsidRPr="0045151D">
              <w:rPr>
                <w:rFonts w:ascii="Calibri" w:eastAsia="Calibri" w:hAnsi="Calibri" w:cs="Calibri"/>
                <w:sz w:val="20"/>
                <w:szCs w:val="20"/>
                <w:lang w:val="en-GB"/>
              </w:rPr>
              <w:t>Unijnych</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Projektów</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Transportowych</w:t>
            </w:r>
            <w:proofErr w:type="spellEnd"/>
            <w:r w:rsidRPr="0045151D">
              <w:rPr>
                <w:rFonts w:ascii="Calibri" w:eastAsia="Calibri" w:hAnsi="Calibri" w:cs="Calibri"/>
                <w:sz w:val="20"/>
                <w:szCs w:val="20"/>
                <w:lang w:val="en-GB"/>
              </w:rPr>
              <w:t xml:space="preserve"> - CUPT),  PKP Polish Railway Lines (PLK), Ministry of Development Funds and Regional Policy (</w:t>
            </w:r>
            <w:proofErr w:type="spellStart"/>
            <w:r w:rsidRPr="0045151D">
              <w:rPr>
                <w:rFonts w:ascii="Calibri" w:eastAsia="Calibri" w:hAnsi="Calibri" w:cs="Calibri"/>
                <w:sz w:val="20"/>
                <w:szCs w:val="20"/>
                <w:lang w:val="en-GB"/>
              </w:rPr>
              <w:t>Ministerstwo</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Funduszy</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i</w:t>
            </w:r>
            <w:proofErr w:type="spellEnd"/>
            <w:r w:rsidRPr="0045151D">
              <w:rPr>
                <w:rFonts w:ascii="Calibri" w:eastAsia="Calibri" w:hAnsi="Calibri" w:cs="Calibri"/>
                <w:sz w:val="20"/>
                <w:szCs w:val="20"/>
                <w:lang w:val="en-GB"/>
              </w:rPr>
              <w:t> </w:t>
            </w:r>
            <w:proofErr w:type="spellStart"/>
            <w:r w:rsidRPr="0045151D">
              <w:rPr>
                <w:rFonts w:ascii="Calibri" w:eastAsia="Calibri" w:hAnsi="Calibri" w:cs="Calibri"/>
                <w:sz w:val="20"/>
                <w:szCs w:val="20"/>
                <w:lang w:val="en-GB"/>
              </w:rPr>
              <w:t>Polityki</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Regionalnej</w:t>
            </w:r>
            <w:proofErr w:type="spellEnd"/>
            <w:r w:rsidRPr="0045151D">
              <w:rPr>
                <w:rFonts w:ascii="Calibri" w:eastAsia="Calibri" w:hAnsi="Calibri" w:cs="Calibri"/>
                <w:sz w:val="20"/>
                <w:szCs w:val="20"/>
                <w:lang w:val="en-GB"/>
              </w:rPr>
              <w:t xml:space="preserve"> - MDFRP), and many other experts who contributed to the consultation process and helped to effect this update, as well as all those who actively supported this update of the Blue Book.</w:t>
            </w:r>
          </w:p>
        </w:tc>
      </w:tr>
    </w:tbl>
    <w:p w14:paraId="158AED3D" w14:textId="401522BC" w:rsidR="00600DEE" w:rsidRDefault="00641FB5">
      <w:pPr>
        <w:pStyle w:val="Nagwek2"/>
        <w:ind w:right="26"/>
        <w:rPr>
          <w:rFonts w:ascii="Calibri" w:eastAsia="Calibri" w:hAnsi="Calibri" w:cs="Calibri"/>
          <w:color w:val="4F81BD"/>
        </w:rPr>
      </w:pPr>
      <w:bookmarkStart w:id="9" w:name="_Toc95377961"/>
      <w:proofErr w:type="spellStart"/>
      <w:r>
        <w:rPr>
          <w:rFonts w:ascii="Calibri" w:eastAsia="Calibri" w:hAnsi="Calibri" w:cs="Calibri"/>
          <w:color w:val="4F81BD"/>
        </w:rPr>
        <w:lastRenderedPageBreak/>
        <w:t>Zakres</w:t>
      </w:r>
      <w:proofErr w:type="spellEnd"/>
      <w:r>
        <w:rPr>
          <w:rFonts w:ascii="Calibri" w:eastAsia="Calibri" w:hAnsi="Calibri" w:cs="Calibri"/>
          <w:color w:val="4F81BD"/>
        </w:rPr>
        <w:t xml:space="preserve"> </w:t>
      </w:r>
      <w:proofErr w:type="spellStart"/>
      <w:r>
        <w:rPr>
          <w:rFonts w:ascii="Calibri" w:eastAsia="Calibri" w:hAnsi="Calibri" w:cs="Calibri"/>
          <w:color w:val="4F81BD"/>
        </w:rPr>
        <w:t>podręcznika</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Scope of the manual</w:t>
      </w:r>
      <w:bookmarkEnd w:id="9"/>
      <w:r>
        <w:rPr>
          <w:rFonts w:ascii="Calibri" w:eastAsia="Calibri" w:hAnsi="Calibri" w:cs="Calibri"/>
          <w:color w:val="4F81BD"/>
        </w:rPr>
        <w:t xml:space="preserve"> </w:t>
      </w:r>
    </w:p>
    <w:tbl>
      <w:tblPr>
        <w:tblStyle w:val="a1"/>
        <w:tblW w:w="14571" w:type="dxa"/>
        <w:tblLayout w:type="fixed"/>
        <w:tblLook w:val="0400" w:firstRow="0" w:lastRow="0" w:firstColumn="0" w:lastColumn="0" w:noHBand="0" w:noVBand="1"/>
      </w:tblPr>
      <w:tblGrid>
        <w:gridCol w:w="7285"/>
        <w:gridCol w:w="7286"/>
      </w:tblGrid>
      <w:tr w:rsidR="00600DEE" w:rsidRPr="008C4407" w14:paraId="618510D8" w14:textId="77777777">
        <w:tc>
          <w:tcPr>
            <w:tcW w:w="7285" w:type="dxa"/>
            <w:tcBorders>
              <w:right w:val="single" w:sz="4" w:space="0" w:color="000000"/>
            </w:tcBorders>
            <w:tcMar>
              <w:left w:w="284" w:type="dxa"/>
              <w:right w:w="284" w:type="dxa"/>
            </w:tcMar>
          </w:tcPr>
          <w:p w14:paraId="0DBC0878" w14:textId="340F9E56" w:rsidR="00600DEE" w:rsidRDefault="00641FB5">
            <w:pPr>
              <w:spacing w:after="120"/>
              <w:ind w:right="28"/>
              <w:jc w:val="both"/>
              <w:rPr>
                <w:rFonts w:ascii="Calibri" w:eastAsia="Calibri" w:hAnsi="Calibri" w:cs="Calibri"/>
                <w:sz w:val="20"/>
                <w:szCs w:val="20"/>
              </w:rPr>
            </w:pPr>
            <w:bookmarkStart w:id="10" w:name="_heading=h.3dy6vkm" w:colFirst="0" w:colLast="0"/>
            <w:bookmarkEnd w:id="10"/>
            <w:r>
              <w:rPr>
                <w:rFonts w:ascii="Calibri" w:eastAsia="Calibri" w:hAnsi="Calibri" w:cs="Calibri"/>
                <w:sz w:val="20"/>
                <w:szCs w:val="20"/>
              </w:rPr>
              <w:t>Należy zaznaczyć, że wytyczne zawarte w niniejszym opracowaniu dotyczą wyłącznie przygotowania analizy kosztów i korzyści, będącej jednym z wielu elementów składających się na studium wykonalności projektu. W związku z powyższym opracowanie to nie zawiera wskazówek do sporządzania całości studium wykonalności. Wskazuje natomiast odpowiednie wymagania (np. w zakresie obliczania emisji gazów cieplarnianych w projektach jako elementu oceny odporności na zmiany klimat</w:t>
            </w:r>
            <w:r w:rsidR="00716A93">
              <w:rPr>
                <w:rFonts w:ascii="Calibri" w:eastAsia="Calibri" w:hAnsi="Calibri" w:cs="Calibri"/>
                <w:sz w:val="20"/>
                <w:szCs w:val="20"/>
              </w:rPr>
              <w:t>u</w:t>
            </w:r>
            <w:r w:rsidR="00F6627D">
              <w:rPr>
                <w:rFonts w:ascii="Calibri" w:eastAsia="Calibri" w:hAnsi="Calibri" w:cs="Calibri"/>
                <w:sz w:val="20"/>
                <w:szCs w:val="20"/>
                <w:vertAlign w:val="superscript"/>
              </w:rPr>
              <w:t>7</w:t>
            </w:r>
            <w:r>
              <w:rPr>
                <w:rFonts w:ascii="Calibri" w:eastAsia="Calibri" w:hAnsi="Calibri" w:cs="Calibri"/>
                <w:sz w:val="20"/>
                <w:szCs w:val="20"/>
              </w:rPr>
              <w:t>) oraz dobre praktyki</w:t>
            </w:r>
            <w:r w:rsidR="004D5549">
              <w:rPr>
                <w:rFonts w:ascii="Calibri" w:eastAsia="Calibri" w:hAnsi="Calibri" w:cs="Calibri"/>
                <w:sz w:val="20"/>
                <w:szCs w:val="20"/>
              </w:rPr>
              <w:t>.</w:t>
            </w:r>
          </w:p>
          <w:p w14:paraId="019D9CC5"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Fazy procesu identyfikacji i oceny wariantów projektu omówione w niniejszym podręczniku przedstawiono, jako fazę I </w:t>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fazę II na rysunku 2 poniżej. </w:t>
            </w:r>
            <w:r>
              <w:rPr>
                <w:rFonts w:ascii="Calibri" w:eastAsia="Calibri" w:hAnsi="Calibri" w:cs="Calibri"/>
                <w:b/>
                <w:sz w:val="20"/>
                <w:szCs w:val="20"/>
              </w:rPr>
              <w:t>Faza I </w:t>
            </w:r>
            <w:r>
              <w:rPr>
                <w:rFonts w:ascii="Calibri" w:eastAsia="Calibri" w:hAnsi="Calibri" w:cs="Calibri"/>
                <w:sz w:val="20"/>
                <w:szCs w:val="20"/>
              </w:rPr>
              <w:t>w</w:t>
            </w:r>
            <w:r>
              <w:rPr>
                <w:rFonts w:ascii="Calibri" w:eastAsia="Calibri" w:hAnsi="Calibri" w:cs="Calibri"/>
                <w:b/>
                <w:sz w:val="20"/>
                <w:szCs w:val="20"/>
              </w:rPr>
              <w:t> </w:t>
            </w:r>
            <w:r>
              <w:rPr>
                <w:rFonts w:ascii="Calibri" w:eastAsia="Calibri" w:hAnsi="Calibri" w:cs="Calibri"/>
                <w:sz w:val="20"/>
                <w:szCs w:val="20"/>
              </w:rPr>
              <w:t>szczególności dotyczy określenia celów projektu, określenia (w niektórych przypadkach również wyboru) alternatywnych sposobów realizacji projektu w oparciu o podsumowanie dotychczasowych prac oraz przygotowania wszystkich innych danych wejściowych niezbędnych do AKK.</w:t>
            </w:r>
          </w:p>
          <w:p w14:paraId="1693D563" w14:textId="77777777" w:rsidR="00600DEE" w:rsidRDefault="00641FB5">
            <w:pPr>
              <w:spacing w:after="120"/>
              <w:ind w:right="28"/>
              <w:jc w:val="both"/>
              <w:rPr>
                <w:rFonts w:ascii="Calibri" w:eastAsia="Calibri" w:hAnsi="Calibri" w:cs="Calibri"/>
                <w:sz w:val="20"/>
                <w:szCs w:val="20"/>
              </w:rPr>
            </w:pPr>
            <w:bookmarkStart w:id="11" w:name="_heading=h.1t3h5sf" w:colFirst="0" w:colLast="0"/>
            <w:bookmarkEnd w:id="11"/>
            <w:r>
              <w:rPr>
                <w:rFonts w:ascii="Calibri" w:eastAsia="Calibri" w:hAnsi="Calibri" w:cs="Calibri"/>
                <w:sz w:val="20"/>
                <w:szCs w:val="20"/>
              </w:rPr>
              <w:t>Nowością w niniejszej edycji podręcznika jest możliwość wykorzystania multimodalnego modelu ruchu jako podstawy do przeprowadzenia analizy AKK.</w:t>
            </w:r>
          </w:p>
          <w:p w14:paraId="406DE3B3"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W Fazie I podkreślono konieczność przedstawienia strategicznego i planistycznego kontekstu projektu, jak również odniesienie go do właściwych celów.</w:t>
            </w:r>
          </w:p>
          <w:p w14:paraId="52C519DD"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lastRenderedPageBreak/>
              <w:t xml:space="preserve">W ramach </w:t>
            </w:r>
            <w:r>
              <w:rPr>
                <w:rFonts w:ascii="Calibri" w:eastAsia="Calibri" w:hAnsi="Calibri" w:cs="Calibri"/>
                <w:b/>
                <w:sz w:val="20"/>
                <w:szCs w:val="20"/>
              </w:rPr>
              <w:t xml:space="preserve">fazy II i III </w:t>
            </w:r>
            <w:r>
              <w:rPr>
                <w:rFonts w:ascii="Calibri" w:eastAsia="Calibri" w:hAnsi="Calibri" w:cs="Calibri"/>
                <w:sz w:val="20"/>
                <w:szCs w:val="20"/>
              </w:rPr>
              <w:t>zasadność społeczno-ekonomiczna i efektywność finansowa projektu są wykazywane poprzez obliczenia wskaźników rentowności ekonomicznej i finansowej. Faza III (analiza finansowa) zawiera również wyliczenie wysokości dotacji UE, opis źródeł finansowania, jak również analizę trwałości finansowej projektu. Należy również przedstawić ramy instytucjonalne realizacji i eksploatacji projektu.</w:t>
            </w:r>
          </w:p>
          <w:p w14:paraId="6E7E0E8C"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W ramach </w:t>
            </w:r>
            <w:r>
              <w:rPr>
                <w:rFonts w:ascii="Calibri" w:eastAsia="Calibri" w:hAnsi="Calibri" w:cs="Calibri"/>
                <w:b/>
                <w:sz w:val="20"/>
                <w:szCs w:val="20"/>
              </w:rPr>
              <w:t>fazy IV</w:t>
            </w:r>
            <w:r>
              <w:rPr>
                <w:rFonts w:ascii="Calibri" w:eastAsia="Calibri" w:hAnsi="Calibri" w:cs="Calibri"/>
                <w:sz w:val="20"/>
                <w:szCs w:val="20"/>
              </w:rPr>
              <w:t>, kończącej analizę, przeprowadzane jest badanie wrażliwości wyników oraz ocena ryzyka związanego z projektem.</w:t>
            </w:r>
          </w:p>
        </w:tc>
        <w:tc>
          <w:tcPr>
            <w:tcW w:w="7286" w:type="dxa"/>
            <w:tcBorders>
              <w:left w:val="single" w:sz="4" w:space="0" w:color="000000"/>
            </w:tcBorders>
            <w:tcMar>
              <w:left w:w="284" w:type="dxa"/>
              <w:right w:w="284" w:type="dxa"/>
            </w:tcMar>
          </w:tcPr>
          <w:p w14:paraId="7500F3D6" w14:textId="5BF9E033"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 xml:space="preserve">It must be noted that the guidelines included in the present Manual refer solely to the preparation of CBA, which is one of several elements </w:t>
            </w:r>
            <w:proofErr w:type="spellStart"/>
            <w:r w:rsidRPr="0045151D">
              <w:rPr>
                <w:rFonts w:ascii="Calibri" w:eastAsia="Calibri" w:hAnsi="Calibri" w:cs="Calibri"/>
                <w:sz w:val="20"/>
                <w:szCs w:val="20"/>
                <w:lang w:val="en-GB"/>
              </w:rPr>
              <w:t>comrpising</w:t>
            </w:r>
            <w:proofErr w:type="spellEnd"/>
            <w:r w:rsidRPr="0045151D">
              <w:rPr>
                <w:rFonts w:ascii="Calibri" w:eastAsia="Calibri" w:hAnsi="Calibri" w:cs="Calibri"/>
                <w:sz w:val="20"/>
                <w:szCs w:val="20"/>
                <w:lang w:val="en-GB"/>
              </w:rPr>
              <w:t xml:space="preserve"> the project feasibility study.  Hence, this Manual does not include guidance for preparing the whole feasibility study. What it does is to point out related requirements (e.g. related to calculation of projects GHG emissions as part </w:t>
            </w:r>
            <w:proofErr w:type="spellStart"/>
            <w:r w:rsidRPr="0045151D">
              <w:rPr>
                <w:rFonts w:ascii="Calibri" w:eastAsia="Calibri" w:hAnsi="Calibri" w:cs="Calibri"/>
                <w:sz w:val="20"/>
                <w:szCs w:val="20"/>
                <w:lang w:val="en-GB"/>
              </w:rPr>
              <w:t>ofclimate</w:t>
            </w:r>
            <w:proofErr w:type="spellEnd"/>
            <w:r w:rsidRPr="0045151D">
              <w:rPr>
                <w:rFonts w:ascii="Calibri" w:eastAsia="Calibri" w:hAnsi="Calibri" w:cs="Calibri"/>
                <w:sz w:val="20"/>
                <w:szCs w:val="20"/>
                <w:lang w:val="en-GB"/>
              </w:rPr>
              <w:t xml:space="preserve"> resilience assessment</w:t>
            </w:r>
            <w:r w:rsidR="00F6627D">
              <w:rPr>
                <w:rStyle w:val="Odwoanieprzypisudolnego"/>
                <w:rFonts w:ascii="Calibri" w:eastAsia="Calibri" w:hAnsi="Calibri" w:cs="Calibri"/>
                <w:sz w:val="20"/>
                <w:szCs w:val="20"/>
                <w:lang w:val="en-GB"/>
              </w:rPr>
              <w:footnoteReference w:id="7"/>
            </w:r>
            <w:r w:rsidRPr="0045151D">
              <w:rPr>
                <w:rFonts w:ascii="Calibri" w:eastAsia="Calibri" w:hAnsi="Calibri" w:cs="Calibri"/>
                <w:sz w:val="20"/>
                <w:szCs w:val="20"/>
                <w:lang w:val="en-GB"/>
              </w:rPr>
              <w:t>) and good practices.</w:t>
            </w:r>
          </w:p>
          <w:p w14:paraId="409756FF"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Phases of identification and assessment of project options discussed in this manual are presented as Phase I and Phase II in Figure 2 below. </w:t>
            </w:r>
            <w:r w:rsidRPr="0045151D">
              <w:rPr>
                <w:rFonts w:ascii="Calibri" w:eastAsia="Calibri" w:hAnsi="Calibri" w:cs="Calibri"/>
                <w:b/>
                <w:sz w:val="20"/>
                <w:szCs w:val="20"/>
                <w:lang w:val="en-GB"/>
              </w:rPr>
              <w:t>Phase I</w:t>
            </w:r>
            <w:r w:rsidRPr="0045151D">
              <w:rPr>
                <w:rFonts w:ascii="Calibri" w:eastAsia="Calibri" w:hAnsi="Calibri" w:cs="Calibri"/>
                <w:sz w:val="20"/>
                <w:szCs w:val="20"/>
                <w:lang w:val="en-GB"/>
              </w:rPr>
              <w:t>, in particular, covers the definition of project objectives, the identification (and in some cases also selection) of project implementation alternatives based on the summary of previous works, and the preparation of all other inputs needed for the CBA.</w:t>
            </w:r>
          </w:p>
          <w:p w14:paraId="08F15107"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A novelty in the current edition of this manual is the possibility of application of a multimodal traffic model as CBA analysis basis.</w:t>
            </w:r>
          </w:p>
          <w:p w14:paraId="2CBE2B99"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Phase I, the need to provide the Project strategic and planning context as well as its relation with respective objectives is highlighted. </w:t>
            </w:r>
          </w:p>
          <w:p w14:paraId="169B4CF3"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w:t>
            </w:r>
            <w:r w:rsidRPr="0045151D">
              <w:rPr>
                <w:rFonts w:ascii="Calibri" w:eastAsia="Calibri" w:hAnsi="Calibri" w:cs="Calibri"/>
                <w:b/>
                <w:sz w:val="20"/>
                <w:szCs w:val="20"/>
                <w:lang w:val="en-GB"/>
              </w:rPr>
              <w:t xml:space="preserve">Phase II </w:t>
            </w:r>
            <w:r w:rsidRPr="0045151D">
              <w:rPr>
                <w:rFonts w:ascii="Calibri" w:eastAsia="Calibri" w:hAnsi="Calibri" w:cs="Calibri"/>
                <w:sz w:val="20"/>
                <w:szCs w:val="20"/>
                <w:lang w:val="en-GB"/>
              </w:rPr>
              <w:t xml:space="preserve">and </w:t>
            </w:r>
            <w:r w:rsidRPr="0045151D">
              <w:rPr>
                <w:rFonts w:ascii="Calibri" w:eastAsia="Calibri" w:hAnsi="Calibri" w:cs="Calibri"/>
                <w:b/>
                <w:sz w:val="20"/>
                <w:szCs w:val="20"/>
                <w:lang w:val="en-GB"/>
              </w:rPr>
              <w:t xml:space="preserve">Phase III </w:t>
            </w:r>
            <w:r w:rsidRPr="0045151D">
              <w:rPr>
                <w:rFonts w:ascii="Calibri" w:eastAsia="Calibri" w:hAnsi="Calibri" w:cs="Calibri"/>
                <w:sz w:val="20"/>
                <w:szCs w:val="20"/>
                <w:lang w:val="en-GB"/>
              </w:rPr>
              <w:t xml:space="preserve">the socio-economic worthiness and the financial effectiveness/efficiency of the project are demonstrated by means of the </w:t>
            </w:r>
            <w:r w:rsidRPr="0045151D">
              <w:rPr>
                <w:rFonts w:ascii="Calibri" w:eastAsia="Calibri" w:hAnsi="Calibri" w:cs="Calibri"/>
                <w:sz w:val="20"/>
                <w:szCs w:val="20"/>
                <w:lang w:val="en-GB"/>
              </w:rPr>
              <w:lastRenderedPageBreak/>
              <w:t xml:space="preserve">calculation of economic and financial profitability indicators. Phase III (financial analysis) also includes the calculation of the EU grant and the description of the sources of funding, as well as an analysis of the financial sustainability of the project. The institutional framework of the project implementation and operation stage will also need to be presented. </w:t>
            </w:r>
          </w:p>
          <w:p w14:paraId="5EE3BAE0"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b/>
                <w:sz w:val="20"/>
                <w:szCs w:val="20"/>
                <w:lang w:val="en-GB"/>
              </w:rPr>
              <w:t>Phase IV</w:t>
            </w:r>
            <w:r w:rsidRPr="0045151D">
              <w:rPr>
                <w:rFonts w:ascii="Calibri" w:eastAsia="Calibri" w:hAnsi="Calibri" w:cs="Calibri"/>
                <w:sz w:val="20"/>
                <w:szCs w:val="20"/>
                <w:lang w:val="en-GB"/>
              </w:rPr>
              <w:t xml:space="preserve"> concludes the analysis with the testing of the sensitivity of the results as well as an assessment of project risks.</w:t>
            </w:r>
          </w:p>
        </w:tc>
      </w:tr>
    </w:tbl>
    <w:p w14:paraId="48E416C5" w14:textId="77777777" w:rsidR="00600DEE" w:rsidRPr="0045151D" w:rsidRDefault="00600DEE">
      <w:pPr>
        <w:rPr>
          <w:rFonts w:ascii="Calibri" w:eastAsia="Calibri" w:hAnsi="Calibri" w:cs="Calibri"/>
          <w:b/>
          <w:color w:val="323299"/>
          <w:lang w:val="en-GB"/>
        </w:rPr>
      </w:pPr>
    </w:p>
    <w:p w14:paraId="714A5769" w14:textId="77777777" w:rsidR="00600DEE" w:rsidRPr="0045151D" w:rsidRDefault="00600DEE">
      <w:pPr>
        <w:rPr>
          <w:rFonts w:ascii="Calibri" w:eastAsia="Calibri" w:hAnsi="Calibri" w:cs="Calibri"/>
          <w:b/>
          <w:color w:val="323299"/>
          <w:lang w:val="en-GB"/>
        </w:rPr>
      </w:pPr>
    </w:p>
    <w:p w14:paraId="4C083ACC" w14:textId="16BBA19C" w:rsidR="00600DEE" w:rsidRPr="0045151D" w:rsidRDefault="00600DEE">
      <w:pPr>
        <w:rPr>
          <w:rFonts w:ascii="Calibri" w:eastAsia="Calibri" w:hAnsi="Calibri" w:cs="Calibri"/>
          <w:b/>
          <w:color w:val="323299"/>
          <w:lang w:val="en-GB"/>
        </w:rPr>
      </w:pPr>
    </w:p>
    <w:tbl>
      <w:tblPr>
        <w:tblStyle w:val="a2"/>
        <w:tblW w:w="15109" w:type="dxa"/>
        <w:tblLayout w:type="fixed"/>
        <w:tblLook w:val="0400" w:firstRow="0" w:lastRow="0" w:firstColumn="0" w:lastColumn="0" w:noHBand="0" w:noVBand="1"/>
      </w:tblPr>
      <w:tblGrid>
        <w:gridCol w:w="7565"/>
        <w:gridCol w:w="175"/>
        <w:gridCol w:w="7369"/>
      </w:tblGrid>
      <w:tr w:rsidR="00600DEE" w14:paraId="46B49E4D" w14:textId="77777777" w:rsidTr="00E12F72">
        <w:trPr>
          <w:trHeight w:val="10200"/>
        </w:trPr>
        <w:tc>
          <w:tcPr>
            <w:tcW w:w="7565" w:type="dxa"/>
            <w:tcBorders>
              <w:right w:val="single" w:sz="4" w:space="0" w:color="000000"/>
            </w:tcBorders>
            <w:tcMar>
              <w:left w:w="284" w:type="dxa"/>
              <w:right w:w="284" w:type="dxa"/>
            </w:tcMar>
          </w:tcPr>
          <w:p w14:paraId="72C4946D" w14:textId="70156D1F" w:rsidR="00600DEE" w:rsidRDefault="00641FB5">
            <w:pPr>
              <w:pBdr>
                <w:top w:val="nil"/>
                <w:left w:val="nil"/>
                <w:bottom w:val="nil"/>
                <w:right w:val="nil"/>
                <w:between w:val="nil"/>
              </w:pBdr>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Rysunek 1. Schemat wykonywania analizy ekonomicznej i finansowej</w:t>
            </w:r>
          </w:p>
          <w:p w14:paraId="7A7EFE26" w14:textId="77777777" w:rsidR="00600DEE" w:rsidRDefault="00641FB5">
            <w:pPr>
              <w:spacing w:line="276" w:lineRule="auto"/>
              <w:ind w:right="170"/>
              <w:jc w:val="both"/>
              <w:rPr>
                <w:rFonts w:ascii="Calibri" w:eastAsia="Calibri" w:hAnsi="Calibri" w:cs="Calibri"/>
                <w:sz w:val="20"/>
                <w:szCs w:val="20"/>
              </w:rPr>
            </w:pPr>
            <w:r>
              <w:rPr>
                <w:noProof/>
                <w:lang w:val="en-GB" w:eastAsia="en-GB"/>
              </w:rPr>
              <mc:AlternateContent>
                <mc:Choice Requires="wps">
                  <w:drawing>
                    <wp:anchor distT="0" distB="0" distL="0" distR="0" simplePos="0" relativeHeight="251658240" behindDoc="1" locked="0" layoutInCell="1" hidden="0" allowOverlap="1" wp14:anchorId="39067025" wp14:editId="4708FDD4">
                      <wp:simplePos x="0" y="0"/>
                      <wp:positionH relativeFrom="column">
                        <wp:posOffset>2971800</wp:posOffset>
                      </wp:positionH>
                      <wp:positionV relativeFrom="paragraph">
                        <wp:posOffset>88900</wp:posOffset>
                      </wp:positionV>
                      <wp:extent cx="1440180" cy="307340"/>
                      <wp:effectExtent l="0" t="0" r="0" b="0"/>
                      <wp:wrapNone/>
                      <wp:docPr id="502" name="Prostokąt 502"/>
                      <wp:cNvGraphicFramePr/>
                      <a:graphic xmlns:a="http://schemas.openxmlformats.org/drawingml/2006/main">
                        <a:graphicData uri="http://schemas.microsoft.com/office/word/2010/wordprocessingShape">
                          <wps:wsp>
                            <wps:cNvSpPr/>
                            <wps:spPr>
                              <a:xfrm>
                                <a:off x="4630673" y="3631093"/>
                                <a:ext cx="1430655" cy="297815"/>
                              </a:xfrm>
                              <a:prstGeom prst="rect">
                                <a:avLst/>
                              </a:prstGeom>
                              <a:noFill/>
                              <a:ln>
                                <a:noFill/>
                              </a:ln>
                            </wps:spPr>
                            <wps:txbx>
                              <w:txbxContent>
                                <w:p w14:paraId="6DB6129A" w14:textId="77777777" w:rsidR="007463B9" w:rsidRDefault="007463B9">
                                  <w:pPr>
                                    <w:jc w:val="center"/>
                                    <w:textDirection w:val="btLr"/>
                                  </w:pPr>
                                  <w:r>
                                    <w:rPr>
                                      <w:rFonts w:ascii="Calibri" w:eastAsia="Calibri" w:hAnsi="Calibri" w:cs="Calibri"/>
                                      <w:b/>
                                      <w:i/>
                                      <w:color w:val="000000"/>
                                      <w:sz w:val="18"/>
                                    </w:rPr>
                                    <w:t>WYBÓR PROJEKTU</w:t>
                                  </w:r>
                                </w:p>
                              </w:txbxContent>
                            </wps:txbx>
                            <wps:bodyPr spcFirstLastPara="1" wrap="square" lIns="91425" tIns="45700" rIns="91425" bIns="45700" anchor="t" anchorCtr="0">
                              <a:noAutofit/>
                            </wps:bodyPr>
                          </wps:wsp>
                        </a:graphicData>
                      </a:graphic>
                    </wp:anchor>
                  </w:drawing>
                </mc:Choice>
                <mc:Fallback>
                  <w:pict>
                    <v:rect w14:anchorId="39067025" id="Prostokąt 502" o:spid="_x0000_s1026" style="position:absolute;left:0;text-align:left;margin-left:234pt;margin-top:7pt;width:113.4pt;height:24.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" filled="f" stroked="f">
                      <v:textbox inset="2.53958mm,1.2694mm,2.53958mm,1.2694mm">
                        <w:txbxContent>
                          <w:p w14:paraId="6DB6129A" w14:textId="77777777" w:rsidR="007463B9" w:rsidRDefault="007463B9">
                            <w:pPr>
                              <w:jc w:val="center"/>
                              <w:textDirection w:val="btLr"/>
                            </w:pPr>
                            <w:r>
                              <w:rPr>
                                <w:rFonts w:ascii="Calibri" w:eastAsia="Calibri" w:hAnsi="Calibri" w:cs="Calibri"/>
                                <w:b/>
                                <w:i/>
                                <w:color w:val="000000"/>
                                <w:sz w:val="18"/>
                              </w:rPr>
                              <w:t>WYBÓR PROJEKTU</w:t>
                            </w:r>
                          </w:p>
                        </w:txbxContent>
                      </v:textbox>
                    </v:rect>
                  </w:pict>
                </mc:Fallback>
              </mc:AlternateContent>
            </w:r>
          </w:p>
          <w:p w14:paraId="74E8EF03" w14:textId="77777777" w:rsidR="00600DEE" w:rsidRDefault="00641FB5">
            <w:pPr>
              <w:rPr>
                <w:rFonts w:ascii="Calibri" w:eastAsia="Calibri" w:hAnsi="Calibri" w:cs="Calibri"/>
                <w:sz w:val="20"/>
                <w:szCs w:val="20"/>
              </w:rPr>
            </w:pPr>
            <w:r>
              <w:rPr>
                <w:rFonts w:ascii="Calibri" w:eastAsia="Calibri" w:hAnsi="Calibri" w:cs="Calibri"/>
                <w:b/>
                <w:color w:val="333399"/>
                <w:sz w:val="32"/>
                <w:szCs w:val="32"/>
              </w:rPr>
              <w:t xml:space="preserve">           </w:t>
            </w:r>
            <w:r>
              <w:rPr>
                <w:noProof/>
                <w:lang w:val="en-GB" w:eastAsia="en-GB"/>
              </w:rPr>
              <mc:AlternateContent>
                <mc:Choice Requires="wpg">
                  <w:drawing>
                    <wp:anchor distT="0" distB="0" distL="114300" distR="114300" simplePos="0" relativeHeight="251659264" behindDoc="0" locked="0" layoutInCell="1" hidden="0" allowOverlap="1" wp14:anchorId="3EFE854F" wp14:editId="454CF2A1">
                      <wp:simplePos x="0" y="0"/>
                      <wp:positionH relativeFrom="column">
                        <wp:posOffset>1016000</wp:posOffset>
                      </wp:positionH>
                      <wp:positionV relativeFrom="paragraph">
                        <wp:posOffset>139700</wp:posOffset>
                      </wp:positionV>
                      <wp:extent cx="515286" cy="12700"/>
                      <wp:effectExtent l="0" t="0" r="0" b="0"/>
                      <wp:wrapNone/>
                      <wp:docPr id="481" name="Łącznik prosty ze strzałką 481"/>
                      <wp:cNvGraphicFramePr/>
                      <a:graphic xmlns:a="http://schemas.openxmlformats.org/drawingml/2006/main">
                        <a:graphicData uri="http://schemas.microsoft.com/office/word/2010/wordprocessingShape">
                          <wps:wsp>
                            <wps:cNvCnPr/>
                            <wps:spPr>
                              <a:xfrm>
                                <a:off x="5088357" y="3780000"/>
                                <a:ext cx="515286"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515286" cy="12700"/>
                      <wp:effectExtent b="0" l="0" r="0" t="0"/>
                      <wp:wrapNone/>
                      <wp:docPr id="481" name="image37.png"/>
                      <a:graphic>
                        <a:graphicData uri="http://schemas.openxmlformats.org/drawingml/2006/picture">
                          <pic:pic>
                            <pic:nvPicPr>
                              <pic:cNvPr id="0" name="image37.png"/>
                              <pic:cNvPicPr preferRelativeResize="0"/>
                            </pic:nvPicPr>
                            <pic:blipFill>
                              <a:blip r:embed="rId52"/>
                              <a:srcRect/>
                              <a:stretch>
                                <a:fillRect/>
                              </a:stretch>
                            </pic:blipFill>
                            <pic:spPr>
                              <a:xfrm>
                                <a:off x="0" y="0"/>
                                <a:ext cx="515286" cy="12700"/>
                              </a:xfrm>
                              <a:prstGeom prst="rect"/>
                              <a:ln/>
                            </pic:spPr>
                          </pic:pic>
                        </a:graphicData>
                      </a:graphic>
                    </wp:anchor>
                  </w:drawing>
                </mc:Fallback>
              </mc:AlternateContent>
            </w:r>
            <w:r>
              <w:rPr>
                <w:noProof/>
                <w:lang w:val="en-GB" w:eastAsia="en-GB"/>
              </w:rPr>
              <mc:AlternateContent>
                <mc:Choice Requires="wps">
                  <w:drawing>
                    <wp:anchor distT="0" distB="0" distL="114300" distR="114300" simplePos="0" relativeHeight="251660288" behindDoc="0" locked="0" layoutInCell="1" hidden="0" allowOverlap="1" wp14:anchorId="3404D68B" wp14:editId="38A753FC">
                      <wp:simplePos x="0" y="0"/>
                      <wp:positionH relativeFrom="column">
                        <wp:posOffset>1460500</wp:posOffset>
                      </wp:positionH>
                      <wp:positionV relativeFrom="paragraph">
                        <wp:posOffset>25400</wp:posOffset>
                      </wp:positionV>
                      <wp:extent cx="1568450" cy="320675"/>
                      <wp:effectExtent l="0" t="0" r="0" b="0"/>
                      <wp:wrapNone/>
                      <wp:docPr id="499" name="Prostokąt 499"/>
                      <wp:cNvGraphicFramePr/>
                      <a:graphic xmlns:a="http://schemas.openxmlformats.org/drawingml/2006/main">
                        <a:graphicData uri="http://schemas.microsoft.com/office/word/2010/wordprocessingShape">
                          <wps:wsp>
                            <wps:cNvSpPr/>
                            <wps:spPr>
                              <a:xfrm>
                                <a:off x="4574475" y="3632363"/>
                                <a:ext cx="1543050"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4E897361" w14:textId="77777777" w:rsidR="007463B9" w:rsidRDefault="007463B9">
                                  <w:pPr>
                                    <w:jc w:val="center"/>
                                    <w:textDirection w:val="btLr"/>
                                  </w:pPr>
                                  <w:r>
                                    <w:rPr>
                                      <w:rFonts w:ascii="Calibri" w:eastAsia="Calibri" w:hAnsi="Calibri" w:cs="Calibri"/>
                                      <w:b/>
                                      <w:color w:val="000000"/>
                                      <w:sz w:val="20"/>
                                    </w:rPr>
                                    <w:t>Analiza Ekonomiczna</w:t>
                                  </w:r>
                                </w:p>
                              </w:txbxContent>
                            </wps:txbx>
                            <wps:bodyPr spcFirstLastPara="1" wrap="square" lIns="91425" tIns="45700" rIns="91425" bIns="45700" anchor="t" anchorCtr="0">
                              <a:noAutofit/>
                            </wps:bodyPr>
                          </wps:wsp>
                        </a:graphicData>
                      </a:graphic>
                    </wp:anchor>
                  </w:drawing>
                </mc:Choice>
                <mc:Fallback>
                  <w:pict>
                    <v:rect w14:anchorId="3404D68B" id="Prostokąt 499" o:spid="_x0000_s1027" style="position:absolute;margin-left:115pt;margin-top:2pt;width:123.5pt;height:2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" fillcolor="#4f81bd [3204]" strokecolor="#395e89" strokeweight="2pt">
                      <v:stroke startarrowwidth="narrow" startarrowlength="short" endarrowwidth="narrow" endarrowlength="short" joinstyle="round"/>
                      <v:textbox inset="2.53958mm,1.2694mm,2.53958mm,1.2694mm">
                        <w:txbxContent>
                          <w:p w14:paraId="4E897361" w14:textId="77777777" w:rsidR="007463B9" w:rsidRDefault="007463B9">
                            <w:pPr>
                              <w:jc w:val="center"/>
                              <w:textDirection w:val="btLr"/>
                            </w:pPr>
                            <w:r>
                              <w:rPr>
                                <w:rFonts w:ascii="Calibri" w:eastAsia="Calibri" w:hAnsi="Calibri" w:cs="Calibri"/>
                                <w:b/>
                                <w:color w:val="000000"/>
                                <w:sz w:val="20"/>
                              </w:rPr>
                              <w:t>Analiza Ekonomiczna</w:t>
                            </w:r>
                          </w:p>
                        </w:txbxContent>
                      </v:textbox>
                    </v:rect>
                  </w:pict>
                </mc:Fallback>
              </mc:AlternateContent>
            </w:r>
          </w:p>
          <w:p w14:paraId="272645FF" w14:textId="77777777" w:rsidR="00600DEE" w:rsidRDefault="00641FB5">
            <w:pPr>
              <w:tabs>
                <w:tab w:val="left" w:pos="5528"/>
              </w:tabs>
              <w:spacing w:before="240" w:after="360" w:line="276" w:lineRule="auto"/>
              <w:jc w:val="both"/>
              <w:rPr>
                <w:rFonts w:ascii="Calibri" w:eastAsia="Calibri" w:hAnsi="Calibri" w:cs="Calibri"/>
                <w:b/>
                <w:color w:val="333399"/>
                <w:sz w:val="32"/>
                <w:szCs w:val="32"/>
              </w:rPr>
            </w:pPr>
            <w:r>
              <w:rPr>
                <w:rFonts w:ascii="Calibri" w:eastAsia="Calibri" w:hAnsi="Calibri" w:cs="Calibri"/>
                <w:b/>
                <w:color w:val="333399"/>
                <w:sz w:val="32"/>
                <w:szCs w:val="32"/>
              </w:rPr>
              <w:tab/>
            </w:r>
            <w:r>
              <w:rPr>
                <w:noProof/>
                <w:lang w:val="en-GB" w:eastAsia="en-GB"/>
              </w:rPr>
              <mc:AlternateContent>
                <mc:Choice Requires="wpg">
                  <w:drawing>
                    <wp:anchor distT="0" distB="0" distL="0" distR="0" simplePos="0" relativeHeight="251661312" behindDoc="1" locked="0" layoutInCell="1" hidden="0" allowOverlap="1" wp14:anchorId="064DBAF3" wp14:editId="6F09ABEE">
                      <wp:simplePos x="0" y="0"/>
                      <wp:positionH relativeFrom="column">
                        <wp:posOffset>2921000</wp:posOffset>
                      </wp:positionH>
                      <wp:positionV relativeFrom="paragraph">
                        <wp:posOffset>12700</wp:posOffset>
                      </wp:positionV>
                      <wp:extent cx="514985" cy="12700"/>
                      <wp:effectExtent l="0" t="0" r="0" b="0"/>
                      <wp:wrapNone/>
                      <wp:docPr id="498" name="Łącznik prosty ze strzałką 498"/>
                      <wp:cNvGraphicFramePr/>
                      <a:graphic xmlns:a="http://schemas.openxmlformats.org/drawingml/2006/main">
                        <a:graphicData uri="http://schemas.microsoft.com/office/word/2010/wordprocessingShape">
                          <wps:wsp>
                            <wps:cNvCnPr/>
                            <wps:spPr>
                              <a:xfrm>
                                <a:off x="5088508" y="3780000"/>
                                <a:ext cx="51498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2921000</wp:posOffset>
                      </wp:positionH>
                      <wp:positionV relativeFrom="paragraph">
                        <wp:posOffset>12700</wp:posOffset>
                      </wp:positionV>
                      <wp:extent cx="514985" cy="12700"/>
                      <wp:effectExtent b="0" l="0" r="0" t="0"/>
                      <wp:wrapNone/>
                      <wp:docPr id="498" name="image56.png"/>
                      <a:graphic>
                        <a:graphicData uri="http://schemas.openxmlformats.org/drawingml/2006/picture">
                          <pic:pic>
                            <pic:nvPicPr>
                              <pic:cNvPr id="0" name="image56.png"/>
                              <pic:cNvPicPr preferRelativeResize="0"/>
                            </pic:nvPicPr>
                            <pic:blipFill>
                              <a:blip r:embed="rId54"/>
                              <a:srcRect/>
                              <a:stretch>
                                <a:fillRect/>
                              </a:stretch>
                            </pic:blipFill>
                            <pic:spPr>
                              <a:xfrm>
                                <a:off x="0" y="0"/>
                                <a:ext cx="514985" cy="12700"/>
                              </a:xfrm>
                              <a:prstGeom prst="rect"/>
                              <a:ln/>
                            </pic:spPr>
                          </pic:pic>
                        </a:graphicData>
                      </a:graphic>
                    </wp:anchor>
                  </w:drawing>
                </mc:Fallback>
              </mc:AlternateContent>
            </w:r>
            <w:r>
              <w:rPr>
                <w:noProof/>
                <w:lang w:val="en-GB" w:eastAsia="en-GB"/>
              </w:rPr>
              <mc:AlternateContent>
                <mc:Choice Requires="wps">
                  <w:drawing>
                    <wp:anchor distT="0" distB="0" distL="114300" distR="114300" simplePos="0" relativeHeight="251662336" behindDoc="0" locked="0" layoutInCell="1" hidden="0" allowOverlap="1" wp14:anchorId="6115B761" wp14:editId="1928F010">
                      <wp:simplePos x="0" y="0"/>
                      <wp:positionH relativeFrom="column">
                        <wp:posOffset>2324100</wp:posOffset>
                      </wp:positionH>
                      <wp:positionV relativeFrom="paragraph">
                        <wp:posOffset>342900</wp:posOffset>
                      </wp:positionV>
                      <wp:extent cx="1717040" cy="683895"/>
                      <wp:effectExtent l="0" t="0" r="0" b="0"/>
                      <wp:wrapNone/>
                      <wp:docPr id="516" name="Prostokąt 516"/>
                      <wp:cNvGraphicFramePr/>
                      <a:graphic xmlns:a="http://schemas.openxmlformats.org/drawingml/2006/main">
                        <a:graphicData uri="http://schemas.microsoft.com/office/word/2010/wordprocessingShape">
                          <wps:wsp>
                            <wps:cNvSpPr/>
                            <wps:spPr>
                              <a:xfrm>
                                <a:off x="4492243" y="3442815"/>
                                <a:ext cx="1707515" cy="67437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7757CB1" w14:textId="77777777" w:rsidR="007463B9" w:rsidRDefault="007463B9">
                                  <w:pPr>
                                    <w:spacing w:after="120"/>
                                    <w:jc w:val="center"/>
                                    <w:textDirection w:val="btLr"/>
                                  </w:pPr>
                                  <w:r>
                                    <w:rPr>
                                      <w:rFonts w:ascii="Calibri" w:eastAsia="Calibri" w:hAnsi="Calibri" w:cs="Calibri"/>
                                      <w:b/>
                                      <w:color w:val="000000"/>
                                      <w:sz w:val="20"/>
                                    </w:rPr>
                                    <w:t>ENPV&lt;0</w:t>
                                  </w:r>
                                </w:p>
                                <w:p w14:paraId="713D7FC5" w14:textId="77777777" w:rsidR="007463B9" w:rsidRDefault="007463B9">
                                  <w:pPr>
                                    <w:spacing w:after="120"/>
                                    <w:jc w:val="center"/>
                                    <w:textDirection w:val="btLr"/>
                                  </w:pPr>
                                  <w:r>
                                    <w:rPr>
                                      <w:rFonts w:ascii="Calibri" w:eastAsia="Calibri" w:hAnsi="Calibri" w:cs="Calibri"/>
                                      <w:color w:val="231F20"/>
                                      <w:sz w:val="18"/>
                                    </w:rPr>
                                    <w:t>Projekt nie generuje korzyści ekonomicznych netto.</w:t>
                                  </w:r>
                                </w:p>
                              </w:txbxContent>
                            </wps:txbx>
                            <wps:bodyPr spcFirstLastPara="1" wrap="square" lIns="91425" tIns="45700" rIns="91425" bIns="45700" anchor="t" anchorCtr="0">
                              <a:noAutofit/>
                            </wps:bodyPr>
                          </wps:wsp>
                        </a:graphicData>
                      </a:graphic>
                    </wp:anchor>
                  </w:drawing>
                </mc:Choice>
                <mc:Fallback>
                  <w:pict>
                    <v:rect w14:anchorId="6115B761" id="Prostokąt 516" o:spid="_x0000_s1028" style="position:absolute;left:0;text-align:left;margin-left:183pt;margin-top:27pt;width:135.2pt;height:5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" fillcolor="#dae5f1" stroked="f">
                      <v:shadow on="t" opacity="25956f" origin="-.5,-.5" offset=".74836mm,.74836mm"/>
                      <v:textbox inset="2.53958mm,1.2694mm,2.53958mm,1.2694mm">
                        <w:txbxContent>
                          <w:p w14:paraId="77757CB1" w14:textId="77777777" w:rsidR="007463B9" w:rsidRDefault="007463B9">
                            <w:pPr>
                              <w:spacing w:after="120"/>
                              <w:jc w:val="center"/>
                              <w:textDirection w:val="btLr"/>
                            </w:pPr>
                            <w:r>
                              <w:rPr>
                                <w:rFonts w:ascii="Calibri" w:eastAsia="Calibri" w:hAnsi="Calibri" w:cs="Calibri"/>
                                <w:b/>
                                <w:color w:val="000000"/>
                                <w:sz w:val="20"/>
                              </w:rPr>
                              <w:t>ENPV&lt;0</w:t>
                            </w:r>
                          </w:p>
                          <w:p w14:paraId="713D7FC5" w14:textId="77777777" w:rsidR="007463B9" w:rsidRDefault="007463B9">
                            <w:pPr>
                              <w:spacing w:after="120"/>
                              <w:jc w:val="center"/>
                              <w:textDirection w:val="btLr"/>
                            </w:pPr>
                            <w:r>
                              <w:rPr>
                                <w:rFonts w:ascii="Calibri" w:eastAsia="Calibri" w:hAnsi="Calibri" w:cs="Calibri"/>
                                <w:color w:val="231F20"/>
                                <w:sz w:val="18"/>
                              </w:rPr>
                              <w:t>Projekt nie generuje korzyści ekonomicznych netto.</w:t>
                            </w:r>
                          </w:p>
                        </w:txbxContent>
                      </v:textbox>
                    </v:rect>
                  </w:pict>
                </mc:Fallback>
              </mc:AlternateContent>
            </w:r>
            <w:r>
              <w:rPr>
                <w:noProof/>
                <w:lang w:val="en-GB" w:eastAsia="en-GB"/>
              </w:rPr>
              <mc:AlternateContent>
                <mc:Choice Requires="wps">
                  <w:drawing>
                    <wp:anchor distT="0" distB="0" distL="114300" distR="114300" simplePos="0" relativeHeight="251663360" behindDoc="0" locked="0" layoutInCell="1" hidden="0" allowOverlap="1" wp14:anchorId="528E57E6" wp14:editId="39CEF456">
                      <wp:simplePos x="0" y="0"/>
                      <wp:positionH relativeFrom="column">
                        <wp:posOffset>1511300</wp:posOffset>
                      </wp:positionH>
                      <wp:positionV relativeFrom="paragraph">
                        <wp:posOffset>1079500</wp:posOffset>
                      </wp:positionV>
                      <wp:extent cx="1482725" cy="320675"/>
                      <wp:effectExtent l="0" t="0" r="0" b="0"/>
                      <wp:wrapNone/>
                      <wp:docPr id="524" name="Prostokąt 524"/>
                      <wp:cNvGraphicFramePr/>
                      <a:graphic xmlns:a="http://schemas.openxmlformats.org/drawingml/2006/main">
                        <a:graphicData uri="http://schemas.microsoft.com/office/word/2010/wordprocessingShape">
                          <wps:wsp>
                            <wps:cNvSpPr/>
                            <wps:spPr>
                              <a:xfrm>
                                <a:off x="4617338" y="3632363"/>
                                <a:ext cx="1457325"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56D44870" w14:textId="77777777" w:rsidR="007463B9" w:rsidRDefault="007463B9">
                                  <w:pPr>
                                    <w:jc w:val="center"/>
                                    <w:textDirection w:val="btLr"/>
                                  </w:pPr>
                                  <w:r>
                                    <w:rPr>
                                      <w:rFonts w:ascii="Calibri" w:eastAsia="Calibri" w:hAnsi="Calibri" w:cs="Calibri"/>
                                      <w:b/>
                                      <w:color w:val="000000"/>
                                      <w:sz w:val="20"/>
                                    </w:rPr>
                                    <w:t>Analiza Finansowa</w:t>
                                  </w:r>
                                </w:p>
                              </w:txbxContent>
                            </wps:txbx>
                            <wps:bodyPr spcFirstLastPara="1" wrap="square" lIns="91425" tIns="45700" rIns="91425" bIns="45700" anchor="t" anchorCtr="0">
                              <a:noAutofit/>
                            </wps:bodyPr>
                          </wps:wsp>
                        </a:graphicData>
                      </a:graphic>
                    </wp:anchor>
                  </w:drawing>
                </mc:Choice>
                <mc:Fallback>
                  <w:pict>
                    <v:rect w14:anchorId="528E57E6" id="Prostokąt 524" o:spid="_x0000_s1029" style="position:absolute;left:0;text-align:left;margin-left:119pt;margin-top:85pt;width:116.75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" fillcolor="#4f81bd [3204]" strokecolor="#395e89" strokeweight="2pt">
                      <v:stroke startarrowwidth="narrow" startarrowlength="short" endarrowwidth="narrow" endarrowlength="short" joinstyle="round"/>
                      <v:textbox inset="2.53958mm,1.2694mm,2.53958mm,1.2694mm">
                        <w:txbxContent>
                          <w:p w14:paraId="56D44870" w14:textId="77777777" w:rsidR="007463B9" w:rsidRDefault="007463B9">
                            <w:pPr>
                              <w:jc w:val="center"/>
                              <w:textDirection w:val="btLr"/>
                            </w:pPr>
                            <w:r>
                              <w:rPr>
                                <w:rFonts w:ascii="Calibri" w:eastAsia="Calibri" w:hAnsi="Calibri" w:cs="Calibri"/>
                                <w:b/>
                                <w:color w:val="000000"/>
                                <w:sz w:val="20"/>
                              </w:rPr>
                              <w:t>Analiza Finansowa</w:t>
                            </w:r>
                          </w:p>
                        </w:txbxContent>
                      </v:textbox>
                    </v:rect>
                  </w:pict>
                </mc:Fallback>
              </mc:AlternateContent>
            </w:r>
            <w:r>
              <w:rPr>
                <w:noProof/>
                <w:lang w:val="en-GB" w:eastAsia="en-GB"/>
              </w:rPr>
              <mc:AlternateContent>
                <mc:Choice Requires="wpg">
                  <w:drawing>
                    <wp:anchor distT="4294967293" distB="4294967293" distL="114300" distR="114300" simplePos="0" relativeHeight="251664384" behindDoc="0" locked="0" layoutInCell="1" hidden="0" allowOverlap="1" wp14:anchorId="538062A7" wp14:editId="7F559195">
                      <wp:simplePos x="0" y="0"/>
                      <wp:positionH relativeFrom="column">
                        <wp:posOffset>317500</wp:posOffset>
                      </wp:positionH>
                      <wp:positionV relativeFrom="paragraph">
                        <wp:posOffset>1186194</wp:posOffset>
                      </wp:positionV>
                      <wp:extent cx="1200150" cy="12700"/>
                      <wp:effectExtent l="0" t="0" r="0" b="0"/>
                      <wp:wrapNone/>
                      <wp:docPr id="529" name="Łącznik prosty ze strzałką 529"/>
                      <wp:cNvGraphicFramePr/>
                      <a:graphic xmlns:a="http://schemas.openxmlformats.org/drawingml/2006/main">
                        <a:graphicData uri="http://schemas.microsoft.com/office/word/2010/wordprocessingShape">
                          <wps:wsp>
                            <wps:cNvCnPr/>
                            <wps:spPr>
                              <a:xfrm>
                                <a:off x="4745925" y="3780000"/>
                                <a:ext cx="1200150" cy="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317500</wp:posOffset>
                      </wp:positionH>
                      <wp:positionV relativeFrom="paragraph">
                        <wp:posOffset>1186194</wp:posOffset>
                      </wp:positionV>
                      <wp:extent cx="1200150" cy="12700"/>
                      <wp:effectExtent b="0" l="0" r="0" t="0"/>
                      <wp:wrapNone/>
                      <wp:docPr id="529" name="image93.png"/>
                      <a:graphic>
                        <a:graphicData uri="http://schemas.openxmlformats.org/drawingml/2006/picture">
                          <pic:pic>
                            <pic:nvPicPr>
                              <pic:cNvPr id="0" name="image93.png"/>
                              <pic:cNvPicPr preferRelativeResize="0"/>
                            </pic:nvPicPr>
                            <pic:blipFill>
                              <a:blip r:embed="rId57"/>
                              <a:srcRect/>
                              <a:stretch>
                                <a:fillRect/>
                              </a:stretch>
                            </pic:blipFill>
                            <pic:spPr>
                              <a:xfrm>
                                <a:off x="0" y="0"/>
                                <a:ext cx="1200150" cy="12700"/>
                              </a:xfrm>
                              <a:prstGeom prst="rect"/>
                              <a:ln/>
                            </pic:spPr>
                          </pic:pic>
                        </a:graphicData>
                      </a:graphic>
                    </wp:anchor>
                  </w:drawing>
                </mc:Fallback>
              </mc:AlternateContent>
            </w:r>
            <w:r>
              <w:rPr>
                <w:noProof/>
                <w:lang w:val="en-GB" w:eastAsia="en-GB"/>
              </w:rPr>
              <mc:AlternateContent>
                <mc:Choice Requires="wpg">
                  <w:drawing>
                    <wp:anchor distT="4294967293" distB="4294967293" distL="114300" distR="114300" simplePos="0" relativeHeight="251665408" behindDoc="0" locked="0" layoutInCell="1" hidden="0" allowOverlap="1" wp14:anchorId="10BEF712" wp14:editId="09191D6C">
                      <wp:simplePos x="0" y="0"/>
                      <wp:positionH relativeFrom="column">
                        <wp:posOffset>2984500</wp:posOffset>
                      </wp:positionH>
                      <wp:positionV relativeFrom="paragraph">
                        <wp:posOffset>1186194</wp:posOffset>
                      </wp:positionV>
                      <wp:extent cx="1200150" cy="12700"/>
                      <wp:effectExtent l="0" t="0" r="0" b="0"/>
                      <wp:wrapNone/>
                      <wp:docPr id="476" name="Łącznik prosty ze strzałką 476"/>
                      <wp:cNvGraphicFramePr/>
                      <a:graphic xmlns:a="http://schemas.openxmlformats.org/drawingml/2006/main">
                        <a:graphicData uri="http://schemas.microsoft.com/office/word/2010/wordprocessingShape">
                          <wps:wsp>
                            <wps:cNvCnPr/>
                            <wps:spPr>
                              <a:xfrm>
                                <a:off x="4745925" y="3780000"/>
                                <a:ext cx="1200150" cy="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2984500</wp:posOffset>
                      </wp:positionH>
                      <wp:positionV relativeFrom="paragraph">
                        <wp:posOffset>1186194</wp:posOffset>
                      </wp:positionV>
                      <wp:extent cx="1200150" cy="12700"/>
                      <wp:effectExtent b="0" l="0" r="0" t="0"/>
                      <wp:wrapNone/>
                      <wp:docPr id="476" name="image32.png"/>
                      <a:graphic>
                        <a:graphicData uri="http://schemas.openxmlformats.org/drawingml/2006/picture">
                          <pic:pic>
                            <pic:nvPicPr>
                              <pic:cNvPr id="0" name="image32.png"/>
                              <pic:cNvPicPr preferRelativeResize="0"/>
                            </pic:nvPicPr>
                            <pic:blipFill>
                              <a:blip r:embed="rId58"/>
                              <a:srcRect/>
                              <a:stretch>
                                <a:fillRect/>
                              </a:stretch>
                            </pic:blipFill>
                            <pic:spPr>
                              <a:xfrm>
                                <a:off x="0" y="0"/>
                                <a:ext cx="1200150" cy="12700"/>
                              </a:xfrm>
                              <a:prstGeom prst="rect"/>
                              <a:ln/>
                            </pic:spPr>
                          </pic:pic>
                        </a:graphicData>
                      </a:graphic>
                    </wp:anchor>
                  </w:drawing>
                </mc:Fallback>
              </mc:AlternateContent>
            </w:r>
            <w:r>
              <w:rPr>
                <w:noProof/>
                <w:lang w:val="en-GB" w:eastAsia="en-GB"/>
              </w:rPr>
              <mc:AlternateContent>
                <mc:Choice Requires="wps">
                  <w:drawing>
                    <wp:anchor distT="0" distB="0" distL="114300" distR="114300" simplePos="0" relativeHeight="251666432" behindDoc="0" locked="0" layoutInCell="1" hidden="0" allowOverlap="1" wp14:anchorId="238A6E56" wp14:editId="10B79244">
                      <wp:simplePos x="0" y="0"/>
                      <wp:positionH relativeFrom="column">
                        <wp:posOffset>279400</wp:posOffset>
                      </wp:positionH>
                      <wp:positionV relativeFrom="paragraph">
                        <wp:posOffset>342900</wp:posOffset>
                      </wp:positionV>
                      <wp:extent cx="1717040" cy="683895"/>
                      <wp:effectExtent l="0" t="0" r="0" b="0"/>
                      <wp:wrapNone/>
                      <wp:docPr id="464" name="Prostokąt 464"/>
                      <wp:cNvGraphicFramePr/>
                      <a:graphic xmlns:a="http://schemas.openxmlformats.org/drawingml/2006/main">
                        <a:graphicData uri="http://schemas.microsoft.com/office/word/2010/wordprocessingShape">
                          <wps:wsp>
                            <wps:cNvSpPr/>
                            <wps:spPr>
                              <a:xfrm>
                                <a:off x="4492243" y="3442815"/>
                                <a:ext cx="1707515" cy="67437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AAB38DB" w14:textId="77777777" w:rsidR="007463B9" w:rsidRDefault="007463B9">
                                  <w:pPr>
                                    <w:spacing w:after="120"/>
                                    <w:jc w:val="center"/>
                                    <w:textDirection w:val="btLr"/>
                                  </w:pPr>
                                  <w:r>
                                    <w:rPr>
                                      <w:rFonts w:ascii="Calibri" w:eastAsia="Calibri" w:hAnsi="Calibri" w:cs="Calibri"/>
                                      <w:b/>
                                      <w:color w:val="000000"/>
                                      <w:sz w:val="20"/>
                                    </w:rPr>
                                    <w:t>ENPV&lt;0</w:t>
                                  </w:r>
                                </w:p>
                                <w:p w14:paraId="15B12365" w14:textId="77777777" w:rsidR="007463B9" w:rsidRDefault="007463B9">
                                  <w:pPr>
                                    <w:spacing w:after="120"/>
                                    <w:jc w:val="center"/>
                                    <w:textDirection w:val="btLr"/>
                                  </w:pPr>
                                  <w:r>
                                    <w:rPr>
                                      <w:rFonts w:ascii="Calibri" w:eastAsia="Calibri" w:hAnsi="Calibri" w:cs="Calibri"/>
                                      <w:color w:val="231F20"/>
                                      <w:sz w:val="18"/>
                                    </w:rPr>
                                    <w:t>Projekt generuje korzyści ekonomiczne netto.</w:t>
                                  </w:r>
                                </w:p>
                              </w:txbxContent>
                            </wps:txbx>
                            <wps:bodyPr spcFirstLastPara="1" wrap="square" lIns="91425" tIns="45700" rIns="91425" bIns="45700" anchor="t" anchorCtr="0">
                              <a:noAutofit/>
                            </wps:bodyPr>
                          </wps:wsp>
                        </a:graphicData>
                      </a:graphic>
                    </wp:anchor>
                  </w:drawing>
                </mc:Choice>
                <mc:Fallback>
                  <w:pict>
                    <v:rect w14:anchorId="238A6E56" id="Prostokąt 464" o:spid="_x0000_s1030" style="position:absolute;left:0;text-align:left;margin-left:22pt;margin-top:27pt;width:135.2pt;height:5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" fillcolor="#dae5f1" stroked="f">
                      <v:shadow on="t" opacity="25956f" origin="-.5,-.5" offset=".74836mm,.74836mm"/>
                      <v:textbox inset="2.53958mm,1.2694mm,2.53958mm,1.2694mm">
                        <w:txbxContent>
                          <w:p w14:paraId="7AAB38DB" w14:textId="77777777" w:rsidR="007463B9" w:rsidRDefault="007463B9">
                            <w:pPr>
                              <w:spacing w:after="120"/>
                              <w:jc w:val="center"/>
                              <w:textDirection w:val="btLr"/>
                            </w:pPr>
                            <w:r>
                              <w:rPr>
                                <w:rFonts w:ascii="Calibri" w:eastAsia="Calibri" w:hAnsi="Calibri" w:cs="Calibri"/>
                                <w:b/>
                                <w:color w:val="000000"/>
                                <w:sz w:val="20"/>
                              </w:rPr>
                              <w:t>ENPV&lt;0</w:t>
                            </w:r>
                          </w:p>
                          <w:p w14:paraId="15B12365" w14:textId="77777777" w:rsidR="007463B9" w:rsidRDefault="007463B9">
                            <w:pPr>
                              <w:spacing w:after="120"/>
                              <w:jc w:val="center"/>
                              <w:textDirection w:val="btLr"/>
                            </w:pPr>
                            <w:r>
                              <w:rPr>
                                <w:rFonts w:ascii="Calibri" w:eastAsia="Calibri" w:hAnsi="Calibri" w:cs="Calibri"/>
                                <w:color w:val="231F20"/>
                                <w:sz w:val="18"/>
                              </w:rPr>
                              <w:t>Projekt generuje korzyści ekonomiczne netto.</w:t>
                            </w:r>
                          </w:p>
                        </w:txbxContent>
                      </v:textbox>
                    </v:rect>
                  </w:pict>
                </mc:Fallback>
              </mc:AlternateContent>
            </w:r>
            <w:r>
              <w:rPr>
                <w:noProof/>
                <w:lang w:val="en-GB" w:eastAsia="en-GB"/>
              </w:rPr>
              <mc:AlternateContent>
                <mc:Choice Requires="wpg">
                  <w:drawing>
                    <wp:anchor distT="0" distB="0" distL="114300" distR="114300" simplePos="0" relativeHeight="251667456" behindDoc="0" locked="0" layoutInCell="1" hidden="0" allowOverlap="1" wp14:anchorId="6D72F6F1" wp14:editId="6E787D40">
                      <wp:simplePos x="0" y="0"/>
                      <wp:positionH relativeFrom="column">
                        <wp:posOffset>1003300</wp:posOffset>
                      </wp:positionH>
                      <wp:positionV relativeFrom="paragraph">
                        <wp:posOffset>0</wp:posOffset>
                      </wp:positionV>
                      <wp:extent cx="25400" cy="358140"/>
                      <wp:effectExtent l="0" t="0" r="0" b="0"/>
                      <wp:wrapNone/>
                      <wp:docPr id="485" name="Łącznik prosty ze strzałką 485"/>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25400" cy="358140"/>
                      <wp:effectExtent b="0" l="0" r="0" t="0"/>
                      <wp:wrapNone/>
                      <wp:docPr id="485" name="image42.png"/>
                      <a:graphic>
                        <a:graphicData uri="http://schemas.openxmlformats.org/drawingml/2006/picture">
                          <pic:pic>
                            <pic:nvPicPr>
                              <pic:cNvPr id="0" name="image42.png"/>
                              <pic:cNvPicPr preferRelativeResize="0"/>
                            </pic:nvPicPr>
                            <pic:blipFill>
                              <a:blip r:embed="rId60"/>
                              <a:srcRect/>
                              <a:stretch>
                                <a:fillRect/>
                              </a:stretch>
                            </pic:blipFill>
                            <pic:spPr>
                              <a:xfrm>
                                <a:off x="0" y="0"/>
                                <a:ext cx="25400" cy="35814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68480" behindDoc="0" locked="0" layoutInCell="1" hidden="0" allowOverlap="1" wp14:anchorId="1F69EA47" wp14:editId="3D4D5A2B">
                      <wp:simplePos x="0" y="0"/>
                      <wp:positionH relativeFrom="column">
                        <wp:posOffset>3429000</wp:posOffset>
                      </wp:positionH>
                      <wp:positionV relativeFrom="paragraph">
                        <wp:posOffset>0</wp:posOffset>
                      </wp:positionV>
                      <wp:extent cx="25400" cy="358140"/>
                      <wp:effectExtent l="0" t="0" r="0" b="0"/>
                      <wp:wrapNone/>
                      <wp:docPr id="508" name="Łącznik prosty ze strzałką 508"/>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0</wp:posOffset>
                      </wp:positionV>
                      <wp:extent cx="25400" cy="358140"/>
                      <wp:effectExtent b="0" l="0" r="0" t="0"/>
                      <wp:wrapNone/>
                      <wp:docPr id="508" name="image66.png"/>
                      <a:graphic>
                        <a:graphicData uri="http://schemas.openxmlformats.org/drawingml/2006/picture">
                          <pic:pic>
                            <pic:nvPicPr>
                              <pic:cNvPr id="0" name="image66.png"/>
                              <pic:cNvPicPr preferRelativeResize="0"/>
                            </pic:nvPicPr>
                            <pic:blipFill>
                              <a:blip r:embed="rId61"/>
                              <a:srcRect/>
                              <a:stretch>
                                <a:fillRect/>
                              </a:stretch>
                            </pic:blipFill>
                            <pic:spPr>
                              <a:xfrm>
                                <a:off x="0" y="0"/>
                                <a:ext cx="25400" cy="358140"/>
                              </a:xfrm>
                              <a:prstGeom prst="rect"/>
                              <a:ln/>
                            </pic:spPr>
                          </pic:pic>
                        </a:graphicData>
                      </a:graphic>
                    </wp:anchor>
                  </w:drawing>
                </mc:Fallback>
              </mc:AlternateContent>
            </w:r>
          </w:p>
          <w:p w14:paraId="0257FD84" w14:textId="77777777" w:rsidR="00600DEE" w:rsidRDefault="00641FB5">
            <w:pPr>
              <w:spacing w:before="240" w:after="360" w:line="276" w:lineRule="auto"/>
              <w:jc w:val="both"/>
              <w:rPr>
                <w:rFonts w:ascii="Calibri" w:eastAsia="Calibri" w:hAnsi="Calibri" w:cs="Calibri"/>
                <w:b/>
                <w:color w:val="333399"/>
                <w:sz w:val="32"/>
                <w:szCs w:val="32"/>
              </w:rPr>
            </w:pPr>
            <w:r>
              <w:rPr>
                <w:noProof/>
                <w:lang w:val="en-GB" w:eastAsia="en-GB"/>
              </w:rPr>
              <mc:AlternateContent>
                <mc:Choice Requires="wpg">
                  <w:drawing>
                    <wp:anchor distT="0" distB="0" distL="114300" distR="114300" simplePos="0" relativeHeight="251669504" behindDoc="0" locked="0" layoutInCell="1" hidden="0" allowOverlap="1" wp14:anchorId="5B88FC2F" wp14:editId="313F8BBD">
                      <wp:simplePos x="0" y="0"/>
                      <wp:positionH relativeFrom="column">
                        <wp:posOffset>1028700</wp:posOffset>
                      </wp:positionH>
                      <wp:positionV relativeFrom="paragraph">
                        <wp:posOffset>317500</wp:posOffset>
                      </wp:positionV>
                      <wp:extent cx="12700" cy="263661"/>
                      <wp:effectExtent l="0" t="0" r="0" b="0"/>
                      <wp:wrapNone/>
                      <wp:docPr id="482" name="Łącznik prosty ze strzałką 482"/>
                      <wp:cNvGraphicFramePr/>
                      <a:graphic xmlns:a="http://schemas.openxmlformats.org/drawingml/2006/main">
                        <a:graphicData uri="http://schemas.microsoft.com/office/word/2010/wordprocessingShape">
                          <wps:wsp>
                            <wps:cNvCnPr/>
                            <wps:spPr>
                              <a:xfrm rot="10800000">
                                <a:off x="5346000" y="3648170"/>
                                <a:ext cx="0" cy="263661"/>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1028700</wp:posOffset>
                      </wp:positionH>
                      <wp:positionV relativeFrom="paragraph">
                        <wp:posOffset>317500</wp:posOffset>
                      </wp:positionV>
                      <wp:extent cx="12700" cy="263661"/>
                      <wp:effectExtent b="0" l="0" r="0" t="0"/>
                      <wp:wrapNone/>
                      <wp:docPr id="482" name="image38.png"/>
                      <a:graphic>
                        <a:graphicData uri="http://schemas.openxmlformats.org/drawingml/2006/picture">
                          <pic:pic>
                            <pic:nvPicPr>
                              <pic:cNvPr id="0" name="image38.png"/>
                              <pic:cNvPicPr preferRelativeResize="0"/>
                            </pic:nvPicPr>
                            <pic:blipFill>
                              <a:blip r:embed="rId62"/>
                              <a:srcRect/>
                              <a:stretch>
                                <a:fillRect/>
                              </a:stretch>
                            </pic:blipFill>
                            <pic:spPr>
                              <a:xfrm>
                                <a:off x="0" y="0"/>
                                <a:ext cx="12700" cy="263661"/>
                              </a:xfrm>
                              <a:prstGeom prst="rect"/>
                              <a:ln/>
                            </pic:spPr>
                          </pic:pic>
                        </a:graphicData>
                      </a:graphic>
                    </wp:anchor>
                  </w:drawing>
                </mc:Fallback>
              </mc:AlternateContent>
            </w:r>
          </w:p>
          <w:p w14:paraId="04A55513" w14:textId="77777777" w:rsidR="00600DEE" w:rsidRDefault="00641FB5">
            <w:pPr>
              <w:spacing w:before="240" w:after="360" w:line="276" w:lineRule="auto"/>
              <w:jc w:val="both"/>
              <w:rPr>
                <w:rFonts w:ascii="Calibri" w:eastAsia="Calibri" w:hAnsi="Calibri" w:cs="Calibri"/>
                <w:b/>
                <w:color w:val="333399"/>
                <w:sz w:val="32"/>
                <w:szCs w:val="32"/>
              </w:rPr>
            </w:pPr>
            <w:r>
              <w:rPr>
                <w:noProof/>
                <w:lang w:val="en-GB" w:eastAsia="en-GB"/>
              </w:rPr>
              <mc:AlternateContent>
                <mc:Choice Requires="wpg">
                  <w:drawing>
                    <wp:anchor distT="0" distB="0" distL="114300" distR="114300" simplePos="0" relativeHeight="251670528" behindDoc="0" locked="0" layoutInCell="1" hidden="0" allowOverlap="1" wp14:anchorId="6DE0A461" wp14:editId="5E0F0B75">
                      <wp:simplePos x="0" y="0"/>
                      <wp:positionH relativeFrom="column">
                        <wp:posOffset>1371600</wp:posOffset>
                      </wp:positionH>
                      <wp:positionV relativeFrom="paragraph">
                        <wp:posOffset>215900</wp:posOffset>
                      </wp:positionV>
                      <wp:extent cx="244732" cy="196953"/>
                      <wp:effectExtent l="0" t="0" r="0" b="0"/>
                      <wp:wrapNone/>
                      <wp:docPr id="496" name="Łącznik prosty ze strzałką 496"/>
                      <wp:cNvGraphicFramePr/>
                      <a:graphic xmlns:a="http://schemas.openxmlformats.org/drawingml/2006/main">
                        <a:graphicData uri="http://schemas.microsoft.com/office/word/2010/wordprocessingShape">
                          <wps:wsp>
                            <wps:cNvCnPr/>
                            <wps:spPr>
                              <a:xfrm flipH="1">
                                <a:off x="5228397" y="3686286"/>
                                <a:ext cx="235207" cy="187428"/>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215900</wp:posOffset>
                      </wp:positionV>
                      <wp:extent cx="244732" cy="196953"/>
                      <wp:effectExtent b="0" l="0" r="0" t="0"/>
                      <wp:wrapNone/>
                      <wp:docPr id="496" name="image54.png"/>
                      <a:graphic>
                        <a:graphicData uri="http://schemas.openxmlformats.org/drawingml/2006/picture">
                          <pic:pic>
                            <pic:nvPicPr>
                              <pic:cNvPr id="0" name="image54.png"/>
                              <pic:cNvPicPr preferRelativeResize="0"/>
                            </pic:nvPicPr>
                            <pic:blipFill>
                              <a:blip r:embed="rId63"/>
                              <a:srcRect/>
                              <a:stretch>
                                <a:fillRect/>
                              </a:stretch>
                            </pic:blipFill>
                            <pic:spPr>
                              <a:xfrm>
                                <a:off x="0" y="0"/>
                                <a:ext cx="244732" cy="196953"/>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71552" behindDoc="0" locked="0" layoutInCell="1" hidden="0" allowOverlap="1" wp14:anchorId="023768D7" wp14:editId="22BDB1B6">
                      <wp:simplePos x="0" y="0"/>
                      <wp:positionH relativeFrom="column">
                        <wp:posOffset>2870200</wp:posOffset>
                      </wp:positionH>
                      <wp:positionV relativeFrom="paragraph">
                        <wp:posOffset>215900</wp:posOffset>
                      </wp:positionV>
                      <wp:extent cx="250120" cy="210241"/>
                      <wp:effectExtent l="0" t="0" r="0" b="0"/>
                      <wp:wrapNone/>
                      <wp:docPr id="520" name="Łącznik prosty ze strzałką 520"/>
                      <wp:cNvGraphicFramePr/>
                      <a:graphic xmlns:a="http://schemas.openxmlformats.org/drawingml/2006/main">
                        <a:graphicData uri="http://schemas.microsoft.com/office/word/2010/wordprocessingShape">
                          <wps:wsp>
                            <wps:cNvCnPr/>
                            <wps:spPr>
                              <a:xfrm>
                                <a:off x="5225703" y="3679642"/>
                                <a:ext cx="240595" cy="200716"/>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215900</wp:posOffset>
                      </wp:positionV>
                      <wp:extent cx="250120" cy="210241"/>
                      <wp:effectExtent b="0" l="0" r="0" t="0"/>
                      <wp:wrapNone/>
                      <wp:docPr id="520" name="image81.png"/>
                      <a:graphic>
                        <a:graphicData uri="http://schemas.openxmlformats.org/drawingml/2006/picture">
                          <pic:pic>
                            <pic:nvPicPr>
                              <pic:cNvPr id="0" name="image81.png"/>
                              <pic:cNvPicPr preferRelativeResize="0"/>
                            </pic:nvPicPr>
                            <pic:blipFill>
                              <a:blip r:embed="rId64"/>
                              <a:srcRect/>
                              <a:stretch>
                                <a:fillRect/>
                              </a:stretch>
                            </pic:blipFill>
                            <pic:spPr>
                              <a:xfrm>
                                <a:off x="0" y="0"/>
                                <a:ext cx="250120" cy="210241"/>
                              </a:xfrm>
                              <a:prstGeom prst="rect"/>
                              <a:ln/>
                            </pic:spPr>
                          </pic:pic>
                        </a:graphicData>
                      </a:graphic>
                    </wp:anchor>
                  </w:drawing>
                </mc:Fallback>
              </mc:AlternateContent>
            </w:r>
            <w:r>
              <w:rPr>
                <w:noProof/>
                <w:lang w:val="en-GB" w:eastAsia="en-GB"/>
              </w:rPr>
              <mc:AlternateContent>
                <mc:Choice Requires="wps">
                  <w:drawing>
                    <wp:anchor distT="0" distB="0" distL="114300" distR="114300" simplePos="0" relativeHeight="251672576" behindDoc="0" locked="0" layoutInCell="1" hidden="0" allowOverlap="1" wp14:anchorId="62575009" wp14:editId="4AA64D99">
                      <wp:simplePos x="0" y="0"/>
                      <wp:positionH relativeFrom="column">
                        <wp:posOffset>2882900</wp:posOffset>
                      </wp:positionH>
                      <wp:positionV relativeFrom="paragraph">
                        <wp:posOffset>12700</wp:posOffset>
                      </wp:positionV>
                      <wp:extent cx="1625600" cy="487680"/>
                      <wp:effectExtent l="0" t="0" r="0" b="0"/>
                      <wp:wrapNone/>
                      <wp:docPr id="513" name="Prostokąt 513"/>
                      <wp:cNvGraphicFramePr/>
                      <a:graphic xmlns:a="http://schemas.openxmlformats.org/drawingml/2006/main">
                        <a:graphicData uri="http://schemas.microsoft.com/office/word/2010/wordprocessingShape">
                          <wps:wsp>
                            <wps:cNvSpPr/>
                            <wps:spPr>
                              <a:xfrm>
                                <a:off x="4537963" y="3540923"/>
                                <a:ext cx="1616075" cy="478155"/>
                              </a:xfrm>
                              <a:prstGeom prst="rect">
                                <a:avLst/>
                              </a:prstGeom>
                              <a:noFill/>
                              <a:ln>
                                <a:noFill/>
                              </a:ln>
                            </wps:spPr>
                            <wps:txbx>
                              <w:txbxContent>
                                <w:p w14:paraId="03E4E505" w14:textId="77777777" w:rsidR="007463B9" w:rsidRDefault="007463B9">
                                  <w:pPr>
                                    <w:jc w:val="center"/>
                                    <w:textDirection w:val="btLr"/>
                                  </w:pPr>
                                  <w:r>
                                    <w:rPr>
                                      <w:rFonts w:ascii="Calibri" w:eastAsia="Calibri" w:hAnsi="Calibri" w:cs="Calibri"/>
                                      <w:b/>
                                      <w:i/>
                                      <w:color w:val="000000"/>
                                      <w:sz w:val="18"/>
                                    </w:rPr>
                                    <w:t>APLIKOWANIE o DOFINANSOWANIE z UE</w:t>
                                  </w:r>
                                </w:p>
                              </w:txbxContent>
                            </wps:txbx>
                            <wps:bodyPr spcFirstLastPara="1" wrap="square" lIns="91425" tIns="45700" rIns="91425" bIns="45700" anchor="t" anchorCtr="0">
                              <a:noAutofit/>
                            </wps:bodyPr>
                          </wps:wsp>
                        </a:graphicData>
                      </a:graphic>
                    </wp:anchor>
                  </w:drawing>
                </mc:Choice>
                <mc:Fallback>
                  <w:pict>
                    <v:rect w14:anchorId="62575009" id="Prostokąt 513" o:spid="_x0000_s1031" style="position:absolute;left:0;text-align:left;margin-left:227pt;margin-top:1pt;width:128pt;height:38.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" filled="f" stroked="f">
                      <v:textbox inset="2.53958mm,1.2694mm,2.53958mm,1.2694mm">
                        <w:txbxContent>
                          <w:p w14:paraId="03E4E505" w14:textId="77777777" w:rsidR="007463B9" w:rsidRDefault="007463B9">
                            <w:pPr>
                              <w:jc w:val="center"/>
                              <w:textDirection w:val="btLr"/>
                            </w:pPr>
                            <w:r>
                              <w:rPr>
                                <w:rFonts w:ascii="Calibri" w:eastAsia="Calibri" w:hAnsi="Calibri" w:cs="Calibri"/>
                                <w:b/>
                                <w:i/>
                                <w:color w:val="000000"/>
                                <w:sz w:val="18"/>
                              </w:rPr>
                              <w:t>APLIKOWANIE o DOFINANSOWANIE z UE</w:t>
                            </w:r>
                          </w:p>
                        </w:txbxContent>
                      </v:textbox>
                    </v:rect>
                  </w:pict>
                </mc:Fallback>
              </mc:AlternateContent>
            </w:r>
            <w:r>
              <w:rPr>
                <w:noProof/>
                <w:lang w:val="en-GB" w:eastAsia="en-GB"/>
              </w:rPr>
              <mc:AlternateContent>
                <mc:Choice Requires="wpg">
                  <w:drawing>
                    <wp:anchor distT="0" distB="0" distL="114300" distR="114300" simplePos="0" relativeHeight="251673600" behindDoc="0" locked="0" layoutInCell="1" hidden="0" allowOverlap="1" wp14:anchorId="68FBC8BC" wp14:editId="1E50D28E">
                      <wp:simplePos x="0" y="0"/>
                      <wp:positionH relativeFrom="column">
                        <wp:posOffset>1041400</wp:posOffset>
                      </wp:positionH>
                      <wp:positionV relativeFrom="paragraph">
                        <wp:posOffset>50800</wp:posOffset>
                      </wp:positionV>
                      <wp:extent cx="465455" cy="25400"/>
                      <wp:effectExtent l="0" t="0" r="0" b="0"/>
                      <wp:wrapNone/>
                      <wp:docPr id="480" name="Łącznik prosty ze strzałką 480"/>
                      <wp:cNvGraphicFramePr/>
                      <a:graphic xmlns:a="http://schemas.openxmlformats.org/drawingml/2006/main">
                        <a:graphicData uri="http://schemas.microsoft.com/office/word/2010/wordprocessingShape">
                          <wps:wsp>
                            <wps:cNvCnPr/>
                            <wps:spPr>
                              <a:xfrm>
                                <a:off x="5113273" y="3777143"/>
                                <a:ext cx="465455" cy="571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50800</wp:posOffset>
                      </wp:positionV>
                      <wp:extent cx="465455" cy="25400"/>
                      <wp:effectExtent b="0" l="0" r="0" t="0"/>
                      <wp:wrapNone/>
                      <wp:docPr id="480" name="image36.png"/>
                      <a:graphic>
                        <a:graphicData uri="http://schemas.openxmlformats.org/drawingml/2006/picture">
                          <pic:pic>
                            <pic:nvPicPr>
                              <pic:cNvPr id="0" name="image36.png"/>
                              <pic:cNvPicPr preferRelativeResize="0"/>
                            </pic:nvPicPr>
                            <pic:blipFill>
                              <a:blip r:embed="rId66"/>
                              <a:srcRect/>
                              <a:stretch>
                                <a:fillRect/>
                              </a:stretch>
                            </pic:blipFill>
                            <pic:spPr>
                              <a:xfrm>
                                <a:off x="0" y="0"/>
                                <a:ext cx="465455" cy="25400"/>
                              </a:xfrm>
                              <a:prstGeom prst="rect"/>
                              <a:ln/>
                            </pic:spPr>
                          </pic:pic>
                        </a:graphicData>
                      </a:graphic>
                    </wp:anchor>
                  </w:drawing>
                </mc:Fallback>
              </mc:AlternateContent>
            </w:r>
          </w:p>
          <w:p w14:paraId="55BD5C25" w14:textId="77777777" w:rsidR="00600DEE" w:rsidRDefault="00600DEE">
            <w:pPr>
              <w:spacing w:before="240" w:after="360" w:line="276" w:lineRule="auto"/>
              <w:jc w:val="both"/>
              <w:rPr>
                <w:rFonts w:ascii="Calibri" w:eastAsia="Calibri" w:hAnsi="Calibri" w:cs="Calibri"/>
                <w:b/>
                <w:color w:val="333399"/>
                <w:sz w:val="32"/>
                <w:szCs w:val="32"/>
              </w:rPr>
            </w:pPr>
          </w:p>
          <w:p w14:paraId="5C84E8A6" w14:textId="083D9E4E" w:rsidR="00600DEE" w:rsidRDefault="004D5549">
            <w:pPr>
              <w:spacing w:before="240" w:after="360" w:line="276" w:lineRule="auto"/>
              <w:jc w:val="both"/>
              <w:rPr>
                <w:rFonts w:ascii="Calibri" w:eastAsia="Calibri" w:hAnsi="Calibri" w:cs="Calibri"/>
                <w:b/>
                <w:color w:val="333399"/>
                <w:sz w:val="32"/>
                <w:szCs w:val="32"/>
              </w:rPr>
            </w:pPr>
            <w:r>
              <w:rPr>
                <w:noProof/>
                <w:lang w:val="en-GB" w:eastAsia="en-GB"/>
              </w:rPr>
              <mc:AlternateContent>
                <mc:Choice Requires="wps">
                  <w:drawing>
                    <wp:anchor distT="0" distB="0" distL="114300" distR="114300" simplePos="0" relativeHeight="251680768" behindDoc="0" locked="0" layoutInCell="1" hidden="0" allowOverlap="1" wp14:anchorId="7C12865C" wp14:editId="2F5D192E">
                      <wp:simplePos x="0" y="0"/>
                      <wp:positionH relativeFrom="column">
                        <wp:posOffset>398145</wp:posOffset>
                      </wp:positionH>
                      <wp:positionV relativeFrom="paragraph">
                        <wp:posOffset>430530</wp:posOffset>
                      </wp:positionV>
                      <wp:extent cx="1330325" cy="400050"/>
                      <wp:effectExtent l="0" t="0" r="0" b="0"/>
                      <wp:wrapNone/>
                      <wp:docPr id="472" name="Prostokąt 472"/>
                      <wp:cNvGraphicFramePr/>
                      <a:graphic xmlns:a="http://schemas.openxmlformats.org/drawingml/2006/main">
                        <a:graphicData uri="http://schemas.microsoft.com/office/word/2010/wordprocessingShape">
                          <wps:wsp>
                            <wps:cNvSpPr/>
                            <wps:spPr>
                              <a:xfrm>
                                <a:off x="0" y="0"/>
                                <a:ext cx="1330325" cy="400050"/>
                              </a:xfrm>
                              <a:prstGeom prst="rect">
                                <a:avLst/>
                              </a:prstGeom>
                              <a:noFill/>
                              <a:ln>
                                <a:noFill/>
                              </a:ln>
                            </wps:spPr>
                            <wps:txbx>
                              <w:txbxContent>
                                <w:p w14:paraId="53CD1A19" w14:textId="77777777" w:rsidR="007463B9" w:rsidRDefault="007463B9">
                                  <w:pPr>
                                    <w:jc w:val="center"/>
                                    <w:textDirection w:val="btLr"/>
                                  </w:pPr>
                                  <w:r>
                                    <w:rPr>
                                      <w:rFonts w:ascii="Calibri" w:eastAsia="Calibri" w:hAnsi="Calibri" w:cs="Calibri"/>
                                      <w:color w:val="000000"/>
                                      <w:sz w:val="20"/>
                                    </w:rPr>
                                    <w:t xml:space="preserve">Obliczenie wysokości dofinansowania UE </w:t>
                                  </w:r>
                                </w:p>
                                <w:p w14:paraId="7E6F0EE4" w14:textId="77777777" w:rsidR="007463B9" w:rsidRDefault="007463B9">
                                  <w:pPr>
                                    <w:textDirection w:val="btLr"/>
                                  </w:pPr>
                                </w:p>
                              </w:txbxContent>
                            </wps:txbx>
                            <wps:bodyPr spcFirstLastPara="1" wrap="square" lIns="91425" tIns="45700" rIns="91425" bIns="45700" anchor="t" anchorCtr="0">
                              <a:noAutofit/>
                            </wps:bodyPr>
                          </wps:wsp>
                        </a:graphicData>
                      </a:graphic>
                    </wp:anchor>
                  </w:drawing>
                </mc:Choice>
                <mc:Fallback>
                  <w:pict>
                    <v:rect w14:anchorId="7C12865C" id="Prostokąt 472" o:spid="_x0000_s1032" style="position:absolute;left:0;text-align:left;margin-left:31.35pt;margin-top:33.9pt;width:104.7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" filled="f" stroked="f">
                      <v:textbox inset="2.53958mm,1.2694mm,2.53958mm,1.2694mm">
                        <w:txbxContent>
                          <w:p w14:paraId="53CD1A19" w14:textId="77777777" w:rsidR="007463B9" w:rsidRDefault="007463B9">
                            <w:pPr>
                              <w:jc w:val="center"/>
                              <w:textDirection w:val="btLr"/>
                            </w:pPr>
                            <w:r>
                              <w:rPr>
                                <w:rFonts w:ascii="Calibri" w:eastAsia="Calibri" w:hAnsi="Calibri" w:cs="Calibri"/>
                                <w:color w:val="000000"/>
                                <w:sz w:val="20"/>
                              </w:rPr>
                              <w:t xml:space="preserve">Obliczenie wysokości dofinansowania UE </w:t>
                            </w:r>
                          </w:p>
                          <w:p w14:paraId="7E6F0EE4" w14:textId="77777777" w:rsidR="007463B9" w:rsidRDefault="007463B9">
                            <w:pPr>
                              <w:textDirection w:val="btLr"/>
                            </w:pPr>
                          </w:p>
                        </w:txbxContent>
                      </v:textbox>
                    </v:rect>
                  </w:pict>
                </mc:Fallback>
              </mc:AlternateContent>
            </w:r>
            <w:r w:rsidR="00641FB5">
              <w:rPr>
                <w:noProof/>
                <w:lang w:val="en-GB" w:eastAsia="en-GB"/>
              </w:rPr>
              <mc:AlternateContent>
                <mc:Choice Requires="wps">
                  <w:drawing>
                    <wp:anchor distT="0" distB="0" distL="0" distR="0" simplePos="0" relativeHeight="251674624" behindDoc="1" locked="0" layoutInCell="1" hidden="0" allowOverlap="1" wp14:anchorId="1DAA4789" wp14:editId="28872438">
                      <wp:simplePos x="0" y="0"/>
                      <wp:positionH relativeFrom="column">
                        <wp:posOffset>330200</wp:posOffset>
                      </wp:positionH>
                      <wp:positionV relativeFrom="paragraph">
                        <wp:posOffset>393700</wp:posOffset>
                      </wp:positionV>
                      <wp:extent cx="1538811" cy="437655"/>
                      <wp:effectExtent l="0" t="0" r="0" b="0"/>
                      <wp:wrapNone/>
                      <wp:docPr id="509" name="Schemat blokowy: proces alternatywny 509"/>
                      <wp:cNvGraphicFramePr/>
                      <a:graphic xmlns:a="http://schemas.openxmlformats.org/drawingml/2006/main">
                        <a:graphicData uri="http://schemas.microsoft.com/office/word/2010/wordprocessingShape">
                          <wps:wsp>
                            <wps:cNvSpPr/>
                            <wps:spPr>
                              <a:xfrm>
                                <a:off x="4581357" y="3565935"/>
                                <a:ext cx="1529286" cy="428130"/>
                              </a:xfrm>
                              <a:prstGeom prst="flowChartAlternateProcess">
                                <a:avLst/>
                              </a:prstGeom>
                              <a:solidFill>
                                <a:srgbClr val="B7CCE4"/>
                              </a:solidFill>
                              <a:ln>
                                <a:noFill/>
                              </a:ln>
                              <a:effectLst>
                                <a:outerShdw blurRad="50800" dist="38100" dir="2700000" algn="tl" rotWithShape="0">
                                  <a:srgbClr val="000000">
                                    <a:alpha val="40000"/>
                                  </a:srgbClr>
                                </a:outerShdw>
                              </a:effectLst>
                            </wps:spPr>
                            <wps:txbx>
                              <w:txbxContent>
                                <w:p w14:paraId="52D5F9F0"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type w14:anchorId="1DAA478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509" o:spid="_x0000_s1033" type="#_x0000_t176" style="position:absolute;left:0;text-align:left;margin-left:26pt;margin-top:31pt;width:121.15pt;height:34.4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" fillcolor="#b7cce4" stroked="f">
                      <v:shadow on="t" color="black" opacity="26214f" origin="-.5,-.5" offset=".74836mm,.74836mm"/>
                      <v:textbox inset="2.53958mm,2.53958mm,2.53958mm,2.53958mm">
                        <w:txbxContent>
                          <w:p w14:paraId="52D5F9F0" w14:textId="77777777" w:rsidR="007463B9" w:rsidRDefault="007463B9">
                            <w:pPr>
                              <w:textDirection w:val="btLr"/>
                            </w:pPr>
                          </w:p>
                        </w:txbxContent>
                      </v:textbox>
                    </v:shape>
                  </w:pict>
                </mc:Fallback>
              </mc:AlternateContent>
            </w:r>
            <w:r w:rsidR="00641FB5">
              <w:rPr>
                <w:noProof/>
                <w:lang w:val="en-GB" w:eastAsia="en-GB"/>
              </w:rPr>
              <mc:AlternateContent>
                <mc:Choice Requires="wpg">
                  <w:drawing>
                    <wp:anchor distT="0" distB="0" distL="114300" distR="114300" simplePos="0" relativeHeight="251675648" behindDoc="0" locked="0" layoutInCell="1" hidden="0" allowOverlap="1" wp14:anchorId="63853CD4" wp14:editId="097B6B9C">
                      <wp:simplePos x="0" y="0"/>
                      <wp:positionH relativeFrom="column">
                        <wp:posOffset>1028700</wp:posOffset>
                      </wp:positionH>
                      <wp:positionV relativeFrom="paragraph">
                        <wp:posOffset>101600</wp:posOffset>
                      </wp:positionV>
                      <wp:extent cx="25400" cy="291711"/>
                      <wp:effectExtent l="0" t="0" r="0" b="0"/>
                      <wp:wrapNone/>
                      <wp:docPr id="483" name="Łącznik prosty ze strzałką 483"/>
                      <wp:cNvGraphicFramePr/>
                      <a:graphic xmlns:a="http://schemas.openxmlformats.org/drawingml/2006/main">
                        <a:graphicData uri="http://schemas.microsoft.com/office/word/2010/wordprocessingShape">
                          <wps:wsp>
                            <wps:cNvCnPr/>
                            <wps:spPr>
                              <a:xfrm>
                                <a:off x="5346000" y="3634145"/>
                                <a:ext cx="0" cy="29171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1028700</wp:posOffset>
                      </wp:positionH>
                      <wp:positionV relativeFrom="paragraph">
                        <wp:posOffset>101600</wp:posOffset>
                      </wp:positionV>
                      <wp:extent cx="25400" cy="291711"/>
                      <wp:effectExtent b="0" l="0" r="0" t="0"/>
                      <wp:wrapNone/>
                      <wp:docPr id="483" name="image40.png"/>
                      <a:graphic>
                        <a:graphicData uri="http://schemas.openxmlformats.org/drawingml/2006/picture">
                          <pic:pic>
                            <pic:nvPicPr>
                              <pic:cNvPr id="0" name="image40.png"/>
                              <pic:cNvPicPr preferRelativeResize="0"/>
                            </pic:nvPicPr>
                            <pic:blipFill>
                              <a:blip r:embed="rId68"/>
                              <a:srcRect/>
                              <a:stretch>
                                <a:fillRect/>
                              </a:stretch>
                            </pic:blipFill>
                            <pic:spPr>
                              <a:xfrm>
                                <a:off x="0" y="0"/>
                                <a:ext cx="25400" cy="291711"/>
                              </a:xfrm>
                              <a:prstGeom prst="rect"/>
                              <a:ln/>
                            </pic:spPr>
                          </pic:pic>
                        </a:graphicData>
                      </a:graphic>
                    </wp:anchor>
                  </w:drawing>
                </mc:Fallback>
              </mc:AlternateContent>
            </w:r>
          </w:p>
          <w:p w14:paraId="71DE0477" w14:textId="19401D16" w:rsidR="00600DEE" w:rsidRDefault="00641FB5">
            <w:pPr>
              <w:tabs>
                <w:tab w:val="left" w:pos="2705"/>
              </w:tabs>
              <w:spacing w:before="240" w:after="360" w:line="276" w:lineRule="auto"/>
              <w:jc w:val="both"/>
              <w:rPr>
                <w:rFonts w:ascii="Calibri" w:eastAsia="Calibri" w:hAnsi="Calibri" w:cs="Calibri"/>
                <w:b/>
                <w:color w:val="333399"/>
                <w:sz w:val="32"/>
                <w:szCs w:val="32"/>
              </w:rPr>
            </w:pPr>
            <w:r>
              <w:rPr>
                <w:rFonts w:ascii="Calibri" w:eastAsia="Calibri" w:hAnsi="Calibri" w:cs="Calibri"/>
                <w:b/>
                <w:color w:val="333399"/>
                <w:sz w:val="32"/>
                <w:szCs w:val="32"/>
              </w:rPr>
              <w:tab/>
            </w:r>
            <w:r>
              <w:rPr>
                <w:noProof/>
                <w:lang w:val="en-GB" w:eastAsia="en-GB"/>
              </w:rPr>
              <mc:AlternateContent>
                <mc:Choice Requires="wps">
                  <w:drawing>
                    <wp:anchor distT="0" distB="0" distL="114300" distR="114300" simplePos="0" relativeHeight="251676672" behindDoc="0" locked="0" layoutInCell="1" hidden="0" allowOverlap="1" wp14:anchorId="5EDBE3F0" wp14:editId="34C444BB">
                      <wp:simplePos x="0" y="0"/>
                      <wp:positionH relativeFrom="column">
                        <wp:posOffset>596900</wp:posOffset>
                      </wp:positionH>
                      <wp:positionV relativeFrom="paragraph">
                        <wp:posOffset>609600</wp:posOffset>
                      </wp:positionV>
                      <wp:extent cx="1130300" cy="311150"/>
                      <wp:effectExtent l="0" t="0" r="0" b="0"/>
                      <wp:wrapNone/>
                      <wp:docPr id="474" name="Prostokąt 474"/>
                      <wp:cNvGraphicFramePr/>
                      <a:graphic xmlns:a="http://schemas.openxmlformats.org/drawingml/2006/main">
                        <a:graphicData uri="http://schemas.microsoft.com/office/word/2010/wordprocessingShape">
                          <wps:wsp>
                            <wps:cNvSpPr/>
                            <wps:spPr>
                              <a:xfrm>
                                <a:off x="4793550" y="3637125"/>
                                <a:ext cx="1104900" cy="285750"/>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054644FA" w14:textId="77777777" w:rsidR="007463B9" w:rsidRDefault="007463B9">
                                  <w:pPr>
                                    <w:jc w:val="center"/>
                                    <w:textDirection w:val="btLr"/>
                                  </w:pPr>
                                  <w:r>
                                    <w:rPr>
                                      <w:rFonts w:ascii="Calibri" w:eastAsia="Calibri" w:hAnsi="Calibri" w:cs="Calibri"/>
                                      <w:b/>
                                      <w:color w:val="000000"/>
                                      <w:sz w:val="20"/>
                                    </w:rPr>
                                    <w:t>Dotacja UE</w:t>
                                  </w:r>
                                </w:p>
                              </w:txbxContent>
                            </wps:txbx>
                            <wps:bodyPr spcFirstLastPara="1" wrap="square" lIns="91425" tIns="45700" rIns="91425" bIns="45700" anchor="t" anchorCtr="0">
                              <a:noAutofit/>
                            </wps:bodyPr>
                          </wps:wsp>
                        </a:graphicData>
                      </a:graphic>
                    </wp:anchor>
                  </w:drawing>
                </mc:Choice>
                <mc:Fallback>
                  <w:pict>
                    <v:rect w14:anchorId="5EDBE3F0" id="Prostokąt 474" o:spid="_x0000_s1034" style="position:absolute;left:0;text-align:left;margin-left:47pt;margin-top:48pt;width:89pt;height:2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" fillcolor="#4f81bd [3204]" strokecolor="#395e89" strokeweight="2pt">
                      <v:stroke startarrowwidth="narrow" startarrowlength="short" endarrowwidth="narrow" endarrowlength="short" joinstyle="round"/>
                      <v:textbox inset="2.53958mm,1.2694mm,2.53958mm,1.2694mm">
                        <w:txbxContent>
                          <w:p w14:paraId="054644FA" w14:textId="77777777" w:rsidR="007463B9" w:rsidRDefault="007463B9">
                            <w:pPr>
                              <w:jc w:val="center"/>
                              <w:textDirection w:val="btLr"/>
                            </w:pPr>
                            <w:r>
                              <w:rPr>
                                <w:rFonts w:ascii="Calibri" w:eastAsia="Calibri" w:hAnsi="Calibri" w:cs="Calibri"/>
                                <w:b/>
                                <w:color w:val="000000"/>
                                <w:sz w:val="20"/>
                              </w:rPr>
                              <w:t>Dotacja UE</w:t>
                            </w:r>
                          </w:p>
                        </w:txbxContent>
                      </v:textbox>
                    </v:rect>
                  </w:pict>
                </mc:Fallback>
              </mc:AlternateContent>
            </w:r>
            <w:r>
              <w:rPr>
                <w:noProof/>
                <w:lang w:val="en-GB" w:eastAsia="en-GB"/>
              </w:rPr>
              <mc:AlternateContent>
                <mc:Choice Requires="wps">
                  <w:drawing>
                    <wp:anchor distT="0" distB="0" distL="114300" distR="114300" simplePos="0" relativeHeight="251677696" behindDoc="0" locked="0" layoutInCell="1" hidden="0" allowOverlap="1" wp14:anchorId="688D8BE7" wp14:editId="193D122F">
                      <wp:simplePos x="0" y="0"/>
                      <wp:positionH relativeFrom="column">
                        <wp:posOffset>2336800</wp:posOffset>
                      </wp:positionH>
                      <wp:positionV relativeFrom="paragraph">
                        <wp:posOffset>368300</wp:posOffset>
                      </wp:positionV>
                      <wp:extent cx="1600200" cy="798195"/>
                      <wp:effectExtent l="0" t="0" r="0" b="0"/>
                      <wp:wrapNone/>
                      <wp:docPr id="467" name="Prostokąt 467"/>
                      <wp:cNvGraphicFramePr/>
                      <a:graphic xmlns:a="http://schemas.openxmlformats.org/drawingml/2006/main">
                        <a:graphicData uri="http://schemas.microsoft.com/office/word/2010/wordprocessingShape">
                          <wps:wsp>
                            <wps:cNvSpPr/>
                            <wps:spPr>
                              <a:xfrm>
                                <a:off x="4550663" y="3385665"/>
                                <a:ext cx="1590675" cy="78867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2ECA5CD6" w14:textId="77777777" w:rsidR="007463B9" w:rsidRDefault="007463B9">
                                  <w:pPr>
                                    <w:spacing w:after="120"/>
                                    <w:jc w:val="center"/>
                                    <w:textDirection w:val="btLr"/>
                                  </w:pPr>
                                  <w:r>
                                    <w:rPr>
                                      <w:rFonts w:ascii="Calibri" w:eastAsia="Calibri" w:hAnsi="Calibri" w:cs="Calibri"/>
                                      <w:b/>
                                      <w:color w:val="000000"/>
                                      <w:sz w:val="20"/>
                                    </w:rPr>
                                    <w:t>ENPV&gt;0, FNPV≈0</w:t>
                                  </w:r>
                                </w:p>
                                <w:p w14:paraId="24583C02" w14:textId="77777777" w:rsidR="007463B9" w:rsidRDefault="007463B9">
                                  <w:pPr>
                                    <w:spacing w:after="120"/>
                                    <w:jc w:val="center"/>
                                    <w:textDirection w:val="btLr"/>
                                  </w:pPr>
                                  <w:r>
                                    <w:rPr>
                                      <w:rFonts w:ascii="Calibri" w:eastAsia="Calibri" w:hAnsi="Calibri" w:cs="Calibri"/>
                                      <w:color w:val="000000"/>
                                      <w:sz w:val="17"/>
                                    </w:rPr>
                                    <w:t>Projekt jest ekonomicznie uzasadniony i finansowo wiarygodny.</w:t>
                                  </w:r>
                                </w:p>
                              </w:txbxContent>
                            </wps:txbx>
                            <wps:bodyPr spcFirstLastPara="1" wrap="square" lIns="91425" tIns="45700" rIns="91425" bIns="45700" anchor="t" anchorCtr="0">
                              <a:noAutofit/>
                            </wps:bodyPr>
                          </wps:wsp>
                        </a:graphicData>
                      </a:graphic>
                    </wp:anchor>
                  </w:drawing>
                </mc:Choice>
                <mc:Fallback>
                  <w:pict>
                    <v:rect w14:anchorId="688D8BE7" id="Prostokąt 467" o:spid="_x0000_s1035" style="position:absolute;left:0;text-align:left;margin-left:184pt;margin-top:29pt;width:126pt;height:6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" fillcolor="#dae5f1" stroked="f">
                      <v:shadow on="t" opacity="25956f" origin="-.5,-.5" offset=".74836mm,.74836mm"/>
                      <v:textbox inset="2.53958mm,1.2694mm,2.53958mm,1.2694mm">
                        <w:txbxContent>
                          <w:p w14:paraId="2ECA5CD6" w14:textId="77777777" w:rsidR="007463B9" w:rsidRDefault="007463B9">
                            <w:pPr>
                              <w:spacing w:after="120"/>
                              <w:jc w:val="center"/>
                              <w:textDirection w:val="btLr"/>
                            </w:pPr>
                            <w:r>
                              <w:rPr>
                                <w:rFonts w:ascii="Calibri" w:eastAsia="Calibri" w:hAnsi="Calibri" w:cs="Calibri"/>
                                <w:b/>
                                <w:color w:val="000000"/>
                                <w:sz w:val="20"/>
                              </w:rPr>
                              <w:t>ENPV&gt;0, FNPV≈0</w:t>
                            </w:r>
                          </w:p>
                          <w:p w14:paraId="24583C02" w14:textId="77777777" w:rsidR="007463B9" w:rsidRDefault="007463B9">
                            <w:pPr>
                              <w:spacing w:after="120"/>
                              <w:jc w:val="center"/>
                              <w:textDirection w:val="btLr"/>
                            </w:pPr>
                            <w:r>
                              <w:rPr>
                                <w:rFonts w:ascii="Calibri" w:eastAsia="Calibri" w:hAnsi="Calibri" w:cs="Calibri"/>
                                <w:color w:val="000000"/>
                                <w:sz w:val="17"/>
                              </w:rPr>
                              <w:t>Projekt jest ekonomicznie uzasadniony i finansowo wiarygodny.</w:t>
                            </w:r>
                          </w:p>
                        </w:txbxContent>
                      </v:textbox>
                    </v:rect>
                  </w:pict>
                </mc:Fallback>
              </mc:AlternateContent>
            </w:r>
            <w:r>
              <w:rPr>
                <w:noProof/>
                <w:lang w:val="en-GB" w:eastAsia="en-GB"/>
              </w:rPr>
              <mc:AlternateContent>
                <mc:Choice Requires="wpg">
                  <w:drawing>
                    <wp:anchor distT="0" distB="0" distL="114300" distR="114300" simplePos="0" relativeHeight="251678720" behindDoc="0" locked="0" layoutInCell="1" hidden="0" allowOverlap="1" wp14:anchorId="56EF52D0" wp14:editId="3648E92E">
                      <wp:simplePos x="0" y="0"/>
                      <wp:positionH relativeFrom="column">
                        <wp:posOffset>1016000</wp:posOffset>
                      </wp:positionH>
                      <wp:positionV relativeFrom="paragraph">
                        <wp:posOffset>317500</wp:posOffset>
                      </wp:positionV>
                      <wp:extent cx="25400" cy="297321"/>
                      <wp:effectExtent l="0" t="0" r="0" b="0"/>
                      <wp:wrapNone/>
                      <wp:docPr id="522" name="Łącznik prosty ze strzałką 522"/>
                      <wp:cNvGraphicFramePr/>
                      <a:graphic xmlns:a="http://schemas.openxmlformats.org/drawingml/2006/main">
                        <a:graphicData uri="http://schemas.microsoft.com/office/word/2010/wordprocessingShape">
                          <wps:wsp>
                            <wps:cNvCnPr/>
                            <wps:spPr>
                              <a:xfrm>
                                <a:off x="5346000" y="3631340"/>
                                <a:ext cx="0" cy="29732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317500</wp:posOffset>
                      </wp:positionV>
                      <wp:extent cx="25400" cy="297321"/>
                      <wp:effectExtent b="0" l="0" r="0" t="0"/>
                      <wp:wrapNone/>
                      <wp:docPr id="522" name="image84.png"/>
                      <a:graphic>
                        <a:graphicData uri="http://schemas.openxmlformats.org/drawingml/2006/picture">
                          <pic:pic>
                            <pic:nvPicPr>
                              <pic:cNvPr id="0" name="image84.png"/>
                              <pic:cNvPicPr preferRelativeResize="0"/>
                            </pic:nvPicPr>
                            <pic:blipFill>
                              <a:blip r:embed="rId71"/>
                              <a:srcRect/>
                              <a:stretch>
                                <a:fillRect/>
                              </a:stretch>
                            </pic:blipFill>
                            <pic:spPr>
                              <a:xfrm>
                                <a:off x="0" y="0"/>
                                <a:ext cx="25400" cy="297321"/>
                              </a:xfrm>
                              <a:prstGeom prst="rect"/>
                              <a:ln/>
                            </pic:spPr>
                          </pic:pic>
                        </a:graphicData>
                      </a:graphic>
                    </wp:anchor>
                  </w:drawing>
                </mc:Fallback>
              </mc:AlternateContent>
            </w:r>
          </w:p>
          <w:p w14:paraId="6D5E331A" w14:textId="039BF031" w:rsidR="00600DEE" w:rsidRDefault="00600DEE">
            <w:pPr>
              <w:spacing w:line="258" w:lineRule="auto"/>
              <w:ind w:right="170"/>
              <w:jc w:val="both"/>
              <w:rPr>
                <w:rFonts w:ascii="Calibri" w:eastAsia="Calibri" w:hAnsi="Calibri" w:cs="Calibri"/>
                <w:sz w:val="20"/>
                <w:szCs w:val="20"/>
              </w:rPr>
            </w:pPr>
          </w:p>
          <w:p w14:paraId="51DB5F9C" w14:textId="2042A568" w:rsidR="00600DEE" w:rsidRDefault="00641FB5">
            <w:pPr>
              <w:spacing w:line="258" w:lineRule="auto"/>
              <w:ind w:right="170"/>
              <w:jc w:val="both"/>
              <w:rPr>
                <w:rFonts w:ascii="Calibri" w:eastAsia="Calibri" w:hAnsi="Calibri" w:cs="Calibri"/>
                <w:sz w:val="20"/>
                <w:szCs w:val="20"/>
              </w:rPr>
            </w:pPr>
            <w:r>
              <w:rPr>
                <w:noProof/>
                <w:lang w:val="en-GB" w:eastAsia="en-GB"/>
              </w:rPr>
              <mc:AlternateContent>
                <mc:Choice Requires="wpg">
                  <w:drawing>
                    <wp:anchor distT="0" distB="0" distL="114300" distR="114300" simplePos="0" relativeHeight="251679744" behindDoc="0" locked="0" layoutInCell="1" hidden="0" allowOverlap="1" wp14:anchorId="2626479B" wp14:editId="2595BA23">
                      <wp:simplePos x="0" y="0"/>
                      <wp:positionH relativeFrom="column">
                        <wp:posOffset>1727200</wp:posOffset>
                      </wp:positionH>
                      <wp:positionV relativeFrom="paragraph">
                        <wp:posOffset>76200</wp:posOffset>
                      </wp:positionV>
                      <wp:extent cx="605860" cy="25400"/>
                      <wp:effectExtent l="0" t="0" r="0" b="0"/>
                      <wp:wrapNone/>
                      <wp:docPr id="497" name="Łącznik prosty ze strzałką 497"/>
                      <wp:cNvGraphicFramePr/>
                      <a:graphic xmlns:a="http://schemas.openxmlformats.org/drawingml/2006/main">
                        <a:graphicData uri="http://schemas.microsoft.com/office/word/2010/wordprocessingShape">
                          <wps:wsp>
                            <wps:cNvCnPr/>
                            <wps:spPr>
                              <a:xfrm>
                                <a:off x="5043070" y="3780000"/>
                                <a:ext cx="605860" cy="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76200</wp:posOffset>
                      </wp:positionV>
                      <wp:extent cx="605860" cy="25400"/>
                      <wp:effectExtent b="0" l="0" r="0" t="0"/>
                      <wp:wrapNone/>
                      <wp:docPr id="497" name="image55.png"/>
                      <a:graphic>
                        <a:graphicData uri="http://schemas.openxmlformats.org/drawingml/2006/picture">
                          <pic:pic>
                            <pic:nvPicPr>
                              <pic:cNvPr id="0" name="image55.png"/>
                              <pic:cNvPicPr preferRelativeResize="0"/>
                            </pic:nvPicPr>
                            <pic:blipFill>
                              <a:blip r:embed="rId72"/>
                              <a:srcRect/>
                              <a:stretch>
                                <a:fillRect/>
                              </a:stretch>
                            </pic:blipFill>
                            <pic:spPr>
                              <a:xfrm>
                                <a:off x="0" y="0"/>
                                <a:ext cx="605860" cy="25400"/>
                              </a:xfrm>
                              <a:prstGeom prst="rect"/>
                              <a:ln/>
                            </pic:spPr>
                          </pic:pic>
                        </a:graphicData>
                      </a:graphic>
                    </wp:anchor>
                  </w:drawing>
                </mc:Fallback>
              </mc:AlternateContent>
            </w:r>
          </w:p>
          <w:p w14:paraId="67EFC48D" w14:textId="77777777" w:rsidR="00600DEE" w:rsidRDefault="00600DEE">
            <w:pPr>
              <w:spacing w:line="258" w:lineRule="auto"/>
              <w:ind w:right="170"/>
              <w:jc w:val="both"/>
              <w:rPr>
                <w:rFonts w:ascii="Calibri" w:eastAsia="Calibri" w:hAnsi="Calibri" w:cs="Calibri"/>
                <w:sz w:val="20"/>
                <w:szCs w:val="20"/>
              </w:rPr>
            </w:pPr>
          </w:p>
          <w:p w14:paraId="7454501A" w14:textId="2449BDF9" w:rsidR="00600DEE" w:rsidRDefault="00600DEE">
            <w:pPr>
              <w:spacing w:line="276" w:lineRule="auto"/>
              <w:ind w:right="170"/>
              <w:jc w:val="both"/>
              <w:rPr>
                <w:rFonts w:ascii="Calibri" w:eastAsia="Calibri" w:hAnsi="Calibri" w:cs="Calibri"/>
                <w:b/>
                <w:i/>
                <w:sz w:val="16"/>
                <w:szCs w:val="16"/>
              </w:rPr>
            </w:pPr>
          </w:p>
          <w:p w14:paraId="0964D46F" w14:textId="77777777" w:rsidR="00D2339A" w:rsidRDefault="00D2339A">
            <w:pPr>
              <w:spacing w:line="276" w:lineRule="auto"/>
              <w:ind w:right="170"/>
              <w:jc w:val="both"/>
              <w:rPr>
                <w:rFonts w:ascii="Calibri" w:eastAsia="Calibri" w:hAnsi="Calibri" w:cs="Calibri"/>
                <w:color w:val="000000"/>
                <w:sz w:val="18"/>
                <w:szCs w:val="18"/>
              </w:rPr>
            </w:pPr>
          </w:p>
          <w:p w14:paraId="6191F173" w14:textId="2743255A" w:rsidR="00600DEE" w:rsidRDefault="00641FB5">
            <w:pPr>
              <w:spacing w:line="276" w:lineRule="auto"/>
              <w:ind w:right="170"/>
              <w:jc w:val="both"/>
              <w:rPr>
                <w:rFonts w:ascii="Calibri" w:eastAsia="Calibri" w:hAnsi="Calibri" w:cs="Calibri"/>
                <w:b/>
                <w:i/>
                <w:sz w:val="18"/>
                <w:szCs w:val="18"/>
              </w:rPr>
            </w:pPr>
            <w:r>
              <w:rPr>
                <w:rFonts w:ascii="Calibri" w:eastAsia="Calibri" w:hAnsi="Calibri" w:cs="Calibri"/>
                <w:color w:val="000000"/>
                <w:sz w:val="18"/>
                <w:szCs w:val="18"/>
              </w:rPr>
              <w:t>*W przypadkach, gdy wyniki finansowe projektu przekraczają FDR, środki publiczne mogą być wykorzystane, jeśli wyniki finansowe nie są nadmierne (zgodnie z odpowiednimi dokumentami).</w:t>
            </w:r>
          </w:p>
          <w:p w14:paraId="36E8BA4B" w14:textId="77777777" w:rsidR="00600DEE" w:rsidRDefault="00641FB5">
            <w:pPr>
              <w:spacing w:line="276" w:lineRule="auto"/>
              <w:ind w:right="170"/>
              <w:jc w:val="both"/>
              <w:rPr>
                <w:rFonts w:ascii="Calibri" w:eastAsia="Calibri" w:hAnsi="Calibri" w:cs="Calibri"/>
                <w:b/>
                <w:i/>
                <w:sz w:val="16"/>
                <w:szCs w:val="16"/>
              </w:rPr>
            </w:pPr>
            <w:r>
              <w:rPr>
                <w:rFonts w:ascii="Calibri" w:eastAsia="Calibri" w:hAnsi="Calibri" w:cs="Calibri"/>
                <w:b/>
                <w:i/>
                <w:sz w:val="16"/>
                <w:szCs w:val="16"/>
              </w:rPr>
              <w:t>Źródło: opracowanie własne.</w:t>
            </w:r>
          </w:p>
          <w:p w14:paraId="2A30D8C3" w14:textId="2FD7E374" w:rsidR="00600DEE" w:rsidRDefault="00600DEE" w:rsidP="00E12F72">
            <w:pPr>
              <w:spacing w:line="276" w:lineRule="auto"/>
              <w:ind w:right="170"/>
              <w:jc w:val="both"/>
              <w:rPr>
                <w:rFonts w:ascii="Calibri" w:eastAsia="Calibri" w:hAnsi="Calibri" w:cs="Calibri"/>
                <w:b/>
                <w:color w:val="323299"/>
              </w:rPr>
            </w:pPr>
          </w:p>
        </w:tc>
        <w:tc>
          <w:tcPr>
            <w:tcW w:w="7544" w:type="dxa"/>
            <w:gridSpan w:val="2"/>
            <w:tcBorders>
              <w:left w:val="single" w:sz="4" w:space="0" w:color="000000"/>
            </w:tcBorders>
            <w:tcMar>
              <w:left w:w="284" w:type="dxa"/>
              <w:right w:w="284" w:type="dxa"/>
            </w:tcMar>
          </w:tcPr>
          <w:p w14:paraId="2EF87C4B" w14:textId="2BE8D009" w:rsidR="00600DEE" w:rsidRPr="0045151D" w:rsidRDefault="00641FB5">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Figure 1. Economic and financial analyses diagram</w:t>
            </w:r>
          </w:p>
          <w:p w14:paraId="0DC51FB7" w14:textId="46708C59" w:rsidR="00600DEE" w:rsidRPr="0045151D" w:rsidRDefault="00641FB5">
            <w:pPr>
              <w:spacing w:line="276" w:lineRule="auto"/>
              <w:ind w:right="170"/>
              <w:jc w:val="both"/>
              <w:rPr>
                <w:rFonts w:ascii="Calibri" w:eastAsia="Calibri" w:hAnsi="Calibri" w:cs="Calibri"/>
                <w:sz w:val="20"/>
                <w:szCs w:val="20"/>
                <w:lang w:val="en-GB"/>
              </w:rPr>
            </w:pPr>
            <w:r>
              <w:rPr>
                <w:noProof/>
                <w:lang w:val="en-GB" w:eastAsia="en-GB"/>
              </w:rPr>
              <mc:AlternateContent>
                <mc:Choice Requires="wps">
                  <w:drawing>
                    <wp:anchor distT="0" distB="0" distL="114300" distR="114300" simplePos="0" relativeHeight="251681792" behindDoc="0" locked="0" layoutInCell="1" hidden="0" allowOverlap="1" wp14:anchorId="7F7F833F" wp14:editId="59DB0E62">
                      <wp:simplePos x="0" y="0"/>
                      <wp:positionH relativeFrom="column">
                        <wp:posOffset>2768600</wp:posOffset>
                      </wp:positionH>
                      <wp:positionV relativeFrom="paragraph">
                        <wp:posOffset>12700</wp:posOffset>
                      </wp:positionV>
                      <wp:extent cx="1870075" cy="264795"/>
                      <wp:effectExtent l="0" t="0" r="0" b="0"/>
                      <wp:wrapNone/>
                      <wp:docPr id="523" name="Prostokąt 523"/>
                      <wp:cNvGraphicFramePr/>
                      <a:graphic xmlns:a="http://schemas.openxmlformats.org/drawingml/2006/main">
                        <a:graphicData uri="http://schemas.microsoft.com/office/word/2010/wordprocessingShape">
                          <wps:wsp>
                            <wps:cNvSpPr/>
                            <wps:spPr>
                              <a:xfrm flipH="1">
                                <a:off x="4415725" y="3652365"/>
                                <a:ext cx="1860550" cy="255270"/>
                              </a:xfrm>
                              <a:prstGeom prst="rect">
                                <a:avLst/>
                              </a:prstGeom>
                              <a:noFill/>
                              <a:ln>
                                <a:noFill/>
                              </a:ln>
                            </wps:spPr>
                            <wps:txbx>
                              <w:txbxContent>
                                <w:p w14:paraId="2CBC4874" w14:textId="77777777" w:rsidR="007463B9" w:rsidRDefault="007463B9">
                                  <w:pPr>
                                    <w:jc w:val="center"/>
                                    <w:textDirection w:val="btLr"/>
                                  </w:pPr>
                                  <w:r>
                                    <w:rPr>
                                      <w:rFonts w:ascii="Calibri" w:eastAsia="Calibri" w:hAnsi="Calibri" w:cs="Calibri"/>
                                      <w:b/>
                                      <w:i/>
                                      <w:color w:val="000000"/>
                                      <w:sz w:val="18"/>
                                    </w:rPr>
                                    <w:t>PROJECT SELECTION</w:t>
                                  </w:r>
                                </w:p>
                              </w:txbxContent>
                            </wps:txbx>
                            <wps:bodyPr spcFirstLastPara="1" wrap="square" lIns="91425" tIns="45700" rIns="91425" bIns="45700" anchor="t" anchorCtr="0">
                              <a:noAutofit/>
                            </wps:bodyPr>
                          </wps:wsp>
                        </a:graphicData>
                      </a:graphic>
                    </wp:anchor>
                  </w:drawing>
                </mc:Choice>
                <mc:Fallback>
                  <w:pict>
                    <v:rect w14:anchorId="7F7F833F" id="Prostokąt 523" o:spid="_x0000_s1036" style="position:absolute;left:0;text-align:left;margin-left:218pt;margin-top:1pt;width:147.25pt;height:20.85pt;flip:x;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" filled="f" stroked="f">
                      <v:textbox inset="2.53958mm,1.2694mm,2.53958mm,1.2694mm">
                        <w:txbxContent>
                          <w:p w14:paraId="2CBC4874" w14:textId="77777777" w:rsidR="007463B9" w:rsidRDefault="007463B9">
                            <w:pPr>
                              <w:jc w:val="center"/>
                              <w:textDirection w:val="btLr"/>
                            </w:pPr>
                            <w:r>
                              <w:rPr>
                                <w:rFonts w:ascii="Calibri" w:eastAsia="Calibri" w:hAnsi="Calibri" w:cs="Calibri"/>
                                <w:b/>
                                <w:i/>
                                <w:color w:val="000000"/>
                                <w:sz w:val="18"/>
                              </w:rPr>
                              <w:t>PROJECT SELECTION</w:t>
                            </w:r>
                          </w:p>
                        </w:txbxContent>
                      </v:textbox>
                    </v:rect>
                  </w:pict>
                </mc:Fallback>
              </mc:AlternateContent>
            </w:r>
            <w:r>
              <w:rPr>
                <w:noProof/>
                <w:lang w:val="en-GB" w:eastAsia="en-GB"/>
              </w:rPr>
              <mc:AlternateContent>
                <mc:Choice Requires="wps">
                  <w:drawing>
                    <wp:anchor distT="0" distB="0" distL="114300" distR="114300" simplePos="0" relativeHeight="251682816" behindDoc="0" locked="0" layoutInCell="1" hidden="0" allowOverlap="1" wp14:anchorId="43C3A13D" wp14:editId="430D809E">
                      <wp:simplePos x="0" y="0"/>
                      <wp:positionH relativeFrom="column">
                        <wp:posOffset>1524000</wp:posOffset>
                      </wp:positionH>
                      <wp:positionV relativeFrom="paragraph">
                        <wp:posOffset>88900</wp:posOffset>
                      </wp:positionV>
                      <wp:extent cx="1568450" cy="320675"/>
                      <wp:effectExtent l="0" t="0" r="0" b="0"/>
                      <wp:wrapNone/>
                      <wp:docPr id="495" name="Prostokąt 495"/>
                      <wp:cNvGraphicFramePr/>
                      <a:graphic xmlns:a="http://schemas.openxmlformats.org/drawingml/2006/main">
                        <a:graphicData uri="http://schemas.microsoft.com/office/word/2010/wordprocessingShape">
                          <wps:wsp>
                            <wps:cNvSpPr/>
                            <wps:spPr>
                              <a:xfrm>
                                <a:off x="4574475" y="3632363"/>
                                <a:ext cx="1543050"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47742DD1" w14:textId="77777777" w:rsidR="007463B9" w:rsidRDefault="007463B9">
                                  <w:pPr>
                                    <w:jc w:val="center"/>
                                    <w:textDirection w:val="btLr"/>
                                  </w:pPr>
                                  <w:r>
                                    <w:rPr>
                                      <w:rFonts w:ascii="Calibri" w:eastAsia="Calibri" w:hAnsi="Calibri" w:cs="Calibri"/>
                                      <w:b/>
                                      <w:color w:val="000000"/>
                                      <w:sz w:val="20"/>
                                    </w:rPr>
                                    <w:t>Economic Analysis</w:t>
                                  </w:r>
                                </w:p>
                              </w:txbxContent>
                            </wps:txbx>
                            <wps:bodyPr spcFirstLastPara="1" wrap="square" lIns="91425" tIns="45700" rIns="91425" bIns="45700" anchor="t" anchorCtr="0">
                              <a:noAutofit/>
                            </wps:bodyPr>
                          </wps:wsp>
                        </a:graphicData>
                      </a:graphic>
                    </wp:anchor>
                  </w:drawing>
                </mc:Choice>
                <mc:Fallback>
                  <w:pict>
                    <v:rect w14:anchorId="43C3A13D" id="Prostokąt 495" o:spid="_x0000_s1037" style="position:absolute;left:0;text-align:left;margin-left:120pt;margin-top:7pt;width:123.5pt;height:2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" fillcolor="#4f81bd [3204]" strokecolor="#395e89" strokeweight="2pt">
                      <v:stroke startarrowwidth="narrow" startarrowlength="short" endarrowwidth="narrow" endarrowlength="short" joinstyle="round"/>
                      <v:textbox inset="2.53958mm,1.2694mm,2.53958mm,1.2694mm">
                        <w:txbxContent>
                          <w:p w14:paraId="47742DD1" w14:textId="77777777" w:rsidR="007463B9" w:rsidRDefault="007463B9">
                            <w:pPr>
                              <w:jc w:val="center"/>
                              <w:textDirection w:val="btLr"/>
                            </w:pPr>
                            <w:r>
                              <w:rPr>
                                <w:rFonts w:ascii="Calibri" w:eastAsia="Calibri" w:hAnsi="Calibri" w:cs="Calibri"/>
                                <w:b/>
                                <w:color w:val="000000"/>
                                <w:sz w:val="20"/>
                              </w:rPr>
                              <w:t>Economic Analysis</w:t>
                            </w:r>
                          </w:p>
                        </w:txbxContent>
                      </v:textbox>
                    </v:rect>
                  </w:pict>
                </mc:Fallback>
              </mc:AlternateContent>
            </w:r>
          </w:p>
          <w:p w14:paraId="5E5E7A7B" w14:textId="77777777" w:rsidR="00600DEE" w:rsidRPr="0045151D" w:rsidRDefault="00641FB5">
            <w:pPr>
              <w:spacing w:line="276" w:lineRule="auto"/>
              <w:ind w:right="170"/>
              <w:jc w:val="both"/>
              <w:rPr>
                <w:rFonts w:ascii="Calibri" w:eastAsia="Calibri" w:hAnsi="Calibri" w:cs="Calibri"/>
                <w:sz w:val="20"/>
                <w:szCs w:val="20"/>
                <w:lang w:val="en-GB"/>
              </w:rPr>
            </w:pPr>
            <w:r>
              <w:rPr>
                <w:noProof/>
                <w:lang w:val="en-GB" w:eastAsia="en-GB"/>
              </w:rPr>
              <mc:AlternateContent>
                <mc:Choice Requires="wpg">
                  <w:drawing>
                    <wp:anchor distT="0" distB="0" distL="0" distR="0" simplePos="0" relativeHeight="251683840" behindDoc="1" locked="0" layoutInCell="1" hidden="0" allowOverlap="1" wp14:anchorId="780C16F8" wp14:editId="02DA25AD">
                      <wp:simplePos x="0" y="0"/>
                      <wp:positionH relativeFrom="column">
                        <wp:posOffset>2984500</wp:posOffset>
                      </wp:positionH>
                      <wp:positionV relativeFrom="paragraph">
                        <wp:posOffset>76200</wp:posOffset>
                      </wp:positionV>
                      <wp:extent cx="514985" cy="12700"/>
                      <wp:effectExtent l="0" t="0" r="0" b="0"/>
                      <wp:wrapNone/>
                      <wp:docPr id="505" name="Łącznik prosty ze strzałką 505"/>
                      <wp:cNvGraphicFramePr/>
                      <a:graphic xmlns:a="http://schemas.openxmlformats.org/drawingml/2006/main">
                        <a:graphicData uri="http://schemas.microsoft.com/office/word/2010/wordprocessingShape">
                          <wps:wsp>
                            <wps:cNvCnPr/>
                            <wps:spPr>
                              <a:xfrm>
                                <a:off x="5088508" y="3780000"/>
                                <a:ext cx="51498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2984500</wp:posOffset>
                      </wp:positionH>
                      <wp:positionV relativeFrom="paragraph">
                        <wp:posOffset>76200</wp:posOffset>
                      </wp:positionV>
                      <wp:extent cx="514985" cy="12700"/>
                      <wp:effectExtent b="0" l="0" r="0" t="0"/>
                      <wp:wrapNone/>
                      <wp:docPr id="505" name="image63.png"/>
                      <a:graphic>
                        <a:graphicData uri="http://schemas.openxmlformats.org/drawingml/2006/picture">
                          <pic:pic>
                            <pic:nvPicPr>
                              <pic:cNvPr id="0" name="image63.png"/>
                              <pic:cNvPicPr preferRelativeResize="0"/>
                            </pic:nvPicPr>
                            <pic:blipFill>
                              <a:blip r:embed="rId76"/>
                              <a:srcRect/>
                              <a:stretch>
                                <a:fillRect/>
                              </a:stretch>
                            </pic:blipFill>
                            <pic:spPr>
                              <a:xfrm>
                                <a:off x="0" y="0"/>
                                <a:ext cx="514985" cy="1270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84864" behindDoc="0" locked="0" layoutInCell="1" hidden="0" allowOverlap="1" wp14:anchorId="05E421D0" wp14:editId="1BF1D261">
                      <wp:simplePos x="0" y="0"/>
                      <wp:positionH relativeFrom="column">
                        <wp:posOffset>1028700</wp:posOffset>
                      </wp:positionH>
                      <wp:positionV relativeFrom="paragraph">
                        <wp:posOffset>50800</wp:posOffset>
                      </wp:positionV>
                      <wp:extent cx="514985" cy="12700"/>
                      <wp:effectExtent l="0" t="0" r="0" b="0"/>
                      <wp:wrapNone/>
                      <wp:docPr id="525" name="Łącznik prosty ze strzałką 525"/>
                      <wp:cNvGraphicFramePr/>
                      <a:graphic xmlns:a="http://schemas.openxmlformats.org/drawingml/2006/main">
                        <a:graphicData uri="http://schemas.microsoft.com/office/word/2010/wordprocessingShape">
                          <wps:wsp>
                            <wps:cNvCnPr/>
                            <wps:spPr>
                              <a:xfrm>
                                <a:off x="5088508" y="3780000"/>
                                <a:ext cx="51498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1028700</wp:posOffset>
                      </wp:positionH>
                      <wp:positionV relativeFrom="paragraph">
                        <wp:posOffset>50800</wp:posOffset>
                      </wp:positionV>
                      <wp:extent cx="514985" cy="12700"/>
                      <wp:effectExtent b="0" l="0" r="0" t="0"/>
                      <wp:wrapNone/>
                      <wp:docPr id="525" name="image88.png"/>
                      <a:graphic>
                        <a:graphicData uri="http://schemas.openxmlformats.org/drawingml/2006/picture">
                          <pic:pic>
                            <pic:nvPicPr>
                              <pic:cNvPr id="0" name="image88.png"/>
                              <pic:cNvPicPr preferRelativeResize="0"/>
                            </pic:nvPicPr>
                            <pic:blipFill>
                              <a:blip r:embed="rId77"/>
                              <a:srcRect/>
                              <a:stretch>
                                <a:fillRect/>
                              </a:stretch>
                            </pic:blipFill>
                            <pic:spPr>
                              <a:xfrm>
                                <a:off x="0" y="0"/>
                                <a:ext cx="514985" cy="1270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85888" behindDoc="0" locked="0" layoutInCell="1" hidden="0" allowOverlap="1" wp14:anchorId="272084FC" wp14:editId="259A7327">
                      <wp:simplePos x="0" y="0"/>
                      <wp:positionH relativeFrom="column">
                        <wp:posOffset>1016000</wp:posOffset>
                      </wp:positionH>
                      <wp:positionV relativeFrom="paragraph">
                        <wp:posOffset>63500</wp:posOffset>
                      </wp:positionV>
                      <wp:extent cx="25400" cy="358140"/>
                      <wp:effectExtent l="0" t="0" r="0" b="0"/>
                      <wp:wrapNone/>
                      <wp:docPr id="501" name="Łącznik prosty ze strzałką 501"/>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25400" cy="358140"/>
                      <wp:effectExtent b="0" l="0" r="0" t="0"/>
                      <wp:wrapNone/>
                      <wp:docPr id="501" name="image59.png"/>
                      <a:graphic>
                        <a:graphicData uri="http://schemas.openxmlformats.org/drawingml/2006/picture">
                          <pic:pic>
                            <pic:nvPicPr>
                              <pic:cNvPr id="0" name="image59.png"/>
                              <pic:cNvPicPr preferRelativeResize="0"/>
                            </pic:nvPicPr>
                            <pic:blipFill>
                              <a:blip r:embed="rId78"/>
                              <a:srcRect/>
                              <a:stretch>
                                <a:fillRect/>
                              </a:stretch>
                            </pic:blipFill>
                            <pic:spPr>
                              <a:xfrm>
                                <a:off x="0" y="0"/>
                                <a:ext cx="25400" cy="358140"/>
                              </a:xfrm>
                              <a:prstGeom prst="rect"/>
                              <a:ln/>
                            </pic:spPr>
                          </pic:pic>
                        </a:graphicData>
                      </a:graphic>
                    </wp:anchor>
                  </w:drawing>
                </mc:Fallback>
              </mc:AlternateContent>
            </w:r>
            <w:r>
              <w:rPr>
                <w:noProof/>
                <w:lang w:val="en-GB" w:eastAsia="en-GB"/>
              </w:rPr>
              <mc:AlternateContent>
                <mc:Choice Requires="wpg">
                  <w:drawing>
                    <wp:anchor distT="0" distB="0" distL="114300" distR="114300" simplePos="0" relativeHeight="251686912" behindDoc="0" locked="0" layoutInCell="1" hidden="0" allowOverlap="1" wp14:anchorId="314078D2" wp14:editId="1167E3BA">
                      <wp:simplePos x="0" y="0"/>
                      <wp:positionH relativeFrom="column">
                        <wp:posOffset>3492500</wp:posOffset>
                      </wp:positionH>
                      <wp:positionV relativeFrom="paragraph">
                        <wp:posOffset>76200</wp:posOffset>
                      </wp:positionV>
                      <wp:extent cx="25400" cy="358140"/>
                      <wp:effectExtent l="0" t="0" r="0" b="0"/>
                      <wp:wrapNone/>
                      <wp:docPr id="475" name="Łącznik prosty ze strzałką 475"/>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3492500</wp:posOffset>
                      </wp:positionH>
                      <wp:positionV relativeFrom="paragraph">
                        <wp:posOffset>76200</wp:posOffset>
                      </wp:positionV>
                      <wp:extent cx="25400" cy="358140"/>
                      <wp:effectExtent b="0" l="0" r="0" t="0"/>
                      <wp:wrapNone/>
                      <wp:docPr id="475" name="image31.png"/>
                      <a:graphic>
                        <a:graphicData uri="http://schemas.openxmlformats.org/drawingml/2006/picture">
                          <pic:pic>
                            <pic:nvPicPr>
                              <pic:cNvPr id="0" name="image31.png"/>
                              <pic:cNvPicPr preferRelativeResize="0"/>
                            </pic:nvPicPr>
                            <pic:blipFill>
                              <a:blip r:embed="rId79"/>
                              <a:srcRect/>
                              <a:stretch>
                                <a:fillRect/>
                              </a:stretch>
                            </pic:blipFill>
                            <pic:spPr>
                              <a:xfrm>
                                <a:off x="0" y="0"/>
                                <a:ext cx="25400" cy="358140"/>
                              </a:xfrm>
                              <a:prstGeom prst="rect"/>
                              <a:ln/>
                            </pic:spPr>
                          </pic:pic>
                        </a:graphicData>
                      </a:graphic>
                    </wp:anchor>
                  </w:drawing>
                </mc:Fallback>
              </mc:AlternateContent>
            </w:r>
          </w:p>
          <w:p w14:paraId="698DBA11" w14:textId="77777777" w:rsidR="00600DEE" w:rsidRPr="0045151D" w:rsidRDefault="00641FB5">
            <w:pPr>
              <w:rPr>
                <w:rFonts w:ascii="Calibri" w:eastAsia="Calibri" w:hAnsi="Calibri" w:cs="Calibri"/>
                <w:sz w:val="20"/>
                <w:szCs w:val="20"/>
                <w:lang w:val="en-GB"/>
              </w:rPr>
            </w:pPr>
            <w:r w:rsidRPr="0045151D">
              <w:rPr>
                <w:rFonts w:ascii="Calibri" w:eastAsia="Calibri" w:hAnsi="Calibri" w:cs="Calibri"/>
                <w:b/>
                <w:color w:val="333399"/>
                <w:sz w:val="32"/>
                <w:szCs w:val="32"/>
                <w:lang w:val="en-GB"/>
              </w:rPr>
              <w:t xml:space="preserve">           </w:t>
            </w:r>
          </w:p>
          <w:p w14:paraId="7D2801E7" w14:textId="5B0BD83D" w:rsidR="00600DEE" w:rsidRPr="0045151D" w:rsidRDefault="00641FB5">
            <w:pPr>
              <w:spacing w:before="240" w:after="360" w:line="276" w:lineRule="auto"/>
              <w:jc w:val="both"/>
              <w:rPr>
                <w:rFonts w:ascii="Calibri" w:eastAsia="Calibri" w:hAnsi="Calibri" w:cs="Calibri"/>
                <w:b/>
                <w:color w:val="333399"/>
                <w:sz w:val="32"/>
                <w:szCs w:val="32"/>
                <w:lang w:val="en-GB"/>
              </w:rPr>
            </w:pPr>
            <w:r>
              <w:rPr>
                <w:noProof/>
                <w:lang w:val="en-GB" w:eastAsia="en-GB"/>
              </w:rPr>
              <mc:AlternateContent>
                <mc:Choice Requires="wpg">
                  <w:drawing>
                    <wp:anchor distT="0" distB="0" distL="114300" distR="114300" simplePos="0" relativeHeight="251687936" behindDoc="0" locked="0" layoutInCell="1" hidden="0" allowOverlap="1" wp14:anchorId="599800B7" wp14:editId="37606022">
                      <wp:simplePos x="0" y="0"/>
                      <wp:positionH relativeFrom="column">
                        <wp:posOffset>1054100</wp:posOffset>
                      </wp:positionH>
                      <wp:positionV relativeFrom="paragraph">
                        <wp:posOffset>660400</wp:posOffset>
                      </wp:positionV>
                      <wp:extent cx="12700" cy="314325"/>
                      <wp:effectExtent l="0" t="0" r="0" b="0"/>
                      <wp:wrapNone/>
                      <wp:docPr id="491" name="Łącznik prosty ze strzałką 491"/>
                      <wp:cNvGraphicFramePr/>
                      <a:graphic xmlns:a="http://schemas.openxmlformats.org/drawingml/2006/main">
                        <a:graphicData uri="http://schemas.microsoft.com/office/word/2010/wordprocessingShape">
                          <wps:wsp>
                            <wps:cNvCnPr/>
                            <wps:spPr>
                              <a:xfrm rot="10800000" flipH="1">
                                <a:off x="5344413" y="3622838"/>
                                <a:ext cx="3175" cy="31432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660400</wp:posOffset>
                      </wp:positionV>
                      <wp:extent cx="12700" cy="314325"/>
                      <wp:effectExtent b="0" l="0" r="0" t="0"/>
                      <wp:wrapNone/>
                      <wp:docPr id="491" name="image49.png"/>
                      <a:graphic>
                        <a:graphicData uri="http://schemas.openxmlformats.org/drawingml/2006/picture">
                          <pic:pic>
                            <pic:nvPicPr>
                              <pic:cNvPr id="0" name="image49.png"/>
                              <pic:cNvPicPr preferRelativeResize="0"/>
                            </pic:nvPicPr>
                            <pic:blipFill>
                              <a:blip r:embed="rId80"/>
                              <a:srcRect/>
                              <a:stretch>
                                <a:fillRect/>
                              </a:stretch>
                            </pic:blipFill>
                            <pic:spPr>
                              <a:xfrm>
                                <a:off x="0" y="0"/>
                                <a:ext cx="12700" cy="314325"/>
                              </a:xfrm>
                              <a:prstGeom prst="rect"/>
                              <a:ln/>
                            </pic:spPr>
                          </pic:pic>
                        </a:graphicData>
                      </a:graphic>
                    </wp:anchor>
                  </w:drawing>
                </mc:Fallback>
              </mc:AlternateContent>
            </w:r>
            <w:r>
              <w:rPr>
                <w:noProof/>
                <w:lang w:val="en-GB" w:eastAsia="en-GB"/>
              </w:rPr>
              <mc:AlternateContent>
                <mc:Choice Requires="wps">
                  <w:drawing>
                    <wp:anchor distT="0" distB="0" distL="114300" distR="114300" simplePos="0" relativeHeight="251688960" behindDoc="0" locked="0" layoutInCell="1" hidden="0" allowOverlap="1" wp14:anchorId="0754CCE0" wp14:editId="5B445CA7">
                      <wp:simplePos x="0" y="0"/>
                      <wp:positionH relativeFrom="column">
                        <wp:posOffset>317500</wp:posOffset>
                      </wp:positionH>
                      <wp:positionV relativeFrom="paragraph">
                        <wp:posOffset>76200</wp:posOffset>
                      </wp:positionV>
                      <wp:extent cx="1797685" cy="600075"/>
                      <wp:effectExtent l="0" t="0" r="0" b="0"/>
                      <wp:wrapNone/>
                      <wp:docPr id="519" name="Prostokąt 519"/>
                      <wp:cNvGraphicFramePr/>
                      <a:graphic xmlns:a="http://schemas.openxmlformats.org/drawingml/2006/main">
                        <a:graphicData uri="http://schemas.microsoft.com/office/word/2010/wordprocessingShape">
                          <wps:wsp>
                            <wps:cNvSpPr/>
                            <wps:spPr>
                              <a:xfrm>
                                <a:off x="4451920" y="3484725"/>
                                <a:ext cx="1788160" cy="59055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C1378D8"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w:t>
                                  </w:r>
                                </w:p>
                                <w:p w14:paraId="120FF69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generates net economic benefits.</w:t>
                                  </w:r>
                                </w:p>
                              </w:txbxContent>
                            </wps:txbx>
                            <wps:bodyPr spcFirstLastPara="1" wrap="square" lIns="91425" tIns="45700" rIns="91425" bIns="45700" anchor="t" anchorCtr="0">
                              <a:noAutofit/>
                            </wps:bodyPr>
                          </wps:wsp>
                        </a:graphicData>
                      </a:graphic>
                    </wp:anchor>
                  </w:drawing>
                </mc:Choice>
                <mc:Fallback>
                  <w:pict>
                    <v:rect w14:anchorId="0754CCE0" id="Prostokąt 519" o:spid="_x0000_s1038" style="position:absolute;left:0;text-align:left;margin-left:25pt;margin-top:6pt;width:141.55pt;height:47.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" fillcolor="#dae5f1" stroked="f">
                      <v:shadow on="t" opacity="25956f" origin="-.5,-.5" offset=".74836mm,.74836mm"/>
                      <v:textbox inset="2.53958mm,1.2694mm,2.53958mm,1.2694mm">
                        <w:txbxContent>
                          <w:p w14:paraId="7C1378D8"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w:t>
                            </w:r>
                          </w:p>
                          <w:p w14:paraId="120FF69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generates net economic benefits.</w:t>
                            </w:r>
                          </w:p>
                        </w:txbxContent>
                      </v:textbox>
                    </v:rect>
                  </w:pict>
                </mc:Fallback>
              </mc:AlternateContent>
            </w:r>
            <w:r>
              <w:rPr>
                <w:noProof/>
                <w:lang w:val="en-GB" w:eastAsia="en-GB"/>
              </w:rPr>
              <mc:AlternateContent>
                <mc:Choice Requires="wps">
                  <w:drawing>
                    <wp:anchor distT="0" distB="0" distL="114300" distR="114300" simplePos="0" relativeHeight="251689984" behindDoc="0" locked="0" layoutInCell="1" hidden="0" allowOverlap="1" wp14:anchorId="68A3641B" wp14:editId="5F446029">
                      <wp:simplePos x="0" y="0"/>
                      <wp:positionH relativeFrom="column">
                        <wp:posOffset>2171700</wp:posOffset>
                      </wp:positionH>
                      <wp:positionV relativeFrom="paragraph">
                        <wp:posOffset>63500</wp:posOffset>
                      </wp:positionV>
                      <wp:extent cx="1866900" cy="600075"/>
                      <wp:effectExtent l="0" t="0" r="0" b="0"/>
                      <wp:wrapNone/>
                      <wp:docPr id="466" name="Prostokąt 466"/>
                      <wp:cNvGraphicFramePr/>
                      <a:graphic xmlns:a="http://schemas.openxmlformats.org/drawingml/2006/main">
                        <a:graphicData uri="http://schemas.microsoft.com/office/word/2010/wordprocessingShape">
                          <wps:wsp>
                            <wps:cNvSpPr/>
                            <wps:spPr>
                              <a:xfrm>
                                <a:off x="4417313" y="3484725"/>
                                <a:ext cx="1857375" cy="59055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458D8BC5"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ENPV&lt;0</w:t>
                                  </w:r>
                                </w:p>
                                <w:p w14:paraId="6237F08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does not generate net economic benefits.</w:t>
                                  </w:r>
                                </w:p>
                              </w:txbxContent>
                            </wps:txbx>
                            <wps:bodyPr spcFirstLastPara="1" wrap="square" lIns="91425" tIns="45700" rIns="91425" bIns="45700" anchor="t" anchorCtr="0">
                              <a:noAutofit/>
                            </wps:bodyPr>
                          </wps:wsp>
                        </a:graphicData>
                      </a:graphic>
                    </wp:anchor>
                  </w:drawing>
                </mc:Choice>
                <mc:Fallback>
                  <w:pict>
                    <v:rect w14:anchorId="68A3641B" id="Prostokąt 466" o:spid="_x0000_s1039" style="position:absolute;left:0;text-align:left;margin-left:171pt;margin-top:5pt;width:147pt;height:47.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" fillcolor="#dae5f1" stroked="f">
                      <v:shadow on="t" opacity="25956f" origin="-.5,-.5" offset=".74836mm,.74836mm"/>
                      <v:textbox inset="2.53958mm,1.2694mm,2.53958mm,1.2694mm">
                        <w:txbxContent>
                          <w:p w14:paraId="458D8BC5"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ENPV&lt;0</w:t>
                            </w:r>
                          </w:p>
                          <w:p w14:paraId="6237F08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does not generate net economic benefits.</w:t>
                            </w:r>
                          </w:p>
                        </w:txbxContent>
                      </v:textbox>
                    </v:rect>
                  </w:pict>
                </mc:Fallback>
              </mc:AlternateContent>
            </w:r>
            <w:r>
              <w:rPr>
                <w:noProof/>
                <w:lang w:val="en-GB" w:eastAsia="en-GB"/>
              </w:rPr>
              <mc:AlternateContent>
                <mc:Choice Requires="wps">
                  <w:drawing>
                    <wp:anchor distT="0" distB="0" distL="114300" distR="114300" simplePos="0" relativeHeight="251691008" behindDoc="0" locked="0" layoutInCell="1" hidden="0" allowOverlap="1" wp14:anchorId="5D29E480" wp14:editId="2B2FFA03">
                      <wp:simplePos x="0" y="0"/>
                      <wp:positionH relativeFrom="column">
                        <wp:posOffset>596900</wp:posOffset>
                      </wp:positionH>
                      <wp:positionV relativeFrom="paragraph">
                        <wp:posOffset>2895600</wp:posOffset>
                      </wp:positionV>
                      <wp:extent cx="1130300" cy="311150"/>
                      <wp:effectExtent l="0" t="0" r="0" b="0"/>
                      <wp:wrapNone/>
                      <wp:docPr id="510" name="Prostokąt 510"/>
                      <wp:cNvGraphicFramePr/>
                      <a:graphic xmlns:a="http://schemas.openxmlformats.org/drawingml/2006/main">
                        <a:graphicData uri="http://schemas.microsoft.com/office/word/2010/wordprocessingShape">
                          <wps:wsp>
                            <wps:cNvSpPr/>
                            <wps:spPr>
                              <a:xfrm>
                                <a:off x="4793550" y="3637125"/>
                                <a:ext cx="1104900" cy="285750"/>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690D0E12" w14:textId="77777777" w:rsidR="007463B9" w:rsidRDefault="007463B9">
                                  <w:pPr>
                                    <w:jc w:val="center"/>
                                    <w:textDirection w:val="btLr"/>
                                  </w:pPr>
                                  <w:r>
                                    <w:rPr>
                                      <w:rFonts w:ascii="Calibri" w:eastAsia="Calibri" w:hAnsi="Calibri" w:cs="Calibri"/>
                                      <w:b/>
                                      <w:color w:val="000000"/>
                                      <w:sz w:val="20"/>
                                    </w:rPr>
                                    <w:t>EU grant</w:t>
                                  </w:r>
                                </w:p>
                              </w:txbxContent>
                            </wps:txbx>
                            <wps:bodyPr spcFirstLastPara="1" wrap="square" lIns="91425" tIns="45700" rIns="91425" bIns="45700" anchor="t" anchorCtr="0">
                              <a:noAutofit/>
                            </wps:bodyPr>
                          </wps:wsp>
                        </a:graphicData>
                      </a:graphic>
                    </wp:anchor>
                  </w:drawing>
                </mc:Choice>
                <mc:Fallback>
                  <w:pict>
                    <v:rect w14:anchorId="5D29E480" id="Prostokąt 510" o:spid="_x0000_s1040" style="position:absolute;left:0;text-align:left;margin-left:47pt;margin-top:228pt;width:89pt;height:2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" fillcolor="#4f81bd [3204]" strokecolor="#395e89" strokeweight="2pt">
                      <v:stroke startarrowwidth="narrow" startarrowlength="short" endarrowwidth="narrow" endarrowlength="short" joinstyle="round"/>
                      <v:textbox inset="2.53958mm,1.2694mm,2.53958mm,1.2694mm">
                        <w:txbxContent>
                          <w:p w14:paraId="690D0E12" w14:textId="77777777" w:rsidR="007463B9" w:rsidRDefault="007463B9">
                            <w:pPr>
                              <w:jc w:val="center"/>
                              <w:textDirection w:val="btLr"/>
                            </w:pPr>
                            <w:r>
                              <w:rPr>
                                <w:rFonts w:ascii="Calibri" w:eastAsia="Calibri" w:hAnsi="Calibri" w:cs="Calibri"/>
                                <w:b/>
                                <w:color w:val="000000"/>
                                <w:sz w:val="20"/>
                              </w:rPr>
                              <w:t>EU grant</w:t>
                            </w:r>
                          </w:p>
                        </w:txbxContent>
                      </v:textbox>
                    </v:rect>
                  </w:pict>
                </mc:Fallback>
              </mc:AlternateContent>
            </w:r>
            <w:r>
              <w:rPr>
                <w:noProof/>
                <w:lang w:val="en-GB" w:eastAsia="en-GB"/>
              </w:rPr>
              <mc:AlternateContent>
                <mc:Choice Requires="wps">
                  <w:drawing>
                    <wp:anchor distT="4294967293" distB="4294967293" distL="114300" distR="114300" simplePos="0" relativeHeight="251693056" behindDoc="0" locked="0" layoutInCell="1" hidden="0" allowOverlap="1" wp14:anchorId="5C019198" wp14:editId="3A901E7F">
                      <wp:simplePos x="0" y="0"/>
                      <wp:positionH relativeFrom="column">
                        <wp:posOffset>317500</wp:posOffset>
                      </wp:positionH>
                      <wp:positionV relativeFrom="paragraph">
                        <wp:posOffset>919494</wp:posOffset>
                      </wp:positionV>
                      <wp:extent cx="1200150" cy="12700"/>
                      <wp:effectExtent l="0" t="0" r="0" b="0"/>
                      <wp:wrapNone/>
                      <wp:docPr id="515" name="Łącznik prosty ze strzałką 515"/>
                      <wp:cNvGraphicFramePr/>
                      <a:graphic xmlns:a="http://schemas.openxmlformats.org/drawingml/2006/main">
                        <a:graphicData uri="http://schemas.microsoft.com/office/word/2010/wordprocessingShape">
                          <wps:wsp>
                            <wps:cNvCnPr/>
                            <wps:spPr>
                              <a:xfrm>
                                <a:off x="4745925" y="3780000"/>
                                <a:ext cx="1200150" cy="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w:pict>
                    <v:shapetype w14:anchorId="4396AA8F" id="_x0000_t32" coordsize="21600,21600" o:spt="32" o:oned="t" path="m,l21600,21600e" filled="f">
                      <v:path arrowok="t" fillok="f" o:connecttype="none"/>
                      <o:lock v:ext="edit" shapetype="t"/>
                    </v:shapetype>
                    <v:shape id="Łącznik prosty ze strzałką 515" o:spid="_x0000_s1026" type="#_x0000_t32" style="position:absolute;margin-left:25pt;margin-top:72.4pt;width:94.5pt;height:1pt;z-index:251693056;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">
                      <v:stroke dashstyle="dash" startarrowwidth="narrow" startarrowlength="short" endarrowwidth="narrow" endarrowlength="short"/>
                    </v:shape>
                  </w:pict>
                </mc:Fallback>
              </mc:AlternateContent>
            </w:r>
          </w:p>
          <w:p w14:paraId="02DDF20F" w14:textId="01083FAB" w:rsidR="00600DEE" w:rsidRPr="0045151D" w:rsidRDefault="00AB61E5" w:rsidP="00AB61E5">
            <w:pPr>
              <w:tabs>
                <w:tab w:val="left" w:pos="5475"/>
              </w:tabs>
              <w:spacing w:before="480" w:after="360" w:line="276" w:lineRule="auto"/>
              <w:jc w:val="both"/>
              <w:rPr>
                <w:rFonts w:ascii="Calibri" w:eastAsia="Calibri" w:hAnsi="Calibri" w:cs="Calibri"/>
                <w:b/>
                <w:color w:val="333399"/>
                <w:sz w:val="32"/>
                <w:szCs w:val="32"/>
                <w:lang w:val="en-GB"/>
              </w:rPr>
            </w:pPr>
            <w:r>
              <w:rPr>
                <w:noProof/>
                <w:lang w:val="en-GB" w:eastAsia="en-GB"/>
              </w:rPr>
              <mc:AlternateContent>
                <mc:Choice Requires="wps">
                  <w:drawing>
                    <wp:anchor distT="0" distB="0" distL="0" distR="0" simplePos="0" relativeHeight="251694080" behindDoc="1" locked="0" layoutInCell="1" hidden="0" allowOverlap="1" wp14:anchorId="56CC547F" wp14:editId="4D67C67E">
                      <wp:simplePos x="0" y="0"/>
                      <wp:positionH relativeFrom="column">
                        <wp:posOffset>2560320</wp:posOffset>
                      </wp:positionH>
                      <wp:positionV relativeFrom="paragraph">
                        <wp:posOffset>286702</wp:posOffset>
                      </wp:positionV>
                      <wp:extent cx="2274570" cy="403225"/>
                      <wp:effectExtent l="0" t="0" r="0" b="0"/>
                      <wp:wrapNone/>
                      <wp:docPr id="500" name="Prostokąt 500"/>
                      <wp:cNvGraphicFramePr/>
                      <a:graphic xmlns:a="http://schemas.openxmlformats.org/drawingml/2006/main">
                        <a:graphicData uri="http://schemas.microsoft.com/office/word/2010/wordprocessingShape">
                          <wps:wsp>
                            <wps:cNvSpPr/>
                            <wps:spPr>
                              <a:xfrm>
                                <a:off x="0" y="0"/>
                                <a:ext cx="2274570" cy="403225"/>
                              </a:xfrm>
                              <a:prstGeom prst="rect">
                                <a:avLst/>
                              </a:prstGeom>
                              <a:noFill/>
                              <a:ln>
                                <a:noFill/>
                              </a:ln>
                            </wps:spPr>
                            <wps:txbx>
                              <w:txbxContent>
                                <w:p w14:paraId="76F8FB53" w14:textId="39D60018" w:rsidR="007463B9" w:rsidRDefault="007463B9">
                                  <w:pPr>
                                    <w:jc w:val="center"/>
                                    <w:textDirection w:val="btLr"/>
                                  </w:pPr>
                                  <w:r>
                                    <w:rPr>
                                      <w:rFonts w:ascii="Calibri" w:eastAsia="Calibri" w:hAnsi="Calibri" w:cs="Calibri"/>
                                      <w:b/>
                                      <w:i/>
                                      <w:color w:val="000000"/>
                                      <w:sz w:val="18"/>
                                    </w:rPr>
                                    <w:t xml:space="preserve">APPLICATION OF EU </w:t>
                                  </w:r>
                                </w:p>
                                <w:p w14:paraId="48CE9F0E" w14:textId="77777777" w:rsidR="007463B9" w:rsidRDefault="007463B9">
                                  <w:pPr>
                                    <w:jc w:val="center"/>
                                    <w:textDirection w:val="btLr"/>
                                  </w:pPr>
                                  <w:r>
                                    <w:rPr>
                                      <w:rFonts w:ascii="Calibri" w:eastAsia="Calibri" w:hAnsi="Calibri" w:cs="Calibri"/>
                                      <w:b/>
                                      <w:i/>
                                      <w:color w:val="000000"/>
                                      <w:sz w:val="18"/>
                                    </w:rPr>
                                    <w:t>CO-FUNDING</w:t>
                                  </w:r>
                                </w:p>
                              </w:txbxContent>
                            </wps:txbx>
                            <wps:bodyPr spcFirstLastPara="1" wrap="square" lIns="91425" tIns="45700" rIns="91425" bIns="45700" anchor="t" anchorCtr="0">
                              <a:noAutofit/>
                            </wps:bodyPr>
                          </wps:wsp>
                        </a:graphicData>
                      </a:graphic>
                    </wp:anchor>
                  </w:drawing>
                </mc:Choice>
                <mc:Fallback>
                  <w:pict>
                    <v:rect w14:anchorId="56CC547F" id="Prostokąt 500" o:spid="_x0000_s1041" style="position:absolute;left:0;text-align:left;margin-left:201.6pt;margin-top:22.55pt;width:179.1pt;height:31.75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" filled="f" stroked="f">
                      <v:textbox inset="2.53958mm,1.2694mm,2.53958mm,1.2694mm">
                        <w:txbxContent>
                          <w:p w14:paraId="76F8FB53" w14:textId="39D60018" w:rsidR="007463B9" w:rsidRDefault="007463B9">
                            <w:pPr>
                              <w:jc w:val="center"/>
                              <w:textDirection w:val="btLr"/>
                            </w:pPr>
                            <w:r>
                              <w:rPr>
                                <w:rFonts w:ascii="Calibri" w:eastAsia="Calibri" w:hAnsi="Calibri" w:cs="Calibri"/>
                                <w:b/>
                                <w:i/>
                                <w:color w:val="000000"/>
                                <w:sz w:val="18"/>
                              </w:rPr>
                              <w:t xml:space="preserve">APPLICATION OF EU </w:t>
                            </w:r>
                          </w:p>
                          <w:p w14:paraId="48CE9F0E" w14:textId="77777777" w:rsidR="007463B9" w:rsidRDefault="007463B9">
                            <w:pPr>
                              <w:jc w:val="center"/>
                              <w:textDirection w:val="btLr"/>
                            </w:pPr>
                            <w:r>
                              <w:rPr>
                                <w:rFonts w:ascii="Calibri" w:eastAsia="Calibri" w:hAnsi="Calibri" w:cs="Calibri"/>
                                <w:b/>
                                <w:i/>
                                <w:color w:val="000000"/>
                                <w:sz w:val="18"/>
                              </w:rPr>
                              <w:t>CO-FUNDING</w:t>
                            </w:r>
                          </w:p>
                        </w:txbxContent>
                      </v:textbox>
                    </v:rect>
                  </w:pict>
                </mc:Fallback>
              </mc:AlternateContent>
            </w:r>
            <w:r w:rsidR="00641FB5">
              <w:rPr>
                <w:noProof/>
                <w:lang w:val="en-GB" w:eastAsia="en-GB"/>
              </w:rPr>
              <mc:AlternateContent>
                <mc:Choice Requires="wps">
                  <w:drawing>
                    <wp:anchor distT="0" distB="0" distL="114300" distR="114300" simplePos="0" relativeHeight="251695104" behindDoc="0" locked="0" layoutInCell="1" hidden="0" allowOverlap="1" wp14:anchorId="609B9717" wp14:editId="47745A22">
                      <wp:simplePos x="0" y="0"/>
                      <wp:positionH relativeFrom="column">
                        <wp:posOffset>1371600</wp:posOffset>
                      </wp:positionH>
                      <wp:positionV relativeFrom="paragraph">
                        <wp:posOffset>469900</wp:posOffset>
                      </wp:positionV>
                      <wp:extent cx="244732" cy="181096"/>
                      <wp:effectExtent l="0" t="0" r="0" b="0"/>
                      <wp:wrapNone/>
                      <wp:docPr id="514" name="Łącznik prosty ze strzałką 514"/>
                      <wp:cNvGraphicFramePr/>
                      <a:graphic xmlns:a="http://schemas.openxmlformats.org/drawingml/2006/main">
                        <a:graphicData uri="http://schemas.microsoft.com/office/word/2010/wordprocessingShape">
                          <wps:wsp>
                            <wps:cNvCnPr/>
                            <wps:spPr>
                              <a:xfrm flipH="1">
                                <a:off x="5228397" y="3694215"/>
                                <a:ext cx="235207" cy="17157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1DCF7CA0" id="Łącznik prosty ze strzałką 514" o:spid="_x0000_s1026" type="#_x0000_t32" style="position:absolute;margin-left:108pt;margin-top:37pt;width:19.25pt;height:14.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" strokecolor="#4a7dba">
                      <v:stroke startarrowwidth="narrow" startarrowlength="short" endarrow="block"/>
                    </v:shape>
                  </w:pict>
                </mc:Fallback>
              </mc:AlternateContent>
            </w:r>
            <w:r w:rsidR="00641FB5">
              <w:rPr>
                <w:noProof/>
                <w:lang w:val="en-GB" w:eastAsia="en-GB"/>
              </w:rPr>
              <mc:AlternateContent>
                <mc:Choice Requires="wpg">
                  <w:drawing>
                    <wp:anchor distT="0" distB="0" distL="114300" distR="114300" simplePos="0" relativeHeight="251696128" behindDoc="0" locked="0" layoutInCell="1" hidden="0" allowOverlap="1" wp14:anchorId="3F4DDF6B" wp14:editId="2980EDF4">
                      <wp:simplePos x="0" y="0"/>
                      <wp:positionH relativeFrom="column">
                        <wp:posOffset>2603500</wp:posOffset>
                      </wp:positionH>
                      <wp:positionV relativeFrom="paragraph">
                        <wp:posOffset>381000</wp:posOffset>
                      </wp:positionV>
                      <wp:extent cx="222250" cy="171450"/>
                      <wp:effectExtent l="0" t="0" r="0" b="0"/>
                      <wp:wrapNone/>
                      <wp:docPr id="489" name="Łącznik prosty ze strzałką 489"/>
                      <wp:cNvGraphicFramePr/>
                      <a:graphic xmlns:a="http://schemas.openxmlformats.org/drawingml/2006/main">
                        <a:graphicData uri="http://schemas.microsoft.com/office/word/2010/wordprocessingShape">
                          <wps:wsp>
                            <wps:cNvCnPr/>
                            <wps:spPr>
                              <a:xfrm>
                                <a:off x="5239638" y="3699038"/>
                                <a:ext cx="212725" cy="1619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381000</wp:posOffset>
                      </wp:positionV>
                      <wp:extent cx="222250" cy="171450"/>
                      <wp:effectExtent b="0" l="0" r="0" t="0"/>
                      <wp:wrapNone/>
                      <wp:docPr id="489" name="image47.png"/>
                      <a:graphic>
                        <a:graphicData uri="http://schemas.openxmlformats.org/drawingml/2006/picture">
                          <pic:pic>
                            <pic:nvPicPr>
                              <pic:cNvPr id="0" name="image47.png"/>
                              <pic:cNvPicPr preferRelativeResize="0"/>
                            </pic:nvPicPr>
                            <pic:blipFill>
                              <a:blip r:embed="rId88"/>
                              <a:srcRect/>
                              <a:stretch>
                                <a:fillRect/>
                              </a:stretch>
                            </pic:blipFill>
                            <pic:spPr>
                              <a:xfrm>
                                <a:off x="0" y="0"/>
                                <a:ext cx="222250" cy="171450"/>
                              </a:xfrm>
                              <a:prstGeom prst="rect"/>
                              <a:ln/>
                            </pic:spPr>
                          </pic:pic>
                        </a:graphicData>
                      </a:graphic>
                    </wp:anchor>
                  </w:drawing>
                </mc:Fallback>
              </mc:AlternateContent>
            </w:r>
            <w:r w:rsidR="00641FB5">
              <w:rPr>
                <w:noProof/>
                <w:lang w:val="en-GB" w:eastAsia="en-GB"/>
              </w:rPr>
              <mc:AlternateContent>
                <mc:Choice Requires="wps">
                  <w:drawing>
                    <wp:anchor distT="0" distB="0" distL="114300" distR="114300" simplePos="0" relativeHeight="251697152" behindDoc="0" locked="0" layoutInCell="1" hidden="0" allowOverlap="1" wp14:anchorId="52357A90" wp14:editId="68ABC6BE">
                      <wp:simplePos x="0" y="0"/>
                      <wp:positionH relativeFrom="column">
                        <wp:posOffset>1498600</wp:posOffset>
                      </wp:positionH>
                      <wp:positionV relativeFrom="paragraph">
                        <wp:posOffset>63500</wp:posOffset>
                      </wp:positionV>
                      <wp:extent cx="1482725" cy="320675"/>
                      <wp:effectExtent l="0" t="0" r="0" b="0"/>
                      <wp:wrapNone/>
                      <wp:docPr id="487" name="Prostokąt 487"/>
                      <wp:cNvGraphicFramePr/>
                      <a:graphic xmlns:a="http://schemas.openxmlformats.org/drawingml/2006/main">
                        <a:graphicData uri="http://schemas.microsoft.com/office/word/2010/wordprocessingShape">
                          <wps:wsp>
                            <wps:cNvSpPr/>
                            <wps:spPr>
                              <a:xfrm>
                                <a:off x="4617338" y="3632363"/>
                                <a:ext cx="1457325"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7E8412A1" w14:textId="77777777" w:rsidR="007463B9" w:rsidRDefault="007463B9">
                                  <w:pPr>
                                    <w:jc w:val="center"/>
                                    <w:textDirection w:val="btLr"/>
                                  </w:pPr>
                                  <w:r>
                                    <w:rPr>
                                      <w:rFonts w:ascii="Calibri" w:eastAsia="Calibri" w:hAnsi="Calibri" w:cs="Calibri"/>
                                      <w:b/>
                                      <w:color w:val="000000"/>
                                      <w:sz w:val="20"/>
                                    </w:rPr>
                                    <w:t>Financial Analysis</w:t>
                                  </w:r>
                                </w:p>
                              </w:txbxContent>
                            </wps:txbx>
                            <wps:bodyPr spcFirstLastPara="1" wrap="square" lIns="91425" tIns="45700" rIns="91425" bIns="45700" anchor="t" anchorCtr="0">
                              <a:noAutofit/>
                            </wps:bodyPr>
                          </wps:wsp>
                        </a:graphicData>
                      </a:graphic>
                    </wp:anchor>
                  </w:drawing>
                </mc:Choice>
                <mc:Fallback>
                  <w:pict>
                    <v:rect w14:anchorId="52357A90" id="Prostokąt 487" o:spid="_x0000_s1042" style="position:absolute;left:0;text-align:left;margin-left:118pt;margin-top:5pt;width:116.75pt;height:25.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" fillcolor="#4f81bd [3204]" strokecolor="#395e89" strokeweight="2pt">
                      <v:stroke startarrowwidth="narrow" startarrowlength="short" endarrowwidth="narrow" endarrowlength="short" joinstyle="round"/>
                      <v:textbox inset="2.53958mm,1.2694mm,2.53958mm,1.2694mm">
                        <w:txbxContent>
                          <w:p w14:paraId="7E8412A1" w14:textId="77777777" w:rsidR="007463B9" w:rsidRDefault="007463B9">
                            <w:pPr>
                              <w:jc w:val="center"/>
                              <w:textDirection w:val="btLr"/>
                            </w:pPr>
                            <w:r>
                              <w:rPr>
                                <w:rFonts w:ascii="Calibri" w:eastAsia="Calibri" w:hAnsi="Calibri" w:cs="Calibri"/>
                                <w:b/>
                                <w:color w:val="000000"/>
                                <w:sz w:val="20"/>
                              </w:rPr>
                              <w:t>Financial Analysis</w:t>
                            </w:r>
                          </w:p>
                        </w:txbxContent>
                      </v:textbox>
                    </v:rect>
                  </w:pict>
                </mc:Fallback>
              </mc:AlternateContent>
            </w:r>
            <w:r w:rsidR="00641FB5">
              <w:rPr>
                <w:noProof/>
                <w:lang w:val="en-GB" w:eastAsia="en-GB"/>
              </w:rPr>
              <mc:AlternateContent>
                <mc:Choice Requires="wps">
                  <w:drawing>
                    <wp:anchor distT="4294967293" distB="4294967293" distL="114300" distR="114300" simplePos="0" relativeHeight="251698176" behindDoc="0" locked="0" layoutInCell="1" hidden="0" allowOverlap="1" wp14:anchorId="20F45E76" wp14:editId="770FAD75">
                      <wp:simplePos x="0" y="0"/>
                      <wp:positionH relativeFrom="column">
                        <wp:posOffset>3049270</wp:posOffset>
                      </wp:positionH>
                      <wp:positionV relativeFrom="paragraph">
                        <wp:posOffset>271145</wp:posOffset>
                      </wp:positionV>
                      <wp:extent cx="1200150" cy="12700"/>
                      <wp:effectExtent l="0" t="0" r="19050" b="25400"/>
                      <wp:wrapNone/>
                      <wp:docPr id="470" name="Łącznik prosty ze strzałką 470"/>
                      <wp:cNvGraphicFramePr/>
                      <a:graphic xmlns:a="http://schemas.openxmlformats.org/drawingml/2006/main">
                        <a:graphicData uri="http://schemas.microsoft.com/office/word/2010/wordprocessingShape">
                          <wps:wsp>
                            <wps:cNvCnPr/>
                            <wps:spPr>
                              <a:xfrm>
                                <a:off x="0" y="0"/>
                                <a:ext cx="1200150" cy="1270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w:pict>
                    <v:shape w14:anchorId="62D88528" id="Łącznik prosty ze strzałką 470" o:spid="_x0000_s1026" type="#_x0000_t32" style="position:absolute;margin-left:240.1pt;margin-top:21.35pt;width:94.5pt;height:1pt;z-index:251698176;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">
                      <v:stroke dashstyle="dash" startarrowwidth="narrow" startarrowlength="short" endarrowwidth="narrow" endarrowlength="short"/>
                    </v:shape>
                  </w:pict>
                </mc:Fallback>
              </mc:AlternateContent>
            </w:r>
            <w:r w:rsidR="00641FB5">
              <w:rPr>
                <w:noProof/>
                <w:lang w:val="en-GB" w:eastAsia="en-GB"/>
              </w:rPr>
              <mc:AlternateContent>
                <mc:Choice Requires="wpg">
                  <w:drawing>
                    <wp:anchor distT="0" distB="0" distL="114300" distR="114300" simplePos="0" relativeHeight="251699200" behindDoc="0" locked="0" layoutInCell="1" hidden="0" allowOverlap="1" wp14:anchorId="66070634" wp14:editId="3685E803">
                      <wp:simplePos x="0" y="0"/>
                      <wp:positionH relativeFrom="column">
                        <wp:posOffset>1054100</wp:posOffset>
                      </wp:positionH>
                      <wp:positionV relativeFrom="paragraph">
                        <wp:posOffset>304800</wp:posOffset>
                      </wp:positionV>
                      <wp:extent cx="465455" cy="25400"/>
                      <wp:effectExtent l="0" t="0" r="0" b="0"/>
                      <wp:wrapNone/>
                      <wp:docPr id="504" name="Łącznik prosty ze strzałką 504"/>
                      <wp:cNvGraphicFramePr/>
                      <a:graphic xmlns:a="http://schemas.openxmlformats.org/drawingml/2006/main">
                        <a:graphicData uri="http://schemas.microsoft.com/office/word/2010/wordprocessingShape">
                          <wps:wsp>
                            <wps:cNvCnPr/>
                            <wps:spPr>
                              <a:xfrm>
                                <a:off x="5113273" y="3777143"/>
                                <a:ext cx="465455" cy="571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304800</wp:posOffset>
                      </wp:positionV>
                      <wp:extent cx="465455" cy="25400"/>
                      <wp:effectExtent b="0" l="0" r="0" t="0"/>
                      <wp:wrapNone/>
                      <wp:docPr id="504" name="image62.png"/>
                      <a:graphic>
                        <a:graphicData uri="http://schemas.openxmlformats.org/drawingml/2006/picture">
                          <pic:pic>
                            <pic:nvPicPr>
                              <pic:cNvPr id="0" name="image62.png"/>
                              <pic:cNvPicPr preferRelativeResize="0"/>
                            </pic:nvPicPr>
                            <pic:blipFill>
                              <a:blip r:embed="rId91"/>
                              <a:srcRect/>
                              <a:stretch>
                                <a:fillRect/>
                              </a:stretch>
                            </pic:blipFill>
                            <pic:spPr>
                              <a:xfrm>
                                <a:off x="0" y="0"/>
                                <a:ext cx="465455" cy="25400"/>
                              </a:xfrm>
                              <a:prstGeom prst="rect"/>
                              <a:ln/>
                            </pic:spPr>
                          </pic:pic>
                        </a:graphicData>
                      </a:graphic>
                    </wp:anchor>
                  </w:drawing>
                </mc:Fallback>
              </mc:AlternateContent>
            </w:r>
            <w:r w:rsidR="00933C7D" w:rsidRPr="0045151D">
              <w:rPr>
                <w:rFonts w:ascii="Calibri" w:eastAsia="Calibri" w:hAnsi="Calibri" w:cs="Calibri"/>
                <w:b/>
                <w:color w:val="333399"/>
                <w:sz w:val="32"/>
                <w:szCs w:val="32"/>
                <w:lang w:val="en-GB"/>
              </w:rPr>
              <w:tab/>
            </w:r>
          </w:p>
          <w:p w14:paraId="179BD5BC" w14:textId="347F2AE9" w:rsidR="00600DEE" w:rsidRPr="0045151D" w:rsidRDefault="00641FB5" w:rsidP="00AB61E5">
            <w:pPr>
              <w:spacing w:before="360" w:after="360" w:line="276" w:lineRule="auto"/>
              <w:jc w:val="both"/>
              <w:rPr>
                <w:rFonts w:ascii="Calibri" w:eastAsia="Calibri" w:hAnsi="Calibri" w:cs="Calibri"/>
                <w:b/>
                <w:color w:val="333399"/>
                <w:sz w:val="32"/>
                <w:szCs w:val="32"/>
                <w:lang w:val="en-GB"/>
              </w:rPr>
            </w:pPr>
            <w:r>
              <w:rPr>
                <w:noProof/>
                <w:lang w:val="en-GB" w:eastAsia="en-GB"/>
              </w:rPr>
              <mc:AlternateContent>
                <mc:Choice Requires="wps">
                  <w:drawing>
                    <wp:anchor distT="0" distB="0" distL="114300" distR="114300" simplePos="0" relativeHeight="251700224" behindDoc="0" locked="0" layoutInCell="1" hidden="0" allowOverlap="1" wp14:anchorId="4A227CE0" wp14:editId="281D89A6">
                      <wp:simplePos x="0" y="0"/>
                      <wp:positionH relativeFrom="column">
                        <wp:posOffset>317500</wp:posOffset>
                      </wp:positionH>
                      <wp:positionV relativeFrom="paragraph">
                        <wp:posOffset>139700</wp:posOffset>
                      </wp:positionV>
                      <wp:extent cx="1600200" cy="695325"/>
                      <wp:effectExtent l="0" t="0" r="0" b="0"/>
                      <wp:wrapNone/>
                      <wp:docPr id="527" name="Prostokąt 527"/>
                      <wp:cNvGraphicFramePr/>
                      <a:graphic xmlns:a="http://schemas.openxmlformats.org/drawingml/2006/main">
                        <a:graphicData uri="http://schemas.microsoft.com/office/word/2010/wordprocessingShape">
                          <wps:wsp>
                            <wps:cNvSpPr/>
                            <wps:spPr>
                              <a:xfrm>
                                <a:off x="4550663" y="3437100"/>
                                <a:ext cx="1590675" cy="68580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3CCAF7CB" w14:textId="77777777" w:rsidR="007463B9" w:rsidRPr="0045151D" w:rsidRDefault="007463B9">
                                  <w:pPr>
                                    <w:jc w:val="center"/>
                                    <w:textDirection w:val="btLr"/>
                                    <w:rPr>
                                      <w:lang w:val="en-GB"/>
                                    </w:rPr>
                                  </w:pPr>
                                  <w:r w:rsidRPr="0045151D">
                                    <w:rPr>
                                      <w:rFonts w:ascii="Calibri" w:eastAsia="Calibri" w:hAnsi="Calibri" w:cs="Calibri"/>
                                      <w:b/>
                                      <w:color w:val="000000"/>
                                      <w:sz w:val="20"/>
                                      <w:lang w:val="en-GB"/>
                                    </w:rPr>
                                    <w:t>FRR&lt;FDR</w:t>
                                  </w:r>
                                </w:p>
                                <w:p w14:paraId="5190FBDD"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requires public co-funding in order to be feasible.</w:t>
                                  </w:r>
                                </w:p>
                              </w:txbxContent>
                            </wps:txbx>
                            <wps:bodyPr spcFirstLastPara="1" wrap="square" lIns="91425" tIns="45700" rIns="91425" bIns="45700" anchor="t" anchorCtr="0">
                              <a:noAutofit/>
                            </wps:bodyPr>
                          </wps:wsp>
                        </a:graphicData>
                      </a:graphic>
                    </wp:anchor>
                  </w:drawing>
                </mc:Choice>
                <mc:Fallback>
                  <w:pict>
                    <v:rect w14:anchorId="4A227CE0" id="Prostokąt 527" o:spid="_x0000_s1043" style="position:absolute;left:0;text-align:left;margin-left:25pt;margin-top:11pt;width:126pt;height:54.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" fillcolor="#dae5f1" stroked="f">
                      <v:shadow on="t" opacity="25956f" origin="-.5,-.5" offset=".74836mm,.74836mm"/>
                      <v:textbox inset="2.53958mm,1.2694mm,2.53958mm,1.2694mm">
                        <w:txbxContent>
                          <w:p w14:paraId="3CCAF7CB" w14:textId="77777777" w:rsidR="007463B9" w:rsidRPr="0045151D" w:rsidRDefault="007463B9">
                            <w:pPr>
                              <w:jc w:val="center"/>
                              <w:textDirection w:val="btLr"/>
                              <w:rPr>
                                <w:lang w:val="en-GB"/>
                              </w:rPr>
                            </w:pPr>
                            <w:r w:rsidRPr="0045151D">
                              <w:rPr>
                                <w:rFonts w:ascii="Calibri" w:eastAsia="Calibri" w:hAnsi="Calibri" w:cs="Calibri"/>
                                <w:b/>
                                <w:color w:val="000000"/>
                                <w:sz w:val="20"/>
                                <w:lang w:val="en-GB"/>
                              </w:rPr>
                              <w:t>FRR&lt;FDR</w:t>
                            </w:r>
                          </w:p>
                          <w:p w14:paraId="5190FBDD"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requires public co-funding in order to be feasible.</w:t>
                            </w:r>
                          </w:p>
                        </w:txbxContent>
                      </v:textbox>
                    </v:rect>
                  </w:pict>
                </mc:Fallback>
              </mc:AlternateContent>
            </w:r>
            <w:r>
              <w:rPr>
                <w:noProof/>
                <w:lang w:val="en-GB" w:eastAsia="en-GB"/>
              </w:rPr>
              <mc:AlternateContent>
                <mc:Choice Requires="wps">
                  <w:drawing>
                    <wp:anchor distT="0" distB="0" distL="114300" distR="114300" simplePos="0" relativeHeight="251701248" behindDoc="0" locked="0" layoutInCell="1" hidden="0" allowOverlap="1" wp14:anchorId="10366AD7" wp14:editId="12AD832A">
                      <wp:simplePos x="0" y="0"/>
                      <wp:positionH relativeFrom="column">
                        <wp:posOffset>2171700</wp:posOffset>
                      </wp:positionH>
                      <wp:positionV relativeFrom="paragraph">
                        <wp:posOffset>88900</wp:posOffset>
                      </wp:positionV>
                      <wp:extent cx="1547495" cy="800100"/>
                      <wp:effectExtent l="0" t="0" r="0" b="0"/>
                      <wp:wrapNone/>
                      <wp:docPr id="528" name="Prostokąt 528"/>
                      <wp:cNvGraphicFramePr/>
                      <a:graphic xmlns:a="http://schemas.openxmlformats.org/drawingml/2006/main">
                        <a:graphicData uri="http://schemas.microsoft.com/office/word/2010/wordprocessingShape">
                          <wps:wsp>
                            <wps:cNvSpPr/>
                            <wps:spPr>
                              <a:xfrm>
                                <a:off x="4577015" y="3384713"/>
                                <a:ext cx="1537970" cy="790575"/>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28B2B18A"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FRR&gt;FDR</w:t>
                                  </w:r>
                                </w:p>
                                <w:p w14:paraId="6A51B1C1"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 xml:space="preserve">The project could in principle be implemented without public funds.* </w:t>
                                  </w:r>
                                </w:p>
                              </w:txbxContent>
                            </wps:txbx>
                            <wps:bodyPr spcFirstLastPara="1" wrap="square" lIns="91425" tIns="45700" rIns="91425" bIns="45700" anchor="t" anchorCtr="0">
                              <a:noAutofit/>
                            </wps:bodyPr>
                          </wps:wsp>
                        </a:graphicData>
                      </a:graphic>
                    </wp:anchor>
                  </w:drawing>
                </mc:Choice>
                <mc:Fallback>
                  <w:pict>
                    <v:rect w14:anchorId="10366AD7" id="Prostokąt 528" o:spid="_x0000_s1044" style="position:absolute;left:0;text-align:left;margin-left:171pt;margin-top:7pt;width:121.85pt;height:6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" fillcolor="#dae5f1" stroked="f">
                      <v:shadow on="t" opacity="25956f" origin="-.5,-.5" offset=".74836mm,.74836mm"/>
                      <v:textbox inset="2.53958mm,1.2694mm,2.53958mm,1.2694mm">
                        <w:txbxContent>
                          <w:p w14:paraId="28B2B18A"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FRR&gt;FDR</w:t>
                            </w:r>
                          </w:p>
                          <w:p w14:paraId="6A51B1C1"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 xml:space="preserve">The project could in principle be implemented without public funds.* </w:t>
                            </w:r>
                          </w:p>
                        </w:txbxContent>
                      </v:textbox>
                    </v:rect>
                  </w:pict>
                </mc:Fallback>
              </mc:AlternateContent>
            </w:r>
            <w:r>
              <w:rPr>
                <w:noProof/>
                <w:lang w:val="en-GB" w:eastAsia="en-GB"/>
              </w:rPr>
              <mc:AlternateContent>
                <mc:Choice Requires="wps">
                  <w:drawing>
                    <wp:anchor distT="0" distB="0" distL="114300" distR="114300" simplePos="0" relativeHeight="251702272" behindDoc="0" locked="0" layoutInCell="1" hidden="0" allowOverlap="1" wp14:anchorId="258D998F" wp14:editId="4448B860">
                      <wp:simplePos x="0" y="0"/>
                      <wp:positionH relativeFrom="column">
                        <wp:posOffset>-4533899</wp:posOffset>
                      </wp:positionH>
                      <wp:positionV relativeFrom="paragraph">
                        <wp:posOffset>177800</wp:posOffset>
                      </wp:positionV>
                      <wp:extent cx="1718945" cy="695325"/>
                      <wp:effectExtent l="0" t="0" r="0" b="0"/>
                      <wp:wrapNone/>
                      <wp:docPr id="511" name="Prostokąt 511"/>
                      <wp:cNvGraphicFramePr/>
                      <a:graphic xmlns:a="http://schemas.openxmlformats.org/drawingml/2006/main">
                        <a:graphicData uri="http://schemas.microsoft.com/office/word/2010/wordprocessingShape">
                          <wps:wsp>
                            <wps:cNvSpPr/>
                            <wps:spPr>
                              <a:xfrm>
                                <a:off x="4491290" y="3437100"/>
                                <a:ext cx="1709420" cy="68580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07D130C5" w14:textId="77777777" w:rsidR="007463B9" w:rsidRDefault="007463B9">
                                  <w:pPr>
                                    <w:spacing w:after="80"/>
                                    <w:jc w:val="center"/>
                                    <w:textDirection w:val="btLr"/>
                                  </w:pPr>
                                  <w:r>
                                    <w:rPr>
                                      <w:rFonts w:ascii="Calibri" w:eastAsia="Calibri" w:hAnsi="Calibri" w:cs="Calibri"/>
                                      <w:b/>
                                      <w:color w:val="000000"/>
                                      <w:sz w:val="20"/>
                                    </w:rPr>
                                    <w:t>FRR&lt;FDR</w:t>
                                  </w:r>
                                </w:p>
                                <w:p w14:paraId="7F48AD29" w14:textId="77777777" w:rsidR="007463B9" w:rsidRDefault="007463B9">
                                  <w:pPr>
                                    <w:spacing w:after="80"/>
                                    <w:jc w:val="center"/>
                                    <w:textDirection w:val="btLr"/>
                                  </w:pPr>
                                  <w:r>
                                    <w:rPr>
                                      <w:rFonts w:ascii="Calibri" w:eastAsia="Calibri" w:hAnsi="Calibri" w:cs="Calibri"/>
                                      <w:color w:val="231F20"/>
                                      <w:sz w:val="17"/>
                                    </w:rPr>
                                    <w:t>Projekt wymaga współudziału środków publicznych, aby był wykonalny.</w:t>
                                  </w:r>
                                </w:p>
                              </w:txbxContent>
                            </wps:txbx>
                            <wps:bodyPr spcFirstLastPara="1" wrap="square" lIns="91425" tIns="45700" rIns="91425" bIns="45700" anchor="t" anchorCtr="0">
                              <a:noAutofit/>
                            </wps:bodyPr>
                          </wps:wsp>
                        </a:graphicData>
                      </a:graphic>
                    </wp:anchor>
                  </w:drawing>
                </mc:Choice>
                <mc:Fallback>
                  <w:pict>
                    <v:rect w14:anchorId="258D998F" id="Prostokąt 511" o:spid="_x0000_s1045" style="position:absolute;left:0;text-align:left;margin-left:-357pt;margin-top:14pt;width:135.35pt;height:54.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" fillcolor="#dae5f1" stroked="f">
                      <v:shadow on="t" opacity="25956f" origin="-.5,-.5" offset=".74836mm,.74836mm"/>
                      <v:textbox inset="2.53958mm,1.2694mm,2.53958mm,1.2694mm">
                        <w:txbxContent>
                          <w:p w14:paraId="07D130C5" w14:textId="77777777" w:rsidR="007463B9" w:rsidRDefault="007463B9">
                            <w:pPr>
                              <w:spacing w:after="80"/>
                              <w:jc w:val="center"/>
                              <w:textDirection w:val="btLr"/>
                            </w:pPr>
                            <w:r>
                              <w:rPr>
                                <w:rFonts w:ascii="Calibri" w:eastAsia="Calibri" w:hAnsi="Calibri" w:cs="Calibri"/>
                                <w:b/>
                                <w:color w:val="000000"/>
                                <w:sz w:val="20"/>
                              </w:rPr>
                              <w:t>FRR&lt;FDR</w:t>
                            </w:r>
                          </w:p>
                          <w:p w14:paraId="7F48AD29" w14:textId="77777777" w:rsidR="007463B9" w:rsidRDefault="007463B9">
                            <w:pPr>
                              <w:spacing w:after="80"/>
                              <w:jc w:val="center"/>
                              <w:textDirection w:val="btLr"/>
                            </w:pPr>
                            <w:r>
                              <w:rPr>
                                <w:rFonts w:ascii="Calibri" w:eastAsia="Calibri" w:hAnsi="Calibri" w:cs="Calibri"/>
                                <w:color w:val="231F20"/>
                                <w:sz w:val="17"/>
                              </w:rPr>
                              <w:t>Projekt wymaga współudziału środków publicznych, aby był wykonalny.</w:t>
                            </w:r>
                          </w:p>
                        </w:txbxContent>
                      </v:textbox>
                    </v:rect>
                  </w:pict>
                </mc:Fallback>
              </mc:AlternateContent>
            </w:r>
            <w:r>
              <w:rPr>
                <w:noProof/>
                <w:lang w:val="en-GB" w:eastAsia="en-GB"/>
              </w:rPr>
              <mc:AlternateContent>
                <mc:Choice Requires="wps">
                  <w:drawing>
                    <wp:anchor distT="0" distB="0" distL="114300" distR="114300" simplePos="0" relativeHeight="251703296" behindDoc="0" locked="0" layoutInCell="1" hidden="0" allowOverlap="1" wp14:anchorId="34D601E8" wp14:editId="1114029E">
                      <wp:simplePos x="0" y="0"/>
                      <wp:positionH relativeFrom="column">
                        <wp:posOffset>-2476499</wp:posOffset>
                      </wp:positionH>
                      <wp:positionV relativeFrom="paragraph">
                        <wp:posOffset>177800</wp:posOffset>
                      </wp:positionV>
                      <wp:extent cx="1780540" cy="895350"/>
                      <wp:effectExtent l="0" t="0" r="0" b="0"/>
                      <wp:wrapNone/>
                      <wp:docPr id="512" name="Prostokąt 512"/>
                      <wp:cNvGraphicFramePr/>
                      <a:graphic xmlns:a="http://schemas.openxmlformats.org/drawingml/2006/main">
                        <a:graphicData uri="http://schemas.microsoft.com/office/word/2010/wordprocessingShape">
                          <wps:wsp>
                            <wps:cNvSpPr/>
                            <wps:spPr>
                              <a:xfrm>
                                <a:off x="4460493" y="3337088"/>
                                <a:ext cx="1771015" cy="885825"/>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2042592" w14:textId="77777777" w:rsidR="007463B9" w:rsidRDefault="007463B9">
                                  <w:pPr>
                                    <w:spacing w:after="80"/>
                                    <w:jc w:val="center"/>
                                    <w:textDirection w:val="btLr"/>
                                  </w:pPr>
                                  <w:r>
                                    <w:rPr>
                                      <w:rFonts w:ascii="Calibri" w:eastAsia="Calibri" w:hAnsi="Calibri" w:cs="Calibri"/>
                                      <w:b/>
                                      <w:color w:val="000000"/>
                                      <w:sz w:val="20"/>
                                    </w:rPr>
                                    <w:t>FRR&gt;FDR</w:t>
                                  </w:r>
                                </w:p>
                                <w:p w14:paraId="24223BD7" w14:textId="77777777" w:rsidR="007463B9" w:rsidRDefault="007463B9">
                                  <w:pPr>
                                    <w:spacing w:after="120"/>
                                    <w:jc w:val="center"/>
                                    <w:textDirection w:val="btLr"/>
                                  </w:pPr>
                                  <w:r>
                                    <w:rPr>
                                      <w:rFonts w:ascii="Calibri" w:eastAsia="Calibri" w:hAnsi="Calibri" w:cs="Calibri"/>
                                      <w:color w:val="231F20"/>
                                      <w:sz w:val="18"/>
                                    </w:rPr>
                                    <w:t xml:space="preserve">Projekt mógłby być wykonany bez udziału środków publicznych* </w:t>
                                  </w:r>
                                </w:p>
                              </w:txbxContent>
                            </wps:txbx>
                            <wps:bodyPr spcFirstLastPara="1" wrap="square" lIns="91425" tIns="45700" rIns="91425" bIns="45700" anchor="t" anchorCtr="0">
                              <a:noAutofit/>
                            </wps:bodyPr>
                          </wps:wsp>
                        </a:graphicData>
                      </a:graphic>
                    </wp:anchor>
                  </w:drawing>
                </mc:Choice>
                <mc:Fallback>
                  <w:pict>
                    <v:rect w14:anchorId="34D601E8" id="Prostokąt 512" o:spid="_x0000_s1046" style="position:absolute;left:0;text-align:left;margin-left:-195pt;margin-top:14pt;width:140.2pt;height:7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" fillcolor="#dae5f1" stroked="f">
                      <v:shadow on="t" opacity="25956f" origin="-.5,-.5" offset=".74836mm,.74836mm"/>
                      <v:textbox inset="2.53958mm,1.2694mm,2.53958mm,1.2694mm">
                        <w:txbxContent>
                          <w:p w14:paraId="72042592" w14:textId="77777777" w:rsidR="007463B9" w:rsidRDefault="007463B9">
                            <w:pPr>
                              <w:spacing w:after="80"/>
                              <w:jc w:val="center"/>
                              <w:textDirection w:val="btLr"/>
                            </w:pPr>
                            <w:r>
                              <w:rPr>
                                <w:rFonts w:ascii="Calibri" w:eastAsia="Calibri" w:hAnsi="Calibri" w:cs="Calibri"/>
                                <w:b/>
                                <w:color w:val="000000"/>
                                <w:sz w:val="20"/>
                              </w:rPr>
                              <w:t>FRR&gt;FDR</w:t>
                            </w:r>
                          </w:p>
                          <w:p w14:paraId="24223BD7" w14:textId="77777777" w:rsidR="007463B9" w:rsidRDefault="007463B9">
                            <w:pPr>
                              <w:spacing w:after="120"/>
                              <w:jc w:val="center"/>
                              <w:textDirection w:val="btLr"/>
                            </w:pPr>
                            <w:r>
                              <w:rPr>
                                <w:rFonts w:ascii="Calibri" w:eastAsia="Calibri" w:hAnsi="Calibri" w:cs="Calibri"/>
                                <w:color w:val="231F20"/>
                                <w:sz w:val="18"/>
                              </w:rPr>
                              <w:t xml:space="preserve">Projekt mógłby być wykonany bez udziału środków publicznych* </w:t>
                            </w:r>
                          </w:p>
                        </w:txbxContent>
                      </v:textbox>
                    </v:rect>
                  </w:pict>
                </mc:Fallback>
              </mc:AlternateContent>
            </w:r>
          </w:p>
          <w:p w14:paraId="50634E30" w14:textId="77777777" w:rsidR="00600DEE" w:rsidRPr="0045151D" w:rsidRDefault="00641FB5">
            <w:pPr>
              <w:spacing w:before="240" w:after="360" w:line="276" w:lineRule="auto"/>
              <w:jc w:val="both"/>
              <w:rPr>
                <w:rFonts w:ascii="Calibri" w:eastAsia="Calibri" w:hAnsi="Calibri" w:cs="Calibri"/>
                <w:b/>
                <w:color w:val="333399"/>
                <w:sz w:val="32"/>
                <w:szCs w:val="32"/>
                <w:lang w:val="en-GB"/>
              </w:rPr>
            </w:pPr>
            <w:r>
              <w:rPr>
                <w:noProof/>
                <w:lang w:val="en-GB" w:eastAsia="en-GB"/>
              </w:rPr>
              <mc:AlternateContent>
                <mc:Choice Requires="wpg">
                  <w:drawing>
                    <wp:anchor distT="0" distB="0" distL="114300" distR="114300" simplePos="0" relativeHeight="251704320" behindDoc="0" locked="0" layoutInCell="1" hidden="0" allowOverlap="1" wp14:anchorId="47B51900" wp14:editId="098CF849">
                      <wp:simplePos x="0" y="0"/>
                      <wp:positionH relativeFrom="column">
                        <wp:posOffset>1041400</wp:posOffset>
                      </wp:positionH>
                      <wp:positionV relativeFrom="paragraph">
                        <wp:posOffset>342900</wp:posOffset>
                      </wp:positionV>
                      <wp:extent cx="25400" cy="280491"/>
                      <wp:effectExtent l="0" t="0" r="0" b="0"/>
                      <wp:wrapNone/>
                      <wp:docPr id="471" name="Łącznik prosty ze strzałką 471"/>
                      <wp:cNvGraphicFramePr/>
                      <a:graphic xmlns:a="http://schemas.openxmlformats.org/drawingml/2006/main">
                        <a:graphicData uri="http://schemas.microsoft.com/office/word/2010/wordprocessingShape">
                          <wps:wsp>
                            <wps:cNvCnPr/>
                            <wps:spPr>
                              <a:xfrm>
                                <a:off x="5346000" y="3639755"/>
                                <a:ext cx="0" cy="28049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342900</wp:posOffset>
                      </wp:positionV>
                      <wp:extent cx="25400" cy="280491"/>
                      <wp:effectExtent b="0" l="0" r="0" t="0"/>
                      <wp:wrapNone/>
                      <wp:docPr id="471" name="image27.png"/>
                      <a:graphic>
                        <a:graphicData uri="http://schemas.openxmlformats.org/drawingml/2006/picture">
                          <pic:pic>
                            <pic:nvPicPr>
                              <pic:cNvPr id="0" name="image27.png"/>
                              <pic:cNvPicPr preferRelativeResize="0"/>
                            </pic:nvPicPr>
                            <pic:blipFill>
                              <a:blip r:embed="rId96"/>
                              <a:srcRect/>
                              <a:stretch>
                                <a:fillRect/>
                              </a:stretch>
                            </pic:blipFill>
                            <pic:spPr>
                              <a:xfrm>
                                <a:off x="0" y="0"/>
                                <a:ext cx="25400" cy="280491"/>
                              </a:xfrm>
                              <a:prstGeom prst="rect"/>
                              <a:ln/>
                            </pic:spPr>
                          </pic:pic>
                        </a:graphicData>
                      </a:graphic>
                    </wp:anchor>
                  </w:drawing>
                </mc:Fallback>
              </mc:AlternateContent>
            </w:r>
          </w:p>
          <w:p w14:paraId="0CBB5D75" w14:textId="77777777" w:rsidR="00600DEE" w:rsidRPr="0045151D" w:rsidRDefault="00641FB5">
            <w:pPr>
              <w:spacing w:before="240" w:after="360" w:line="276" w:lineRule="auto"/>
              <w:jc w:val="both"/>
              <w:rPr>
                <w:rFonts w:ascii="Calibri" w:eastAsia="Calibri" w:hAnsi="Calibri" w:cs="Calibri"/>
                <w:b/>
                <w:color w:val="333399"/>
                <w:sz w:val="32"/>
                <w:szCs w:val="32"/>
                <w:lang w:val="en-GB"/>
              </w:rPr>
            </w:pPr>
            <w:r>
              <w:rPr>
                <w:noProof/>
                <w:lang w:val="en-GB" w:eastAsia="en-GB"/>
              </w:rPr>
              <mc:AlternateContent>
                <mc:Choice Requires="wps">
                  <w:drawing>
                    <wp:anchor distT="0" distB="0" distL="0" distR="0" simplePos="0" relativeHeight="251705344" behindDoc="1" locked="0" layoutInCell="1" hidden="0" allowOverlap="1" wp14:anchorId="001DAF7D" wp14:editId="0DE1ECE9">
                      <wp:simplePos x="0" y="0"/>
                      <wp:positionH relativeFrom="column">
                        <wp:posOffset>330200</wp:posOffset>
                      </wp:positionH>
                      <wp:positionV relativeFrom="paragraph">
                        <wp:posOffset>88900</wp:posOffset>
                      </wp:positionV>
                      <wp:extent cx="1538811" cy="437655"/>
                      <wp:effectExtent l="0" t="0" r="0" b="0"/>
                      <wp:wrapNone/>
                      <wp:docPr id="494" name="Schemat blokowy: proces alternatywny 494"/>
                      <wp:cNvGraphicFramePr/>
                      <a:graphic xmlns:a="http://schemas.openxmlformats.org/drawingml/2006/main">
                        <a:graphicData uri="http://schemas.microsoft.com/office/word/2010/wordprocessingShape">
                          <wps:wsp>
                            <wps:cNvSpPr/>
                            <wps:spPr>
                              <a:xfrm>
                                <a:off x="4581357" y="3565935"/>
                                <a:ext cx="1529286" cy="428130"/>
                              </a:xfrm>
                              <a:prstGeom prst="flowChartAlternateProcess">
                                <a:avLst/>
                              </a:prstGeom>
                              <a:solidFill>
                                <a:srgbClr val="B7CCE4"/>
                              </a:solidFill>
                              <a:ln>
                                <a:noFill/>
                              </a:ln>
                              <a:effectLst>
                                <a:outerShdw blurRad="50800" dist="38100" dir="2700000" algn="tl" rotWithShape="0">
                                  <a:srgbClr val="000000">
                                    <a:alpha val="40000"/>
                                  </a:srgbClr>
                                </a:outerShdw>
                              </a:effectLst>
                            </wps:spPr>
                            <wps:txbx>
                              <w:txbxContent>
                                <w:p w14:paraId="5183383F"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001DAF7D" id="Schemat blokowy: proces alternatywny 494" o:spid="_x0000_s1047" type="#_x0000_t176" style="position:absolute;left:0;text-align:left;margin-left:26pt;margin-top:7pt;width:121.15pt;height:34.45pt;z-index:-251611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" fillcolor="#b7cce4" stroked="f">
                      <v:shadow on="t" color="black" opacity="26214f" origin="-.5,-.5" offset=".74836mm,.74836mm"/>
                      <v:textbox inset="2.53958mm,2.53958mm,2.53958mm,2.53958mm">
                        <w:txbxContent>
                          <w:p w14:paraId="5183383F" w14:textId="77777777" w:rsidR="007463B9" w:rsidRDefault="007463B9">
                            <w:pPr>
                              <w:textDirection w:val="btLr"/>
                            </w:pP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hidden="0" allowOverlap="1" wp14:anchorId="2F4A575A" wp14:editId="5205DC16">
                      <wp:simplePos x="0" y="0"/>
                      <wp:positionH relativeFrom="column">
                        <wp:posOffset>406400</wp:posOffset>
                      </wp:positionH>
                      <wp:positionV relativeFrom="paragraph">
                        <wp:posOffset>101600</wp:posOffset>
                      </wp:positionV>
                      <wp:extent cx="1357560" cy="446629"/>
                      <wp:effectExtent l="0" t="0" r="0" b="0"/>
                      <wp:wrapNone/>
                      <wp:docPr id="478" name="Prostokąt 478"/>
                      <wp:cNvGraphicFramePr/>
                      <a:graphic xmlns:a="http://schemas.openxmlformats.org/drawingml/2006/main">
                        <a:graphicData uri="http://schemas.microsoft.com/office/word/2010/wordprocessingShape">
                          <wps:wsp>
                            <wps:cNvSpPr/>
                            <wps:spPr>
                              <a:xfrm>
                                <a:off x="4671983" y="3561448"/>
                                <a:ext cx="1348035" cy="437104"/>
                              </a:xfrm>
                              <a:prstGeom prst="rect">
                                <a:avLst/>
                              </a:prstGeom>
                              <a:noFill/>
                              <a:ln>
                                <a:noFill/>
                              </a:ln>
                            </wps:spPr>
                            <wps:txbx>
                              <w:txbxContent>
                                <w:p w14:paraId="6854D9FC" w14:textId="77777777" w:rsidR="007463B9" w:rsidRDefault="007463B9">
                                  <w:pPr>
                                    <w:jc w:val="center"/>
                                    <w:textDirection w:val="btLr"/>
                                  </w:pPr>
                                  <w:r>
                                    <w:rPr>
                                      <w:rFonts w:ascii="Calibri" w:eastAsia="Calibri" w:hAnsi="Calibri" w:cs="Calibri"/>
                                      <w:color w:val="000000"/>
                                      <w:sz w:val="20"/>
                                    </w:rPr>
                                    <w:t>Calculation of EU funding contribution</w:t>
                                  </w:r>
                                </w:p>
                              </w:txbxContent>
                            </wps:txbx>
                            <wps:bodyPr spcFirstLastPara="1" wrap="square" lIns="91425" tIns="45700" rIns="91425" bIns="45700" anchor="t" anchorCtr="0">
                              <a:noAutofit/>
                            </wps:bodyPr>
                          </wps:wsp>
                        </a:graphicData>
                      </a:graphic>
                    </wp:anchor>
                  </w:drawing>
                </mc:Choice>
                <mc:Fallback>
                  <w:pict>
                    <v:rect w14:anchorId="2F4A575A" id="Prostokąt 478" o:spid="_x0000_s1048" style="position:absolute;left:0;text-align:left;margin-left:32pt;margin-top:8pt;width:106.9pt;height:35.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" filled="f" stroked="f">
                      <v:textbox inset="2.53958mm,1.2694mm,2.53958mm,1.2694mm">
                        <w:txbxContent>
                          <w:p w14:paraId="6854D9FC" w14:textId="77777777" w:rsidR="007463B9" w:rsidRDefault="007463B9">
                            <w:pPr>
                              <w:jc w:val="center"/>
                              <w:textDirection w:val="btLr"/>
                            </w:pPr>
                            <w:r>
                              <w:rPr>
                                <w:rFonts w:ascii="Calibri" w:eastAsia="Calibri" w:hAnsi="Calibri" w:cs="Calibri"/>
                                <w:color w:val="000000"/>
                                <w:sz w:val="20"/>
                              </w:rPr>
                              <w:t>Calculation of EU funding contribution</w:t>
                            </w:r>
                          </w:p>
                        </w:txbxContent>
                      </v:textbox>
                    </v:rect>
                  </w:pict>
                </mc:Fallback>
              </mc:AlternateContent>
            </w:r>
          </w:p>
          <w:p w14:paraId="0AFD1910" w14:textId="7073752C" w:rsidR="00600DEE" w:rsidRPr="0045151D" w:rsidRDefault="0067350B">
            <w:pPr>
              <w:spacing w:before="240" w:after="360" w:line="276" w:lineRule="auto"/>
              <w:jc w:val="both"/>
              <w:rPr>
                <w:rFonts w:ascii="Calibri" w:eastAsia="Calibri" w:hAnsi="Calibri" w:cs="Calibri"/>
                <w:b/>
                <w:color w:val="333399"/>
                <w:sz w:val="32"/>
                <w:szCs w:val="32"/>
                <w:lang w:val="en-GB"/>
              </w:rPr>
            </w:pPr>
            <w:r>
              <w:rPr>
                <w:noProof/>
                <w:lang w:val="en-GB" w:eastAsia="en-GB"/>
              </w:rPr>
              <mc:AlternateContent>
                <mc:Choice Requires="wps">
                  <w:drawing>
                    <wp:anchor distT="0" distB="0" distL="114300" distR="114300" simplePos="0" relativeHeight="251692032" behindDoc="0" locked="0" layoutInCell="1" hidden="0" allowOverlap="1" wp14:anchorId="6A971410" wp14:editId="429D9DF3">
                      <wp:simplePos x="0" y="0"/>
                      <wp:positionH relativeFrom="column">
                        <wp:posOffset>2322512</wp:posOffset>
                      </wp:positionH>
                      <wp:positionV relativeFrom="paragraph">
                        <wp:posOffset>316865</wp:posOffset>
                      </wp:positionV>
                      <wp:extent cx="1600200" cy="695325"/>
                      <wp:effectExtent l="0" t="0" r="0" b="0"/>
                      <wp:wrapNone/>
                      <wp:docPr id="507" name="Prostokąt 507"/>
                      <wp:cNvGraphicFramePr/>
                      <a:graphic xmlns:a="http://schemas.openxmlformats.org/drawingml/2006/main">
                        <a:graphicData uri="http://schemas.microsoft.com/office/word/2010/wordprocessingShape">
                          <wps:wsp>
                            <wps:cNvSpPr/>
                            <wps:spPr>
                              <a:xfrm>
                                <a:off x="0" y="0"/>
                                <a:ext cx="1600200" cy="695325"/>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4F7850E7"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 FNPV≈0</w:t>
                                  </w:r>
                                </w:p>
                                <w:p w14:paraId="55C47AA5"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7"/>
                                      <w:lang w:val="en-GB"/>
                                    </w:rPr>
                                    <w:t>The project is economically justified and financially viable.</w:t>
                                  </w:r>
                                </w:p>
                              </w:txbxContent>
                            </wps:txbx>
                            <wps:bodyPr spcFirstLastPara="1" wrap="square" lIns="91425" tIns="45700" rIns="91425" bIns="45700" anchor="t" anchorCtr="0">
                              <a:noAutofit/>
                            </wps:bodyPr>
                          </wps:wsp>
                        </a:graphicData>
                      </a:graphic>
                    </wp:anchor>
                  </w:drawing>
                </mc:Choice>
                <mc:Fallback>
                  <w:pict>
                    <v:rect w14:anchorId="6A971410" id="Prostokąt 507" o:spid="_x0000_s1049" style="position:absolute;left:0;text-align:left;margin-left:182.85pt;margin-top:24.95pt;width:126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" fillcolor="#dae5f1" stroked="f">
                      <v:shadow on="t" opacity="25956f" origin="-.5,-.5" offset=".74836mm,.74836mm"/>
                      <v:textbox inset="2.53958mm,1.2694mm,2.53958mm,1.2694mm">
                        <w:txbxContent>
                          <w:p w14:paraId="4F7850E7"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 FNPV≈0</w:t>
                            </w:r>
                          </w:p>
                          <w:p w14:paraId="55C47AA5"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7"/>
                                <w:lang w:val="en-GB"/>
                              </w:rPr>
                              <w:t>The project is economically justified and financially viable.</w:t>
                            </w:r>
                          </w:p>
                        </w:txbxContent>
                      </v:textbox>
                    </v:rect>
                  </w:pict>
                </mc:Fallback>
              </mc:AlternateContent>
            </w:r>
            <w:r w:rsidR="00641FB5">
              <w:rPr>
                <w:noProof/>
                <w:lang w:val="en-GB" w:eastAsia="en-GB"/>
              </w:rPr>
              <mc:AlternateContent>
                <mc:Choice Requires="wpg">
                  <w:drawing>
                    <wp:anchor distT="0" distB="0" distL="114300" distR="114300" simplePos="0" relativeHeight="251707392" behindDoc="0" locked="0" layoutInCell="1" hidden="0" allowOverlap="1" wp14:anchorId="45D9137B" wp14:editId="33CD2735">
                      <wp:simplePos x="0" y="0"/>
                      <wp:positionH relativeFrom="column">
                        <wp:posOffset>1054100</wp:posOffset>
                      </wp:positionH>
                      <wp:positionV relativeFrom="paragraph">
                        <wp:posOffset>25400</wp:posOffset>
                      </wp:positionV>
                      <wp:extent cx="25400" cy="159237"/>
                      <wp:effectExtent l="0" t="0" r="0" b="0"/>
                      <wp:wrapNone/>
                      <wp:docPr id="484" name="Łącznik prosty ze strzałką 484"/>
                      <wp:cNvGraphicFramePr/>
                      <a:graphic xmlns:a="http://schemas.openxmlformats.org/drawingml/2006/main">
                        <a:graphicData uri="http://schemas.microsoft.com/office/word/2010/wordprocessingShape">
                          <wps:wsp>
                            <wps:cNvCnPr/>
                            <wps:spPr>
                              <a:xfrm>
                                <a:off x="5346000" y="3700382"/>
                                <a:ext cx="0" cy="159237"/>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25400</wp:posOffset>
                      </wp:positionV>
                      <wp:extent cx="25400" cy="159237"/>
                      <wp:effectExtent b="0" l="0" r="0" t="0"/>
                      <wp:wrapNone/>
                      <wp:docPr id="484" name="image41.png"/>
                      <a:graphic>
                        <a:graphicData uri="http://schemas.openxmlformats.org/drawingml/2006/picture">
                          <pic:pic>
                            <pic:nvPicPr>
                              <pic:cNvPr id="0" name="image41.png"/>
                              <pic:cNvPicPr preferRelativeResize="0"/>
                            </pic:nvPicPr>
                            <pic:blipFill>
                              <a:blip r:embed="rId99"/>
                              <a:srcRect/>
                              <a:stretch>
                                <a:fillRect/>
                              </a:stretch>
                            </pic:blipFill>
                            <pic:spPr>
                              <a:xfrm>
                                <a:off x="0" y="0"/>
                                <a:ext cx="25400" cy="159237"/>
                              </a:xfrm>
                              <a:prstGeom prst="rect"/>
                              <a:ln/>
                            </pic:spPr>
                          </pic:pic>
                        </a:graphicData>
                      </a:graphic>
                    </wp:anchor>
                  </w:drawing>
                </mc:Fallback>
              </mc:AlternateContent>
            </w:r>
            <w:r w:rsidR="00641FB5">
              <w:rPr>
                <w:noProof/>
                <w:lang w:val="en-GB" w:eastAsia="en-GB"/>
              </w:rPr>
              <mc:AlternateContent>
                <mc:Choice Requires="wpg">
                  <w:drawing>
                    <wp:anchor distT="0" distB="0" distL="114300" distR="114300" simplePos="0" relativeHeight="251708416" behindDoc="0" locked="0" layoutInCell="1" hidden="0" allowOverlap="1" wp14:anchorId="6065E7B4" wp14:editId="4076E139">
                      <wp:simplePos x="0" y="0"/>
                      <wp:positionH relativeFrom="column">
                        <wp:posOffset>1727200</wp:posOffset>
                      </wp:positionH>
                      <wp:positionV relativeFrom="paragraph">
                        <wp:posOffset>317500</wp:posOffset>
                      </wp:positionV>
                      <wp:extent cx="617080" cy="25400"/>
                      <wp:effectExtent l="0" t="0" r="0" b="0"/>
                      <wp:wrapNone/>
                      <wp:docPr id="468" name="Łącznik prosty ze strzałką 468"/>
                      <wp:cNvGraphicFramePr/>
                      <a:graphic xmlns:a="http://schemas.openxmlformats.org/drawingml/2006/main">
                        <a:graphicData uri="http://schemas.microsoft.com/office/word/2010/wordprocessingShape">
                          <wps:wsp>
                            <wps:cNvCnPr/>
                            <wps:spPr>
                              <a:xfrm>
                                <a:off x="5037460" y="3780000"/>
                                <a:ext cx="617080" cy="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317500</wp:posOffset>
                      </wp:positionV>
                      <wp:extent cx="617080" cy="25400"/>
                      <wp:effectExtent b="0" l="0" r="0" t="0"/>
                      <wp:wrapNone/>
                      <wp:docPr id="468" name="image24.png"/>
                      <a:graphic>
                        <a:graphicData uri="http://schemas.openxmlformats.org/drawingml/2006/picture">
                          <pic:pic>
                            <pic:nvPicPr>
                              <pic:cNvPr id="0" name="image24.png"/>
                              <pic:cNvPicPr preferRelativeResize="0"/>
                            </pic:nvPicPr>
                            <pic:blipFill>
                              <a:blip r:embed="rId100"/>
                              <a:srcRect/>
                              <a:stretch>
                                <a:fillRect/>
                              </a:stretch>
                            </pic:blipFill>
                            <pic:spPr>
                              <a:xfrm>
                                <a:off x="0" y="0"/>
                                <a:ext cx="617080" cy="25400"/>
                              </a:xfrm>
                              <a:prstGeom prst="rect"/>
                              <a:ln/>
                            </pic:spPr>
                          </pic:pic>
                        </a:graphicData>
                      </a:graphic>
                    </wp:anchor>
                  </w:drawing>
                </mc:Fallback>
              </mc:AlternateContent>
            </w:r>
          </w:p>
          <w:p w14:paraId="2AB74033" w14:textId="77777777" w:rsidR="00600DEE" w:rsidRPr="0045151D" w:rsidRDefault="00600DEE">
            <w:pPr>
              <w:spacing w:line="276" w:lineRule="auto"/>
              <w:ind w:right="170"/>
              <w:jc w:val="both"/>
              <w:rPr>
                <w:rFonts w:ascii="Calibri" w:eastAsia="Calibri" w:hAnsi="Calibri" w:cs="Calibri"/>
                <w:sz w:val="20"/>
                <w:szCs w:val="20"/>
                <w:lang w:val="en-GB"/>
              </w:rPr>
            </w:pPr>
          </w:p>
          <w:p w14:paraId="53269FA5" w14:textId="77777777" w:rsidR="00600DEE" w:rsidRPr="0045151D" w:rsidRDefault="00600DEE">
            <w:pPr>
              <w:spacing w:line="276" w:lineRule="auto"/>
              <w:ind w:right="170"/>
              <w:jc w:val="both"/>
              <w:rPr>
                <w:rFonts w:ascii="Calibri" w:eastAsia="Calibri" w:hAnsi="Calibri" w:cs="Calibri"/>
                <w:sz w:val="20"/>
                <w:szCs w:val="20"/>
                <w:lang w:val="en-GB"/>
              </w:rPr>
            </w:pPr>
          </w:p>
          <w:p w14:paraId="0BC762D9" w14:textId="77777777" w:rsidR="00600DEE" w:rsidRPr="0045151D" w:rsidRDefault="00600DEE">
            <w:pPr>
              <w:spacing w:line="276" w:lineRule="auto"/>
              <w:ind w:right="170"/>
              <w:jc w:val="both"/>
              <w:rPr>
                <w:rFonts w:ascii="Calibri" w:eastAsia="Calibri" w:hAnsi="Calibri" w:cs="Calibri"/>
                <w:sz w:val="20"/>
                <w:szCs w:val="20"/>
                <w:lang w:val="en-GB"/>
              </w:rPr>
            </w:pPr>
          </w:p>
          <w:p w14:paraId="7B27D381" w14:textId="77777777" w:rsidR="00600DEE" w:rsidRPr="0045151D" w:rsidRDefault="00641FB5">
            <w:pPr>
              <w:spacing w:line="276" w:lineRule="auto"/>
              <w:ind w:right="170"/>
              <w:jc w:val="both"/>
              <w:rPr>
                <w:rFonts w:ascii="Calibri" w:eastAsia="Calibri" w:hAnsi="Calibri" w:cs="Calibri"/>
                <w:sz w:val="18"/>
                <w:szCs w:val="18"/>
                <w:lang w:val="en-GB"/>
              </w:rPr>
            </w:pPr>
            <w:r w:rsidRPr="0045151D">
              <w:rPr>
                <w:rFonts w:ascii="Calibri" w:eastAsia="Calibri" w:hAnsi="Calibri" w:cs="Calibri"/>
                <w:sz w:val="18"/>
                <w:szCs w:val="18"/>
                <w:lang w:val="en-GB"/>
              </w:rPr>
              <w:t>*In cases where financial performance of a project is above FDR, public funds can be used if the financial performance is not excessive (as defined in the relevant documents)</w:t>
            </w:r>
          </w:p>
          <w:p w14:paraId="41E9F04D" w14:textId="77777777" w:rsidR="00600DEE" w:rsidRDefault="00641FB5">
            <w:pPr>
              <w:spacing w:after="240" w:line="276" w:lineRule="auto"/>
              <w:ind w:right="170"/>
              <w:rPr>
                <w:rFonts w:ascii="Calibri" w:eastAsia="Calibri" w:hAnsi="Calibri" w:cs="Calibri"/>
                <w:b/>
                <w:i/>
                <w:color w:val="323299"/>
              </w:rPr>
            </w:pPr>
            <w:r>
              <w:rPr>
                <w:rFonts w:ascii="Calibri" w:eastAsia="Calibri" w:hAnsi="Calibri" w:cs="Calibri"/>
                <w:b/>
                <w:i/>
                <w:sz w:val="16"/>
                <w:szCs w:val="16"/>
              </w:rPr>
              <w:t xml:space="preserve">Source: </w:t>
            </w:r>
            <w:proofErr w:type="spellStart"/>
            <w:r>
              <w:rPr>
                <w:rFonts w:ascii="Calibri" w:eastAsia="Calibri" w:hAnsi="Calibri" w:cs="Calibri"/>
                <w:b/>
                <w:i/>
                <w:sz w:val="16"/>
                <w:szCs w:val="16"/>
              </w:rPr>
              <w:t>proprietary</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work</w:t>
            </w:r>
            <w:proofErr w:type="spellEnd"/>
            <w:r>
              <w:rPr>
                <w:rFonts w:ascii="Calibri" w:eastAsia="Calibri" w:hAnsi="Calibri" w:cs="Calibri"/>
                <w:b/>
                <w:i/>
                <w:sz w:val="16"/>
                <w:szCs w:val="16"/>
              </w:rPr>
              <w:t>.</w:t>
            </w:r>
          </w:p>
        </w:tc>
      </w:tr>
      <w:tr w:rsidR="00600DEE" w:rsidRPr="008C4407" w14:paraId="3A33BA1B" w14:textId="77777777" w:rsidTr="00E12F72">
        <w:tc>
          <w:tcPr>
            <w:tcW w:w="7740" w:type="dxa"/>
            <w:gridSpan w:val="2"/>
            <w:tcBorders>
              <w:right w:val="single" w:sz="4" w:space="0" w:color="000000"/>
            </w:tcBorders>
            <w:tcMar>
              <w:left w:w="284" w:type="dxa"/>
              <w:right w:w="284" w:type="dxa"/>
            </w:tcMar>
          </w:tcPr>
          <w:p w14:paraId="1A29D222" w14:textId="77777777" w:rsidR="00600DEE" w:rsidRDefault="00641FB5" w:rsidP="00E12F72">
            <w:pPr>
              <w:pBdr>
                <w:top w:val="nil"/>
                <w:left w:val="nil"/>
                <w:bottom w:val="nil"/>
                <w:right w:val="nil"/>
                <w:between w:val="nil"/>
              </w:pBdr>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Rysunek 2. Diagram analizy kosztów i korzyści z najważniejszymi działaniami i ich rezultatami</w:t>
            </w:r>
          </w:p>
          <w:tbl>
            <w:tblPr>
              <w:tblStyle w:val="a3"/>
              <w:tblW w:w="7324" w:type="dxa"/>
              <w:tblLayout w:type="fixed"/>
              <w:tblLook w:val="0000" w:firstRow="0" w:lastRow="0" w:firstColumn="0" w:lastColumn="0" w:noHBand="0" w:noVBand="0"/>
            </w:tblPr>
            <w:tblGrid>
              <w:gridCol w:w="250"/>
              <w:gridCol w:w="1450"/>
              <w:gridCol w:w="422"/>
              <w:gridCol w:w="2385"/>
              <w:gridCol w:w="562"/>
              <w:gridCol w:w="2004"/>
              <w:gridCol w:w="251"/>
            </w:tblGrid>
            <w:tr w:rsidR="00600DEE" w14:paraId="4CA2D03B" w14:textId="77777777" w:rsidTr="00E12F72">
              <w:trPr>
                <w:trHeight w:val="65"/>
              </w:trPr>
              <w:tc>
                <w:tcPr>
                  <w:tcW w:w="250" w:type="dxa"/>
                  <w:tcBorders>
                    <w:top w:val="nil"/>
                    <w:left w:val="nil"/>
                    <w:bottom w:val="nil"/>
                    <w:right w:val="nil"/>
                  </w:tcBorders>
                  <w:shd w:val="clear" w:color="auto" w:fill="999999"/>
                </w:tcPr>
                <w:p w14:paraId="516F13E1" w14:textId="77777777" w:rsidR="00600DEE" w:rsidRDefault="00600DEE">
                  <w:pPr>
                    <w:rPr>
                      <w:rFonts w:ascii="Calibri" w:eastAsia="Calibri" w:hAnsi="Calibri" w:cs="Calibri"/>
                    </w:rPr>
                  </w:pPr>
                </w:p>
              </w:tc>
              <w:tc>
                <w:tcPr>
                  <w:tcW w:w="1450" w:type="dxa"/>
                  <w:tcBorders>
                    <w:top w:val="nil"/>
                    <w:left w:val="nil"/>
                    <w:bottom w:val="nil"/>
                    <w:right w:val="nil"/>
                  </w:tcBorders>
                  <w:shd w:val="clear" w:color="auto" w:fill="999999"/>
                </w:tcPr>
                <w:p w14:paraId="2D5A7B0D" w14:textId="77777777" w:rsidR="00600DEE" w:rsidRDefault="00600DEE">
                  <w:pPr>
                    <w:rPr>
                      <w:rFonts w:ascii="Calibri" w:eastAsia="Calibri" w:hAnsi="Calibri" w:cs="Calibri"/>
                    </w:rPr>
                  </w:pPr>
                </w:p>
              </w:tc>
              <w:tc>
                <w:tcPr>
                  <w:tcW w:w="422" w:type="dxa"/>
                  <w:tcBorders>
                    <w:top w:val="nil"/>
                    <w:left w:val="nil"/>
                    <w:bottom w:val="nil"/>
                    <w:right w:val="nil"/>
                  </w:tcBorders>
                  <w:shd w:val="clear" w:color="auto" w:fill="999999"/>
                </w:tcPr>
                <w:p w14:paraId="032F732C" w14:textId="77777777" w:rsidR="00600DEE" w:rsidRDefault="00600DEE">
                  <w:pPr>
                    <w:rPr>
                      <w:rFonts w:ascii="Calibri" w:eastAsia="Calibri" w:hAnsi="Calibri" w:cs="Calibri"/>
                    </w:rPr>
                  </w:pPr>
                </w:p>
              </w:tc>
              <w:tc>
                <w:tcPr>
                  <w:tcW w:w="2385" w:type="dxa"/>
                  <w:tcBorders>
                    <w:top w:val="nil"/>
                    <w:left w:val="nil"/>
                    <w:bottom w:val="nil"/>
                    <w:right w:val="nil"/>
                  </w:tcBorders>
                  <w:shd w:val="clear" w:color="auto" w:fill="999999"/>
                </w:tcPr>
                <w:p w14:paraId="4E622378" w14:textId="77777777" w:rsidR="00600DEE" w:rsidRDefault="00600DEE">
                  <w:pPr>
                    <w:rPr>
                      <w:rFonts w:ascii="Calibri" w:eastAsia="Calibri" w:hAnsi="Calibri" w:cs="Calibri"/>
                    </w:rPr>
                  </w:pPr>
                </w:p>
              </w:tc>
              <w:tc>
                <w:tcPr>
                  <w:tcW w:w="562" w:type="dxa"/>
                  <w:tcBorders>
                    <w:top w:val="nil"/>
                    <w:left w:val="nil"/>
                    <w:bottom w:val="nil"/>
                    <w:right w:val="nil"/>
                  </w:tcBorders>
                  <w:shd w:val="clear" w:color="auto" w:fill="999999"/>
                </w:tcPr>
                <w:p w14:paraId="25F78D30" w14:textId="77777777" w:rsidR="00600DEE" w:rsidRDefault="00600DEE">
                  <w:pPr>
                    <w:rPr>
                      <w:rFonts w:ascii="Calibri" w:eastAsia="Calibri" w:hAnsi="Calibri" w:cs="Calibri"/>
                    </w:rPr>
                  </w:pPr>
                </w:p>
              </w:tc>
              <w:tc>
                <w:tcPr>
                  <w:tcW w:w="2004" w:type="dxa"/>
                  <w:tcBorders>
                    <w:top w:val="nil"/>
                    <w:left w:val="nil"/>
                    <w:bottom w:val="nil"/>
                    <w:right w:val="nil"/>
                  </w:tcBorders>
                  <w:shd w:val="clear" w:color="auto" w:fill="999999"/>
                </w:tcPr>
                <w:p w14:paraId="24F025B5" w14:textId="77777777" w:rsidR="00600DEE" w:rsidRDefault="00600DEE">
                  <w:pPr>
                    <w:rPr>
                      <w:rFonts w:ascii="Calibri" w:eastAsia="Calibri" w:hAnsi="Calibri" w:cs="Calibri"/>
                    </w:rPr>
                  </w:pPr>
                </w:p>
              </w:tc>
              <w:tc>
                <w:tcPr>
                  <w:tcW w:w="251" w:type="dxa"/>
                  <w:tcBorders>
                    <w:top w:val="nil"/>
                    <w:left w:val="nil"/>
                    <w:bottom w:val="nil"/>
                    <w:right w:val="nil"/>
                  </w:tcBorders>
                  <w:shd w:val="clear" w:color="auto" w:fill="999999"/>
                </w:tcPr>
                <w:p w14:paraId="2BE35E3B" w14:textId="77777777" w:rsidR="00600DEE" w:rsidRDefault="00600DEE">
                  <w:pPr>
                    <w:rPr>
                      <w:rFonts w:ascii="Calibri" w:eastAsia="Calibri" w:hAnsi="Calibri" w:cs="Calibri"/>
                    </w:rPr>
                  </w:pPr>
                </w:p>
              </w:tc>
            </w:tr>
            <w:tr w:rsidR="00600DEE" w14:paraId="6550D673" w14:textId="77777777" w:rsidTr="00E12F72">
              <w:trPr>
                <w:trHeight w:val="60"/>
              </w:trPr>
              <w:tc>
                <w:tcPr>
                  <w:tcW w:w="250" w:type="dxa"/>
                  <w:tcBorders>
                    <w:top w:val="nil"/>
                    <w:left w:val="nil"/>
                    <w:bottom w:val="nil"/>
                    <w:right w:val="nil"/>
                  </w:tcBorders>
                </w:tcPr>
                <w:p w14:paraId="1D1B3643" w14:textId="77777777" w:rsidR="00600DEE" w:rsidRDefault="00600DEE">
                  <w:pPr>
                    <w:rPr>
                      <w:rFonts w:ascii="Calibri" w:eastAsia="Calibri" w:hAnsi="Calibri" w:cs="Calibri"/>
                    </w:rPr>
                  </w:pPr>
                </w:p>
              </w:tc>
              <w:tc>
                <w:tcPr>
                  <w:tcW w:w="1450" w:type="dxa"/>
                  <w:tcBorders>
                    <w:top w:val="nil"/>
                    <w:left w:val="nil"/>
                    <w:bottom w:val="single" w:sz="8" w:space="0" w:color="000000"/>
                    <w:right w:val="nil"/>
                  </w:tcBorders>
                </w:tcPr>
                <w:p w14:paraId="37FD5F1D" w14:textId="77777777" w:rsidR="00600DEE" w:rsidRDefault="00600DEE">
                  <w:pPr>
                    <w:rPr>
                      <w:rFonts w:ascii="Calibri" w:eastAsia="Calibri" w:hAnsi="Calibri" w:cs="Calibri"/>
                    </w:rPr>
                  </w:pPr>
                </w:p>
              </w:tc>
              <w:tc>
                <w:tcPr>
                  <w:tcW w:w="422" w:type="dxa"/>
                  <w:tcBorders>
                    <w:top w:val="nil"/>
                    <w:left w:val="nil"/>
                    <w:bottom w:val="nil"/>
                    <w:right w:val="nil"/>
                  </w:tcBorders>
                </w:tcPr>
                <w:p w14:paraId="0E36ACE9" w14:textId="77777777" w:rsidR="00600DEE" w:rsidRDefault="00600DEE">
                  <w:pPr>
                    <w:rPr>
                      <w:rFonts w:ascii="Calibri" w:eastAsia="Calibri" w:hAnsi="Calibri" w:cs="Calibri"/>
                    </w:rPr>
                  </w:pPr>
                </w:p>
              </w:tc>
              <w:tc>
                <w:tcPr>
                  <w:tcW w:w="2385" w:type="dxa"/>
                  <w:tcBorders>
                    <w:top w:val="nil"/>
                    <w:left w:val="nil"/>
                    <w:bottom w:val="single" w:sz="8" w:space="0" w:color="000000"/>
                    <w:right w:val="nil"/>
                  </w:tcBorders>
                </w:tcPr>
                <w:p w14:paraId="62942429" w14:textId="77777777" w:rsidR="00600DEE" w:rsidRDefault="00600DEE">
                  <w:pPr>
                    <w:rPr>
                      <w:rFonts w:ascii="Calibri" w:eastAsia="Calibri" w:hAnsi="Calibri" w:cs="Calibri"/>
                    </w:rPr>
                  </w:pPr>
                </w:p>
              </w:tc>
              <w:tc>
                <w:tcPr>
                  <w:tcW w:w="562" w:type="dxa"/>
                  <w:tcBorders>
                    <w:top w:val="nil"/>
                    <w:left w:val="nil"/>
                    <w:bottom w:val="nil"/>
                    <w:right w:val="nil"/>
                  </w:tcBorders>
                </w:tcPr>
                <w:p w14:paraId="683C179A" w14:textId="77777777" w:rsidR="00600DEE" w:rsidRDefault="00600DEE">
                  <w:pPr>
                    <w:rPr>
                      <w:rFonts w:ascii="Calibri" w:eastAsia="Calibri" w:hAnsi="Calibri" w:cs="Calibri"/>
                    </w:rPr>
                  </w:pPr>
                </w:p>
              </w:tc>
              <w:tc>
                <w:tcPr>
                  <w:tcW w:w="2004" w:type="dxa"/>
                  <w:tcBorders>
                    <w:top w:val="nil"/>
                    <w:left w:val="nil"/>
                    <w:bottom w:val="single" w:sz="8" w:space="0" w:color="000000"/>
                    <w:right w:val="nil"/>
                  </w:tcBorders>
                </w:tcPr>
                <w:p w14:paraId="64625F90" w14:textId="77777777" w:rsidR="00600DEE" w:rsidRDefault="00600DEE">
                  <w:pPr>
                    <w:rPr>
                      <w:rFonts w:ascii="Calibri" w:eastAsia="Calibri" w:hAnsi="Calibri" w:cs="Calibri"/>
                    </w:rPr>
                  </w:pPr>
                </w:p>
              </w:tc>
              <w:tc>
                <w:tcPr>
                  <w:tcW w:w="251" w:type="dxa"/>
                  <w:tcBorders>
                    <w:top w:val="nil"/>
                    <w:left w:val="nil"/>
                    <w:bottom w:val="nil"/>
                    <w:right w:val="nil"/>
                  </w:tcBorders>
                </w:tcPr>
                <w:p w14:paraId="2CF8F161" w14:textId="77777777" w:rsidR="00600DEE" w:rsidRDefault="00600DEE">
                  <w:pPr>
                    <w:rPr>
                      <w:rFonts w:ascii="Calibri" w:eastAsia="Calibri" w:hAnsi="Calibri" w:cs="Calibri"/>
                    </w:rPr>
                  </w:pPr>
                </w:p>
              </w:tc>
            </w:tr>
            <w:tr w:rsidR="00600DEE" w14:paraId="38EE5C3D" w14:textId="77777777" w:rsidTr="00E12F72">
              <w:trPr>
                <w:trHeight w:val="303"/>
              </w:trPr>
              <w:tc>
                <w:tcPr>
                  <w:tcW w:w="250" w:type="dxa"/>
                  <w:tcBorders>
                    <w:right w:val="single" w:sz="8" w:space="0" w:color="000000"/>
                  </w:tcBorders>
                  <w:vAlign w:val="center"/>
                </w:tcPr>
                <w:p w14:paraId="693FED2A" w14:textId="77777777" w:rsidR="00600DEE" w:rsidRDefault="00600DEE">
                  <w:pPr>
                    <w:jc w:val="center"/>
                    <w:rPr>
                      <w:rFonts w:ascii="Calibri" w:eastAsia="Calibri" w:hAnsi="Calibri" w:cs="Calibri"/>
                      <w:b/>
                      <w:color w:val="366091"/>
                      <w:sz w:val="18"/>
                      <w:szCs w:val="18"/>
                    </w:rPr>
                  </w:pPr>
                </w:p>
              </w:tc>
              <w:tc>
                <w:tcPr>
                  <w:tcW w:w="1450" w:type="dxa"/>
                  <w:tcBorders>
                    <w:top w:val="single" w:sz="8" w:space="0" w:color="000000"/>
                    <w:left w:val="single" w:sz="8" w:space="0" w:color="000000"/>
                    <w:bottom w:val="single" w:sz="8" w:space="0" w:color="000000"/>
                    <w:right w:val="single" w:sz="8" w:space="0" w:color="000000"/>
                  </w:tcBorders>
                  <w:vAlign w:val="center"/>
                </w:tcPr>
                <w:p w14:paraId="547A59F8"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 Etapy AKK </w:t>
                  </w:r>
                </w:p>
              </w:tc>
              <w:tc>
                <w:tcPr>
                  <w:tcW w:w="422" w:type="dxa"/>
                  <w:tcBorders>
                    <w:left w:val="single" w:sz="8" w:space="0" w:color="000000"/>
                    <w:right w:val="single" w:sz="8" w:space="0" w:color="000000"/>
                  </w:tcBorders>
                  <w:vAlign w:val="center"/>
                </w:tcPr>
                <w:p w14:paraId="74DA66A4" w14:textId="77777777" w:rsidR="00600DEE" w:rsidRDefault="00600DEE">
                  <w:pPr>
                    <w:jc w:val="center"/>
                    <w:rPr>
                      <w:rFonts w:ascii="Calibri" w:eastAsia="Calibri" w:hAnsi="Calibri" w:cs="Calibri"/>
                      <w:b/>
                      <w:color w:val="366091"/>
                      <w:sz w:val="18"/>
                      <w:szCs w:val="18"/>
                    </w:rPr>
                  </w:pPr>
                </w:p>
              </w:tc>
              <w:tc>
                <w:tcPr>
                  <w:tcW w:w="2385" w:type="dxa"/>
                  <w:tcBorders>
                    <w:top w:val="single" w:sz="8" w:space="0" w:color="000000"/>
                    <w:left w:val="single" w:sz="8" w:space="0" w:color="000000"/>
                    <w:bottom w:val="single" w:sz="8" w:space="0" w:color="000000"/>
                    <w:right w:val="single" w:sz="8" w:space="0" w:color="000000"/>
                  </w:tcBorders>
                  <w:vAlign w:val="center"/>
                </w:tcPr>
                <w:p w14:paraId="79A0A2D4"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Działania </w:t>
                  </w:r>
                </w:p>
              </w:tc>
              <w:tc>
                <w:tcPr>
                  <w:tcW w:w="562" w:type="dxa"/>
                  <w:tcBorders>
                    <w:left w:val="single" w:sz="8" w:space="0" w:color="000000"/>
                    <w:right w:val="single" w:sz="8" w:space="0" w:color="000000"/>
                  </w:tcBorders>
                  <w:vAlign w:val="center"/>
                </w:tcPr>
                <w:p w14:paraId="22938598" w14:textId="77777777" w:rsidR="00600DEE" w:rsidRDefault="00600DEE">
                  <w:pPr>
                    <w:jc w:val="center"/>
                    <w:rPr>
                      <w:rFonts w:ascii="Calibri" w:eastAsia="Calibri" w:hAnsi="Calibri" w:cs="Calibri"/>
                      <w:b/>
                      <w:color w:val="366091"/>
                      <w:sz w:val="18"/>
                      <w:szCs w:val="18"/>
                    </w:rPr>
                  </w:pPr>
                </w:p>
              </w:tc>
              <w:tc>
                <w:tcPr>
                  <w:tcW w:w="2004" w:type="dxa"/>
                  <w:tcBorders>
                    <w:top w:val="single" w:sz="8" w:space="0" w:color="000000"/>
                    <w:left w:val="single" w:sz="8" w:space="0" w:color="000000"/>
                    <w:bottom w:val="single" w:sz="8" w:space="0" w:color="000000"/>
                    <w:right w:val="single" w:sz="8" w:space="0" w:color="000000"/>
                  </w:tcBorders>
                  <w:vAlign w:val="center"/>
                </w:tcPr>
                <w:p w14:paraId="1078E553"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Rezultaty </w:t>
                  </w:r>
                </w:p>
              </w:tc>
              <w:tc>
                <w:tcPr>
                  <w:tcW w:w="251" w:type="dxa"/>
                  <w:tcBorders>
                    <w:left w:val="single" w:sz="8" w:space="0" w:color="000000"/>
                  </w:tcBorders>
                  <w:vAlign w:val="center"/>
                </w:tcPr>
                <w:p w14:paraId="0902511C" w14:textId="77777777" w:rsidR="00600DEE" w:rsidRDefault="00600DEE">
                  <w:pPr>
                    <w:jc w:val="center"/>
                    <w:rPr>
                      <w:rFonts w:ascii="Calibri" w:eastAsia="Calibri" w:hAnsi="Calibri" w:cs="Calibri"/>
                      <w:color w:val="4F81BD"/>
                      <w:sz w:val="18"/>
                      <w:szCs w:val="18"/>
                    </w:rPr>
                  </w:pPr>
                </w:p>
              </w:tc>
            </w:tr>
            <w:tr w:rsidR="00600DEE" w14:paraId="55D1B4F2" w14:textId="77777777" w:rsidTr="00E12F72">
              <w:trPr>
                <w:trHeight w:val="60"/>
              </w:trPr>
              <w:tc>
                <w:tcPr>
                  <w:tcW w:w="250" w:type="dxa"/>
                  <w:tcBorders>
                    <w:bottom w:val="single" w:sz="8" w:space="0" w:color="000000"/>
                  </w:tcBorders>
                </w:tcPr>
                <w:p w14:paraId="2B556B6D" w14:textId="77777777" w:rsidR="00600DEE" w:rsidRDefault="00600DEE">
                  <w:pPr>
                    <w:rPr>
                      <w:rFonts w:ascii="Calibri" w:eastAsia="Calibri" w:hAnsi="Calibri" w:cs="Calibri"/>
                    </w:rPr>
                  </w:pPr>
                </w:p>
              </w:tc>
              <w:tc>
                <w:tcPr>
                  <w:tcW w:w="1450" w:type="dxa"/>
                  <w:tcBorders>
                    <w:top w:val="single" w:sz="8" w:space="0" w:color="000000"/>
                    <w:bottom w:val="single" w:sz="8" w:space="0" w:color="000000"/>
                  </w:tcBorders>
                </w:tcPr>
                <w:p w14:paraId="0706F138" w14:textId="77777777" w:rsidR="00600DEE" w:rsidRDefault="00600DEE">
                  <w:pPr>
                    <w:rPr>
                      <w:rFonts w:ascii="Calibri" w:eastAsia="Calibri" w:hAnsi="Calibri" w:cs="Calibri"/>
                    </w:rPr>
                  </w:pPr>
                </w:p>
              </w:tc>
              <w:tc>
                <w:tcPr>
                  <w:tcW w:w="422" w:type="dxa"/>
                  <w:tcBorders>
                    <w:bottom w:val="single" w:sz="8" w:space="0" w:color="000000"/>
                  </w:tcBorders>
                </w:tcPr>
                <w:p w14:paraId="3060A2CC" w14:textId="77777777" w:rsidR="00600DEE" w:rsidRDefault="00600DEE">
                  <w:pPr>
                    <w:rPr>
                      <w:rFonts w:ascii="Calibri" w:eastAsia="Calibri" w:hAnsi="Calibri" w:cs="Calibri"/>
                    </w:rPr>
                  </w:pPr>
                </w:p>
              </w:tc>
              <w:tc>
                <w:tcPr>
                  <w:tcW w:w="2385" w:type="dxa"/>
                  <w:tcBorders>
                    <w:top w:val="single" w:sz="8" w:space="0" w:color="000000"/>
                    <w:bottom w:val="single" w:sz="8" w:space="0" w:color="000000"/>
                  </w:tcBorders>
                </w:tcPr>
                <w:p w14:paraId="06524175" w14:textId="77777777" w:rsidR="00600DEE" w:rsidRDefault="00600DEE">
                  <w:pPr>
                    <w:rPr>
                      <w:rFonts w:ascii="Calibri" w:eastAsia="Calibri" w:hAnsi="Calibri" w:cs="Calibri"/>
                    </w:rPr>
                  </w:pPr>
                </w:p>
              </w:tc>
              <w:tc>
                <w:tcPr>
                  <w:tcW w:w="562" w:type="dxa"/>
                  <w:tcBorders>
                    <w:bottom w:val="single" w:sz="8" w:space="0" w:color="000000"/>
                  </w:tcBorders>
                </w:tcPr>
                <w:p w14:paraId="1CA5D4B6" w14:textId="77777777" w:rsidR="00600DEE" w:rsidRDefault="00600DEE">
                  <w:pPr>
                    <w:rPr>
                      <w:rFonts w:ascii="Calibri" w:eastAsia="Calibri" w:hAnsi="Calibri" w:cs="Calibri"/>
                    </w:rPr>
                  </w:pPr>
                </w:p>
              </w:tc>
              <w:tc>
                <w:tcPr>
                  <w:tcW w:w="2004" w:type="dxa"/>
                  <w:tcBorders>
                    <w:top w:val="single" w:sz="8" w:space="0" w:color="000000"/>
                    <w:bottom w:val="single" w:sz="8" w:space="0" w:color="000000"/>
                  </w:tcBorders>
                </w:tcPr>
                <w:p w14:paraId="20DE0E3B" w14:textId="77777777" w:rsidR="00600DEE" w:rsidRDefault="00600DEE">
                  <w:pPr>
                    <w:rPr>
                      <w:rFonts w:ascii="Calibri" w:eastAsia="Calibri" w:hAnsi="Calibri" w:cs="Calibri"/>
                    </w:rPr>
                  </w:pPr>
                </w:p>
              </w:tc>
              <w:tc>
                <w:tcPr>
                  <w:tcW w:w="251" w:type="dxa"/>
                  <w:tcBorders>
                    <w:bottom w:val="single" w:sz="8" w:space="0" w:color="000000"/>
                  </w:tcBorders>
                </w:tcPr>
                <w:p w14:paraId="01D4A52F" w14:textId="77777777" w:rsidR="00600DEE" w:rsidRDefault="00600DEE">
                  <w:pPr>
                    <w:rPr>
                      <w:rFonts w:ascii="Calibri" w:eastAsia="Calibri" w:hAnsi="Calibri" w:cs="Calibri"/>
                    </w:rPr>
                  </w:pPr>
                </w:p>
              </w:tc>
            </w:tr>
            <w:tr w:rsidR="00600DEE" w14:paraId="17AFE288" w14:textId="77777777" w:rsidTr="00023AC0">
              <w:trPr>
                <w:trHeight w:hRule="exact" w:val="340"/>
              </w:trPr>
              <w:tc>
                <w:tcPr>
                  <w:tcW w:w="250" w:type="dxa"/>
                  <w:tcBorders>
                    <w:top w:val="single" w:sz="8" w:space="0" w:color="000000"/>
                    <w:left w:val="single" w:sz="8" w:space="0" w:color="000000"/>
                    <w:bottom w:val="single" w:sz="8" w:space="0" w:color="000000"/>
                  </w:tcBorders>
                  <w:shd w:val="clear" w:color="auto" w:fill="DBE5F1"/>
                  <w:vAlign w:val="center"/>
                </w:tcPr>
                <w:p w14:paraId="4929A625" w14:textId="77777777" w:rsidR="00600DEE" w:rsidRDefault="00600DEE">
                  <w:pPr>
                    <w:jc w:val="center"/>
                    <w:rPr>
                      <w:rFonts w:ascii="Calibri" w:eastAsia="Calibri" w:hAnsi="Calibri" w:cs="Calibri"/>
                      <w:b/>
                    </w:rPr>
                  </w:pPr>
                </w:p>
              </w:tc>
              <w:tc>
                <w:tcPr>
                  <w:tcW w:w="1450" w:type="dxa"/>
                  <w:tcBorders>
                    <w:top w:val="single" w:sz="8" w:space="0" w:color="000000"/>
                    <w:bottom w:val="single" w:sz="8" w:space="0" w:color="000000"/>
                  </w:tcBorders>
                  <w:shd w:val="clear" w:color="auto" w:fill="DBE5F1"/>
                  <w:vAlign w:val="center"/>
                </w:tcPr>
                <w:p w14:paraId="5DD7BF0B" w14:textId="77777777" w:rsidR="00600DEE" w:rsidRDefault="00600DEE">
                  <w:pPr>
                    <w:jc w:val="center"/>
                    <w:rPr>
                      <w:rFonts w:ascii="Calibri" w:eastAsia="Calibri" w:hAnsi="Calibri" w:cs="Calibri"/>
                      <w:b/>
                    </w:rPr>
                  </w:pPr>
                </w:p>
              </w:tc>
              <w:tc>
                <w:tcPr>
                  <w:tcW w:w="422" w:type="dxa"/>
                  <w:tcBorders>
                    <w:top w:val="single" w:sz="8" w:space="0" w:color="000000"/>
                    <w:bottom w:val="single" w:sz="8" w:space="0" w:color="000000"/>
                  </w:tcBorders>
                  <w:shd w:val="clear" w:color="auto" w:fill="DBE5F1"/>
                  <w:vAlign w:val="center"/>
                </w:tcPr>
                <w:p w14:paraId="38C8EE86" w14:textId="77777777" w:rsidR="00600DEE" w:rsidRDefault="00600DEE">
                  <w:pPr>
                    <w:jc w:val="center"/>
                    <w:rPr>
                      <w:rFonts w:ascii="Calibri" w:eastAsia="Calibri" w:hAnsi="Calibri" w:cs="Calibri"/>
                    </w:rPr>
                  </w:pPr>
                </w:p>
              </w:tc>
              <w:tc>
                <w:tcPr>
                  <w:tcW w:w="2385" w:type="dxa"/>
                  <w:tcBorders>
                    <w:top w:val="single" w:sz="8" w:space="0" w:color="000000"/>
                    <w:bottom w:val="single" w:sz="8" w:space="0" w:color="000000"/>
                  </w:tcBorders>
                  <w:shd w:val="clear" w:color="auto" w:fill="DBE5F1"/>
                  <w:vAlign w:val="center"/>
                </w:tcPr>
                <w:p w14:paraId="0F73693E" w14:textId="77777777" w:rsidR="00600DEE" w:rsidRDefault="00641FB5">
                  <w:pPr>
                    <w:jc w:val="center"/>
                    <w:rPr>
                      <w:rFonts w:ascii="Calibri" w:eastAsia="Calibri" w:hAnsi="Calibri" w:cs="Calibri"/>
                      <w:b/>
                      <w:sz w:val="22"/>
                      <w:szCs w:val="22"/>
                    </w:rPr>
                  </w:pPr>
                  <w:r>
                    <w:rPr>
                      <w:rFonts w:ascii="Calibri" w:eastAsia="Calibri" w:hAnsi="Calibri" w:cs="Calibri"/>
                      <w:b/>
                      <w:sz w:val="22"/>
                      <w:szCs w:val="22"/>
                    </w:rPr>
                    <w:t>Faza I</w:t>
                  </w:r>
                </w:p>
              </w:tc>
              <w:tc>
                <w:tcPr>
                  <w:tcW w:w="562" w:type="dxa"/>
                  <w:tcBorders>
                    <w:top w:val="single" w:sz="8" w:space="0" w:color="000000"/>
                    <w:bottom w:val="single" w:sz="8" w:space="0" w:color="000000"/>
                  </w:tcBorders>
                  <w:shd w:val="clear" w:color="auto" w:fill="DBE5F1"/>
                  <w:vAlign w:val="center"/>
                </w:tcPr>
                <w:p w14:paraId="59992BD7" w14:textId="77777777" w:rsidR="00600DEE" w:rsidRDefault="00600DEE">
                  <w:pPr>
                    <w:jc w:val="center"/>
                    <w:rPr>
                      <w:rFonts w:ascii="Calibri" w:eastAsia="Calibri" w:hAnsi="Calibri" w:cs="Calibri"/>
                    </w:rPr>
                  </w:pPr>
                </w:p>
              </w:tc>
              <w:tc>
                <w:tcPr>
                  <w:tcW w:w="2004" w:type="dxa"/>
                  <w:tcBorders>
                    <w:top w:val="single" w:sz="8" w:space="0" w:color="000000"/>
                    <w:bottom w:val="single" w:sz="8" w:space="0" w:color="000000"/>
                  </w:tcBorders>
                  <w:shd w:val="clear" w:color="auto" w:fill="DBE5F1"/>
                  <w:vAlign w:val="center"/>
                </w:tcPr>
                <w:p w14:paraId="6433B969" w14:textId="77777777" w:rsidR="00600DEE" w:rsidRDefault="00600DEE">
                  <w:pPr>
                    <w:jc w:val="center"/>
                    <w:rPr>
                      <w:rFonts w:ascii="Calibri" w:eastAsia="Calibri" w:hAnsi="Calibri" w:cs="Calibri"/>
                    </w:rPr>
                  </w:pPr>
                </w:p>
              </w:tc>
              <w:tc>
                <w:tcPr>
                  <w:tcW w:w="251" w:type="dxa"/>
                  <w:tcBorders>
                    <w:top w:val="single" w:sz="8" w:space="0" w:color="000000"/>
                    <w:bottom w:val="single" w:sz="8" w:space="0" w:color="000000"/>
                    <w:right w:val="single" w:sz="8" w:space="0" w:color="000000"/>
                  </w:tcBorders>
                  <w:shd w:val="clear" w:color="auto" w:fill="DBE5F1"/>
                  <w:vAlign w:val="center"/>
                </w:tcPr>
                <w:p w14:paraId="2F5CD6F9" w14:textId="77777777" w:rsidR="00600DEE" w:rsidRDefault="00600DEE">
                  <w:pPr>
                    <w:jc w:val="center"/>
                    <w:rPr>
                      <w:rFonts w:ascii="Calibri" w:eastAsia="Calibri" w:hAnsi="Calibri" w:cs="Calibri"/>
                    </w:rPr>
                  </w:pPr>
                </w:p>
              </w:tc>
            </w:tr>
            <w:tr w:rsidR="00600DEE" w14:paraId="68C7B528" w14:textId="77777777" w:rsidTr="00E12F72">
              <w:trPr>
                <w:trHeight w:val="60"/>
              </w:trPr>
              <w:tc>
                <w:tcPr>
                  <w:tcW w:w="250" w:type="dxa"/>
                  <w:tcBorders>
                    <w:top w:val="single" w:sz="8" w:space="0" w:color="000000"/>
                  </w:tcBorders>
                </w:tcPr>
                <w:p w14:paraId="5192273D" w14:textId="77777777" w:rsidR="00600DEE" w:rsidRDefault="00600DEE">
                  <w:pPr>
                    <w:rPr>
                      <w:rFonts w:ascii="Calibri" w:eastAsia="Calibri" w:hAnsi="Calibri" w:cs="Calibri"/>
                      <w:b/>
                    </w:rPr>
                  </w:pPr>
                </w:p>
              </w:tc>
              <w:tc>
                <w:tcPr>
                  <w:tcW w:w="1450" w:type="dxa"/>
                  <w:tcBorders>
                    <w:top w:val="single" w:sz="8" w:space="0" w:color="000000"/>
                  </w:tcBorders>
                </w:tcPr>
                <w:p w14:paraId="6EF832F6" w14:textId="77777777" w:rsidR="00600DEE" w:rsidRDefault="00600DEE">
                  <w:pPr>
                    <w:rPr>
                      <w:rFonts w:ascii="Calibri" w:eastAsia="Calibri" w:hAnsi="Calibri" w:cs="Calibri"/>
                      <w:b/>
                    </w:rPr>
                  </w:pPr>
                </w:p>
              </w:tc>
              <w:tc>
                <w:tcPr>
                  <w:tcW w:w="422" w:type="dxa"/>
                  <w:tcBorders>
                    <w:top w:val="single" w:sz="8" w:space="0" w:color="000000"/>
                  </w:tcBorders>
                </w:tcPr>
                <w:p w14:paraId="42C80579" w14:textId="77777777" w:rsidR="00600DEE" w:rsidRDefault="00600DEE">
                  <w:pPr>
                    <w:rPr>
                      <w:rFonts w:ascii="Calibri" w:eastAsia="Calibri" w:hAnsi="Calibri" w:cs="Calibri"/>
                    </w:rPr>
                  </w:pPr>
                </w:p>
              </w:tc>
              <w:tc>
                <w:tcPr>
                  <w:tcW w:w="2385" w:type="dxa"/>
                  <w:tcBorders>
                    <w:top w:val="single" w:sz="8" w:space="0" w:color="000000"/>
                  </w:tcBorders>
                </w:tcPr>
                <w:p w14:paraId="0E86C169" w14:textId="77777777" w:rsidR="00600DEE" w:rsidRDefault="00600DEE">
                  <w:pPr>
                    <w:rPr>
                      <w:rFonts w:ascii="Calibri" w:eastAsia="Calibri" w:hAnsi="Calibri" w:cs="Calibri"/>
                    </w:rPr>
                  </w:pPr>
                </w:p>
              </w:tc>
              <w:tc>
                <w:tcPr>
                  <w:tcW w:w="562" w:type="dxa"/>
                  <w:tcBorders>
                    <w:top w:val="single" w:sz="8" w:space="0" w:color="000000"/>
                  </w:tcBorders>
                </w:tcPr>
                <w:p w14:paraId="62B69370" w14:textId="77777777" w:rsidR="00600DEE" w:rsidRDefault="00600DEE">
                  <w:pPr>
                    <w:rPr>
                      <w:rFonts w:ascii="Calibri" w:eastAsia="Calibri" w:hAnsi="Calibri" w:cs="Calibri"/>
                    </w:rPr>
                  </w:pPr>
                </w:p>
              </w:tc>
              <w:tc>
                <w:tcPr>
                  <w:tcW w:w="2004" w:type="dxa"/>
                  <w:tcBorders>
                    <w:top w:val="single" w:sz="8" w:space="0" w:color="000000"/>
                  </w:tcBorders>
                </w:tcPr>
                <w:p w14:paraId="114315AB" w14:textId="77777777" w:rsidR="00600DEE" w:rsidRDefault="00600DEE">
                  <w:pPr>
                    <w:rPr>
                      <w:rFonts w:ascii="Calibri" w:eastAsia="Calibri" w:hAnsi="Calibri" w:cs="Calibri"/>
                    </w:rPr>
                  </w:pPr>
                </w:p>
              </w:tc>
              <w:tc>
                <w:tcPr>
                  <w:tcW w:w="251" w:type="dxa"/>
                  <w:tcBorders>
                    <w:top w:val="single" w:sz="8" w:space="0" w:color="000000"/>
                  </w:tcBorders>
                </w:tcPr>
                <w:p w14:paraId="55A2FCC3" w14:textId="77777777" w:rsidR="00600DEE" w:rsidRDefault="00600DEE">
                  <w:pPr>
                    <w:rPr>
                      <w:rFonts w:ascii="Calibri" w:eastAsia="Calibri" w:hAnsi="Calibri" w:cs="Calibri"/>
                    </w:rPr>
                  </w:pPr>
                </w:p>
              </w:tc>
            </w:tr>
            <w:tr w:rsidR="00600DEE" w14:paraId="01BCDE3D" w14:textId="77777777" w:rsidTr="00E12F72">
              <w:trPr>
                <w:trHeight w:val="2689"/>
              </w:trPr>
              <w:tc>
                <w:tcPr>
                  <w:tcW w:w="250" w:type="dxa"/>
                </w:tcPr>
                <w:p w14:paraId="507DA416" w14:textId="77777777" w:rsidR="00600DEE" w:rsidRDefault="00600DEE">
                  <w:pPr>
                    <w:rPr>
                      <w:rFonts w:ascii="Calibri" w:eastAsia="Calibri" w:hAnsi="Calibri" w:cs="Calibri"/>
                      <w:b/>
                    </w:rPr>
                  </w:pPr>
                </w:p>
              </w:tc>
              <w:tc>
                <w:tcPr>
                  <w:tcW w:w="1450" w:type="dxa"/>
                  <w:shd w:val="clear" w:color="auto" w:fill="F2F2F2"/>
                  <w:vAlign w:val="center"/>
                </w:tcPr>
                <w:p w14:paraId="7F0CB0B0"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Przygotowanie danych</w:t>
                  </w:r>
                </w:p>
                <w:p w14:paraId="24E341D5"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 xml:space="preserve">wejściowych, </w:t>
                  </w:r>
                </w:p>
                <w:p w14:paraId="3D613F74" w14:textId="77777777" w:rsidR="00600DEE" w:rsidRDefault="00641FB5">
                  <w:pPr>
                    <w:ind w:right="170"/>
                    <w:rPr>
                      <w:rFonts w:ascii="Calibri" w:eastAsia="Calibri" w:hAnsi="Calibri" w:cs="Calibri"/>
                      <w:b/>
                    </w:rPr>
                  </w:pPr>
                  <w:r>
                    <w:rPr>
                      <w:rFonts w:ascii="Calibri" w:eastAsia="Calibri" w:hAnsi="Calibri" w:cs="Calibri"/>
                      <w:b/>
                      <w:sz w:val="16"/>
                      <w:szCs w:val="16"/>
                    </w:rPr>
                    <w:t xml:space="preserve">Identyfikacja celów projektu oraz wybór wariantu/ów dla celów </w:t>
                  </w:r>
                  <w:r>
                    <w:rPr>
                      <w:rFonts w:ascii="Calibri" w:eastAsia="Calibri" w:hAnsi="Calibri" w:cs="Calibri"/>
                      <w:b/>
                    </w:rPr>
                    <w:br/>
                  </w:r>
                  <w:r>
                    <w:rPr>
                      <w:rFonts w:ascii="Calibri" w:eastAsia="Calibri" w:hAnsi="Calibri" w:cs="Calibri"/>
                      <w:b/>
                      <w:sz w:val="16"/>
                      <w:szCs w:val="16"/>
                    </w:rPr>
                    <w:t xml:space="preserve">analizy kosztów </w:t>
                  </w:r>
                  <w:r>
                    <w:rPr>
                      <w:rFonts w:ascii="Calibri" w:eastAsia="Calibri" w:hAnsi="Calibri" w:cs="Calibri"/>
                      <w:b/>
                      <w:sz w:val="16"/>
                      <w:szCs w:val="16"/>
                    </w:rPr>
                    <w:br/>
                    <w:t>i korzyści</w:t>
                  </w:r>
                </w:p>
              </w:tc>
              <w:tc>
                <w:tcPr>
                  <w:tcW w:w="422" w:type="dxa"/>
                </w:tcPr>
                <w:p w14:paraId="56CC0C06"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09440" behindDoc="0" locked="0" layoutInCell="1" hidden="0" allowOverlap="1" wp14:anchorId="2BAB12B6" wp14:editId="5CF9A323">
                            <wp:simplePos x="0" y="0"/>
                            <wp:positionH relativeFrom="column">
                              <wp:posOffset>-25399</wp:posOffset>
                            </wp:positionH>
                            <wp:positionV relativeFrom="paragraph">
                              <wp:posOffset>342900</wp:posOffset>
                            </wp:positionV>
                            <wp:extent cx="263000" cy="248600"/>
                            <wp:effectExtent l="0" t="0" r="0" b="0"/>
                            <wp:wrapNone/>
                            <wp:docPr id="473" name="Strzałka: w prawo 473"/>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76F9021D"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type w14:anchorId="2BAB12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73" o:spid="_x0000_s1050" type="#_x0000_t13" style="position:absolute;margin-left:-2pt;margin-top:27pt;width:20.7pt;height:19.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" adj="11455" fillcolor="#dae5f1" strokecolor="#93b3d7" strokeweight="2pt">
                            <v:stroke startarrowwidth="narrow" startarrowlength="short" endarrowwidth="narrow" endarrowlength="short" joinstyle="round"/>
                            <v:textbox inset="2.53958mm,2.53958mm,2.53958mm,2.53958mm">
                              <w:txbxContent>
                                <w:p w14:paraId="76F9021D" w14:textId="77777777" w:rsidR="007463B9" w:rsidRDefault="007463B9">
                                  <w:pPr>
                                    <w:textDirection w:val="btLr"/>
                                  </w:pPr>
                                </w:p>
                              </w:txbxContent>
                            </v:textbox>
                          </v:shape>
                        </w:pict>
                      </mc:Fallback>
                    </mc:AlternateContent>
                  </w:r>
                </w:p>
              </w:tc>
              <w:tc>
                <w:tcPr>
                  <w:tcW w:w="2385" w:type="dxa"/>
                  <w:vAlign w:val="center"/>
                </w:tcPr>
                <w:p w14:paraId="6CF61593" w14:textId="77777777" w:rsidR="00600DEE" w:rsidRDefault="00641FB5">
                  <w:pPr>
                    <w:rPr>
                      <w:rFonts w:ascii="Calibri" w:eastAsia="Calibri" w:hAnsi="Calibri" w:cs="Calibri"/>
                      <w:sz w:val="13"/>
                      <w:szCs w:val="13"/>
                    </w:rPr>
                  </w:pPr>
                  <w:r>
                    <w:rPr>
                      <w:rFonts w:ascii="Calibri" w:eastAsia="Calibri" w:hAnsi="Calibri" w:cs="Calibri"/>
                      <w:sz w:val="13"/>
                      <w:szCs w:val="13"/>
                    </w:rPr>
                    <w:t>- Kontekst strategiczny</w:t>
                  </w:r>
                </w:p>
                <w:p w14:paraId="37A6889C" w14:textId="77777777" w:rsidR="00600DEE" w:rsidRDefault="00641FB5">
                  <w:pPr>
                    <w:rPr>
                      <w:rFonts w:ascii="Calibri" w:eastAsia="Calibri" w:hAnsi="Calibri" w:cs="Calibri"/>
                      <w:sz w:val="13"/>
                      <w:szCs w:val="13"/>
                    </w:rPr>
                  </w:pPr>
                  <w:r>
                    <w:rPr>
                      <w:rFonts w:ascii="Calibri" w:eastAsia="Calibri" w:hAnsi="Calibri" w:cs="Calibri"/>
                      <w:sz w:val="13"/>
                      <w:szCs w:val="13"/>
                    </w:rPr>
                    <w:t>- Podsumowanie wcześniejszych prac studialnych</w:t>
                  </w:r>
                </w:p>
                <w:p w14:paraId="0AD3AB35" w14:textId="77777777" w:rsidR="00600DEE" w:rsidRDefault="00641FB5">
                  <w:pPr>
                    <w:rPr>
                      <w:rFonts w:ascii="Calibri" w:eastAsia="Calibri" w:hAnsi="Calibri" w:cs="Calibri"/>
                      <w:sz w:val="13"/>
                      <w:szCs w:val="13"/>
                    </w:rPr>
                  </w:pPr>
                  <w:r>
                    <w:rPr>
                      <w:rFonts w:ascii="Calibri" w:eastAsia="Calibri" w:hAnsi="Calibri" w:cs="Calibri"/>
                      <w:sz w:val="13"/>
                      <w:szCs w:val="13"/>
                    </w:rPr>
                    <w:t>- Stan istniejący</w:t>
                  </w:r>
                </w:p>
                <w:p w14:paraId="755BBE42" w14:textId="77777777" w:rsidR="00600DEE" w:rsidRDefault="00641FB5">
                  <w:pPr>
                    <w:rPr>
                      <w:rFonts w:ascii="Calibri" w:eastAsia="Calibri" w:hAnsi="Calibri" w:cs="Calibri"/>
                      <w:sz w:val="13"/>
                      <w:szCs w:val="13"/>
                    </w:rPr>
                  </w:pPr>
                  <w:r>
                    <w:rPr>
                      <w:rFonts w:ascii="Calibri" w:eastAsia="Calibri" w:hAnsi="Calibri" w:cs="Calibri"/>
                      <w:sz w:val="13"/>
                      <w:szCs w:val="13"/>
                    </w:rPr>
                    <w:t>- Cele projektu zgodne ze strategią</w:t>
                  </w:r>
                </w:p>
                <w:p w14:paraId="5B9ED80B" w14:textId="77777777" w:rsidR="00600DEE" w:rsidRDefault="00641FB5">
                  <w:pPr>
                    <w:rPr>
                      <w:rFonts w:ascii="Calibri" w:eastAsia="Calibri" w:hAnsi="Calibri" w:cs="Calibri"/>
                      <w:sz w:val="13"/>
                      <w:szCs w:val="13"/>
                    </w:rPr>
                  </w:pPr>
                  <w:r>
                    <w:rPr>
                      <w:rFonts w:ascii="Calibri" w:eastAsia="Calibri" w:hAnsi="Calibri" w:cs="Calibri"/>
                      <w:sz w:val="13"/>
                      <w:szCs w:val="13"/>
                    </w:rPr>
                    <w:t>– Identyfikacja/ Wybór wariantów projektu/Analiza wariantów strategicznych/technicznych (jeżeli dotyczy)</w:t>
                  </w:r>
                </w:p>
                <w:p w14:paraId="77D317C0"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Określenie wariantu bezinwestycyjnego</w:t>
                  </w:r>
                </w:p>
                <w:p w14:paraId="78432751" w14:textId="77777777" w:rsidR="00600DEE" w:rsidRDefault="00641FB5">
                  <w:pPr>
                    <w:rPr>
                      <w:rFonts w:ascii="Calibri" w:eastAsia="Calibri" w:hAnsi="Calibri" w:cs="Calibri"/>
                      <w:sz w:val="13"/>
                      <w:szCs w:val="13"/>
                    </w:rPr>
                  </w:pPr>
                  <w:r>
                    <w:rPr>
                      <w:rFonts w:ascii="Calibri" w:eastAsia="Calibri" w:hAnsi="Calibri" w:cs="Calibri"/>
                      <w:sz w:val="13"/>
                      <w:szCs w:val="13"/>
                    </w:rPr>
                    <w:t>- Określenie okresu referencyjnego</w:t>
                  </w:r>
                </w:p>
                <w:p w14:paraId="43485752" w14:textId="77777777" w:rsidR="00600DEE" w:rsidRDefault="00641FB5">
                  <w:pPr>
                    <w:rPr>
                      <w:rFonts w:ascii="Calibri" w:eastAsia="Calibri" w:hAnsi="Calibri" w:cs="Calibri"/>
                      <w:sz w:val="13"/>
                      <w:szCs w:val="13"/>
                    </w:rPr>
                  </w:pPr>
                  <w:r>
                    <w:rPr>
                      <w:rFonts w:ascii="Calibri" w:eastAsia="Calibri" w:hAnsi="Calibri" w:cs="Calibri"/>
                      <w:sz w:val="13"/>
                      <w:szCs w:val="13"/>
                    </w:rPr>
                    <w:t>- Przygotowanie wskaźników makroekonomicznych</w:t>
                  </w:r>
                </w:p>
                <w:p w14:paraId="494AB93C" w14:textId="77777777" w:rsidR="00600DEE" w:rsidRDefault="00641FB5">
                  <w:pPr>
                    <w:rPr>
                      <w:rFonts w:ascii="Calibri" w:eastAsia="Calibri" w:hAnsi="Calibri" w:cs="Calibri"/>
                      <w:sz w:val="13"/>
                      <w:szCs w:val="13"/>
                    </w:rPr>
                  </w:pPr>
                  <w:r>
                    <w:rPr>
                      <w:rFonts w:ascii="Calibri" w:eastAsia="Calibri" w:hAnsi="Calibri" w:cs="Calibri"/>
                      <w:sz w:val="13"/>
                      <w:szCs w:val="13"/>
                    </w:rPr>
                    <w:t>- Prognoza ruchu</w:t>
                  </w:r>
                </w:p>
                <w:p w14:paraId="52B10179" w14:textId="77777777" w:rsidR="00600DEE" w:rsidRDefault="00641FB5">
                  <w:pPr>
                    <w:rPr>
                      <w:rFonts w:ascii="Calibri" w:eastAsia="Calibri" w:hAnsi="Calibri" w:cs="Calibri"/>
                      <w:sz w:val="13"/>
                      <w:szCs w:val="13"/>
                    </w:rPr>
                  </w:pPr>
                  <w:r>
                    <w:rPr>
                      <w:rFonts w:ascii="Calibri" w:eastAsia="Calibri" w:hAnsi="Calibri" w:cs="Calibri"/>
                      <w:sz w:val="13"/>
                      <w:szCs w:val="13"/>
                    </w:rPr>
                    <w:t>- Projekcja przychodów</w:t>
                  </w:r>
                </w:p>
                <w:p w14:paraId="6B924E27" w14:textId="77777777" w:rsidR="00600DEE" w:rsidRDefault="00641FB5">
                  <w:pPr>
                    <w:rPr>
                      <w:rFonts w:ascii="Calibri" w:eastAsia="Calibri" w:hAnsi="Calibri" w:cs="Calibri"/>
                      <w:sz w:val="13"/>
                      <w:szCs w:val="13"/>
                    </w:rPr>
                  </w:pPr>
                  <w:r>
                    <w:rPr>
                      <w:rFonts w:ascii="Calibri" w:eastAsia="Calibri" w:hAnsi="Calibri" w:cs="Calibri"/>
                      <w:sz w:val="13"/>
                      <w:szCs w:val="13"/>
                    </w:rPr>
                    <w:t xml:space="preserve">- Założenia kosztowe </w:t>
                  </w:r>
                </w:p>
                <w:p w14:paraId="66CD2E25" w14:textId="77777777" w:rsidR="00600DEE" w:rsidRDefault="00641FB5">
                  <w:pPr>
                    <w:ind w:right="170"/>
                    <w:rPr>
                      <w:rFonts w:ascii="Calibri" w:eastAsia="Calibri" w:hAnsi="Calibri" w:cs="Calibri"/>
                    </w:rPr>
                  </w:pPr>
                  <w:r>
                    <w:rPr>
                      <w:rFonts w:ascii="Calibri" w:eastAsia="Calibri" w:hAnsi="Calibri" w:cs="Calibri"/>
                      <w:sz w:val="13"/>
                      <w:szCs w:val="13"/>
                    </w:rPr>
                    <w:t>- Wartość rezydualna</w:t>
                  </w:r>
                </w:p>
              </w:tc>
              <w:tc>
                <w:tcPr>
                  <w:tcW w:w="562" w:type="dxa"/>
                </w:tcPr>
                <w:p w14:paraId="68702492"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10464" behindDoc="0" locked="0" layoutInCell="1" hidden="0" allowOverlap="1" wp14:anchorId="6FF45971" wp14:editId="0C183B31">
                            <wp:simplePos x="0" y="0"/>
                            <wp:positionH relativeFrom="column">
                              <wp:posOffset>-101599</wp:posOffset>
                            </wp:positionH>
                            <wp:positionV relativeFrom="paragraph">
                              <wp:posOffset>342900</wp:posOffset>
                            </wp:positionV>
                            <wp:extent cx="262586" cy="248036"/>
                            <wp:effectExtent l="0" t="0" r="0" b="0"/>
                            <wp:wrapNone/>
                            <wp:docPr id="465" name="Strzałka: w prawo 465"/>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421267F1"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6FF45971" id="Strzałka: w prawo 465" o:spid="_x0000_s1051" type="#_x0000_t13" style="position:absolute;margin-left:-8pt;margin-top:27pt;width:20.7pt;height:19.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" adj="11463" fillcolor="#dae5f1" strokecolor="#93b3d7" strokeweight="2pt">
                            <v:stroke startarrowwidth="narrow" startarrowlength="short" endarrowwidth="narrow" endarrowlength="short" joinstyle="round"/>
                            <v:textbox inset="2.53958mm,2.53958mm,2.53958mm,2.53958mm">
                              <w:txbxContent>
                                <w:p w14:paraId="421267F1" w14:textId="77777777" w:rsidR="007463B9" w:rsidRDefault="007463B9">
                                  <w:pPr>
                                    <w:textDirection w:val="btLr"/>
                                  </w:pPr>
                                </w:p>
                              </w:txbxContent>
                            </v:textbox>
                          </v:shape>
                        </w:pict>
                      </mc:Fallback>
                    </mc:AlternateContent>
                  </w:r>
                </w:p>
              </w:tc>
              <w:tc>
                <w:tcPr>
                  <w:tcW w:w="2004" w:type="dxa"/>
                  <w:shd w:val="clear" w:color="auto" w:fill="A6A6A6"/>
                  <w:vAlign w:val="center"/>
                </w:tcPr>
                <w:p w14:paraId="3137DACB" w14:textId="77777777" w:rsidR="00600DEE" w:rsidRDefault="00641FB5">
                  <w:pPr>
                    <w:ind w:right="170"/>
                    <w:rPr>
                      <w:rFonts w:ascii="Calibri" w:eastAsia="Calibri" w:hAnsi="Calibri" w:cs="Calibri"/>
                      <w:sz w:val="16"/>
                      <w:szCs w:val="16"/>
                    </w:rPr>
                  </w:pPr>
                  <w:r>
                    <w:rPr>
                      <w:rFonts w:ascii="Calibri" w:eastAsia="Calibri" w:hAnsi="Calibri" w:cs="Calibri"/>
                      <w:sz w:val="16"/>
                      <w:szCs w:val="16"/>
                    </w:rPr>
                    <w:t>- Warianty inwestycyjne/ Wybór najkorzystniejszego wariantu</w:t>
                  </w:r>
                </w:p>
                <w:p w14:paraId="46D16AD9" w14:textId="77777777" w:rsidR="00600DEE" w:rsidRDefault="00641FB5">
                  <w:pPr>
                    <w:ind w:right="170"/>
                    <w:rPr>
                      <w:rFonts w:ascii="Calibri" w:eastAsia="Calibri" w:hAnsi="Calibri" w:cs="Calibri"/>
                    </w:rPr>
                  </w:pPr>
                  <w:r>
                    <w:rPr>
                      <w:rFonts w:ascii="Calibri" w:eastAsia="Calibri" w:hAnsi="Calibri" w:cs="Calibri"/>
                      <w:sz w:val="16"/>
                      <w:szCs w:val="16"/>
                    </w:rPr>
                    <w:t xml:space="preserve"> - Wszystkie dane wejściowe do analizy społeczno-ekonomicznej i finansowej</w:t>
                  </w:r>
                </w:p>
              </w:tc>
              <w:tc>
                <w:tcPr>
                  <w:tcW w:w="251" w:type="dxa"/>
                </w:tcPr>
                <w:p w14:paraId="6AFCDD26" w14:textId="77777777" w:rsidR="00600DEE" w:rsidRDefault="00600DEE">
                  <w:pPr>
                    <w:rPr>
                      <w:rFonts w:ascii="Calibri" w:eastAsia="Calibri" w:hAnsi="Calibri" w:cs="Calibri"/>
                    </w:rPr>
                  </w:pPr>
                </w:p>
              </w:tc>
            </w:tr>
            <w:tr w:rsidR="00600DEE" w14:paraId="1105D7B9" w14:textId="77777777" w:rsidTr="00E12F72">
              <w:trPr>
                <w:trHeight w:val="65"/>
              </w:trPr>
              <w:tc>
                <w:tcPr>
                  <w:tcW w:w="250" w:type="dxa"/>
                  <w:tcBorders>
                    <w:bottom w:val="single" w:sz="8" w:space="0" w:color="000000"/>
                  </w:tcBorders>
                </w:tcPr>
                <w:p w14:paraId="45A67F22" w14:textId="77777777" w:rsidR="00600DEE" w:rsidRDefault="00600DEE">
                  <w:pPr>
                    <w:rPr>
                      <w:rFonts w:ascii="Calibri" w:eastAsia="Calibri" w:hAnsi="Calibri" w:cs="Calibri"/>
                      <w:b/>
                    </w:rPr>
                  </w:pPr>
                </w:p>
              </w:tc>
              <w:tc>
                <w:tcPr>
                  <w:tcW w:w="1450" w:type="dxa"/>
                  <w:tcBorders>
                    <w:bottom w:val="single" w:sz="8" w:space="0" w:color="000000"/>
                  </w:tcBorders>
                </w:tcPr>
                <w:p w14:paraId="1F68254E" w14:textId="77777777" w:rsidR="00600DEE" w:rsidRDefault="00600DEE">
                  <w:pPr>
                    <w:rPr>
                      <w:rFonts w:ascii="Calibri" w:eastAsia="Calibri" w:hAnsi="Calibri" w:cs="Calibri"/>
                      <w:b/>
                    </w:rPr>
                  </w:pPr>
                </w:p>
              </w:tc>
              <w:tc>
                <w:tcPr>
                  <w:tcW w:w="422" w:type="dxa"/>
                  <w:tcBorders>
                    <w:bottom w:val="single" w:sz="8" w:space="0" w:color="000000"/>
                  </w:tcBorders>
                </w:tcPr>
                <w:p w14:paraId="796BE5AB" w14:textId="77777777" w:rsidR="00600DEE" w:rsidRDefault="00600DEE">
                  <w:pPr>
                    <w:rPr>
                      <w:rFonts w:ascii="Calibri" w:eastAsia="Calibri" w:hAnsi="Calibri" w:cs="Calibri"/>
                    </w:rPr>
                  </w:pPr>
                </w:p>
              </w:tc>
              <w:tc>
                <w:tcPr>
                  <w:tcW w:w="2385" w:type="dxa"/>
                  <w:tcBorders>
                    <w:bottom w:val="single" w:sz="8" w:space="0" w:color="000000"/>
                  </w:tcBorders>
                </w:tcPr>
                <w:p w14:paraId="3B56C423" w14:textId="77777777" w:rsidR="00600DEE" w:rsidRDefault="00600DEE">
                  <w:pPr>
                    <w:rPr>
                      <w:rFonts w:ascii="Calibri" w:eastAsia="Calibri" w:hAnsi="Calibri" w:cs="Calibri"/>
                    </w:rPr>
                  </w:pPr>
                </w:p>
              </w:tc>
              <w:tc>
                <w:tcPr>
                  <w:tcW w:w="562" w:type="dxa"/>
                  <w:tcBorders>
                    <w:bottom w:val="single" w:sz="8" w:space="0" w:color="000000"/>
                  </w:tcBorders>
                </w:tcPr>
                <w:p w14:paraId="0AAF45AA" w14:textId="77777777" w:rsidR="00600DEE" w:rsidRDefault="00600DEE">
                  <w:pPr>
                    <w:rPr>
                      <w:rFonts w:ascii="Calibri" w:eastAsia="Calibri" w:hAnsi="Calibri" w:cs="Calibri"/>
                    </w:rPr>
                  </w:pPr>
                </w:p>
              </w:tc>
              <w:tc>
                <w:tcPr>
                  <w:tcW w:w="2004" w:type="dxa"/>
                  <w:tcBorders>
                    <w:bottom w:val="single" w:sz="8" w:space="0" w:color="000000"/>
                  </w:tcBorders>
                </w:tcPr>
                <w:p w14:paraId="01104129" w14:textId="77777777" w:rsidR="00600DEE" w:rsidRDefault="00600DEE">
                  <w:pPr>
                    <w:rPr>
                      <w:rFonts w:ascii="Calibri" w:eastAsia="Calibri" w:hAnsi="Calibri" w:cs="Calibri"/>
                    </w:rPr>
                  </w:pPr>
                </w:p>
              </w:tc>
              <w:tc>
                <w:tcPr>
                  <w:tcW w:w="251" w:type="dxa"/>
                  <w:tcBorders>
                    <w:bottom w:val="single" w:sz="8" w:space="0" w:color="000000"/>
                  </w:tcBorders>
                </w:tcPr>
                <w:p w14:paraId="67A0706C" w14:textId="77777777" w:rsidR="00600DEE" w:rsidRDefault="00600DEE">
                  <w:pPr>
                    <w:rPr>
                      <w:rFonts w:ascii="Calibri" w:eastAsia="Calibri" w:hAnsi="Calibri" w:cs="Calibri"/>
                    </w:rPr>
                  </w:pPr>
                </w:p>
              </w:tc>
            </w:tr>
            <w:tr w:rsidR="00600DEE" w14:paraId="6430ADEB" w14:textId="77777777" w:rsidTr="00023AC0">
              <w:trPr>
                <w:trHeight w:val="340"/>
              </w:trPr>
              <w:tc>
                <w:tcPr>
                  <w:tcW w:w="250" w:type="dxa"/>
                  <w:tcBorders>
                    <w:top w:val="single" w:sz="8" w:space="0" w:color="000000"/>
                    <w:left w:val="single" w:sz="8" w:space="0" w:color="000000"/>
                    <w:bottom w:val="single" w:sz="8" w:space="0" w:color="000000"/>
                  </w:tcBorders>
                  <w:shd w:val="clear" w:color="auto" w:fill="B8CCE4"/>
                  <w:vAlign w:val="center"/>
                </w:tcPr>
                <w:p w14:paraId="28319625" w14:textId="77777777" w:rsidR="00600DEE" w:rsidRDefault="00600DEE">
                  <w:pPr>
                    <w:jc w:val="center"/>
                    <w:rPr>
                      <w:rFonts w:ascii="Calibri" w:eastAsia="Calibri" w:hAnsi="Calibri" w:cs="Calibri"/>
                      <w:b/>
                    </w:rPr>
                  </w:pPr>
                </w:p>
              </w:tc>
              <w:tc>
                <w:tcPr>
                  <w:tcW w:w="1450" w:type="dxa"/>
                  <w:tcBorders>
                    <w:top w:val="single" w:sz="8" w:space="0" w:color="000000"/>
                    <w:bottom w:val="single" w:sz="8" w:space="0" w:color="000000"/>
                  </w:tcBorders>
                  <w:shd w:val="clear" w:color="auto" w:fill="B8CCE4"/>
                  <w:vAlign w:val="center"/>
                </w:tcPr>
                <w:p w14:paraId="1159DD4A" w14:textId="77777777" w:rsidR="00600DEE" w:rsidRDefault="00600DEE">
                  <w:pPr>
                    <w:jc w:val="center"/>
                    <w:rPr>
                      <w:rFonts w:ascii="Calibri" w:eastAsia="Calibri" w:hAnsi="Calibri" w:cs="Calibri"/>
                      <w:b/>
                    </w:rPr>
                  </w:pPr>
                </w:p>
              </w:tc>
              <w:tc>
                <w:tcPr>
                  <w:tcW w:w="422" w:type="dxa"/>
                  <w:tcBorders>
                    <w:top w:val="single" w:sz="8" w:space="0" w:color="000000"/>
                    <w:bottom w:val="single" w:sz="8" w:space="0" w:color="000000"/>
                  </w:tcBorders>
                  <w:shd w:val="clear" w:color="auto" w:fill="B8CCE4"/>
                  <w:vAlign w:val="center"/>
                </w:tcPr>
                <w:p w14:paraId="3F8B1D2D" w14:textId="77777777" w:rsidR="00600DEE" w:rsidRDefault="00600DEE">
                  <w:pPr>
                    <w:jc w:val="center"/>
                    <w:rPr>
                      <w:rFonts w:ascii="Calibri" w:eastAsia="Calibri" w:hAnsi="Calibri" w:cs="Calibri"/>
                    </w:rPr>
                  </w:pPr>
                </w:p>
              </w:tc>
              <w:tc>
                <w:tcPr>
                  <w:tcW w:w="2385" w:type="dxa"/>
                  <w:tcBorders>
                    <w:top w:val="single" w:sz="8" w:space="0" w:color="000000"/>
                    <w:bottom w:val="single" w:sz="8" w:space="0" w:color="000000"/>
                  </w:tcBorders>
                  <w:shd w:val="clear" w:color="auto" w:fill="B8CCE4"/>
                  <w:vAlign w:val="center"/>
                </w:tcPr>
                <w:p w14:paraId="56EB1127" w14:textId="77777777" w:rsidR="00600DEE" w:rsidRDefault="00641FB5">
                  <w:pPr>
                    <w:jc w:val="center"/>
                    <w:rPr>
                      <w:rFonts w:ascii="Calibri" w:eastAsia="Calibri" w:hAnsi="Calibri" w:cs="Calibri"/>
                      <w:b/>
                      <w:sz w:val="22"/>
                      <w:szCs w:val="22"/>
                    </w:rPr>
                  </w:pPr>
                  <w:r>
                    <w:rPr>
                      <w:rFonts w:ascii="Calibri" w:eastAsia="Calibri" w:hAnsi="Calibri" w:cs="Calibri"/>
                      <w:b/>
                      <w:sz w:val="22"/>
                      <w:szCs w:val="22"/>
                    </w:rPr>
                    <w:t>Faza II</w:t>
                  </w:r>
                </w:p>
              </w:tc>
              <w:tc>
                <w:tcPr>
                  <w:tcW w:w="562" w:type="dxa"/>
                  <w:tcBorders>
                    <w:top w:val="single" w:sz="8" w:space="0" w:color="000000"/>
                    <w:bottom w:val="single" w:sz="8" w:space="0" w:color="000000"/>
                  </w:tcBorders>
                  <w:shd w:val="clear" w:color="auto" w:fill="B8CCE4"/>
                  <w:vAlign w:val="center"/>
                </w:tcPr>
                <w:p w14:paraId="12FDDBCA" w14:textId="77777777" w:rsidR="00600DEE" w:rsidRDefault="00600DEE">
                  <w:pPr>
                    <w:jc w:val="center"/>
                    <w:rPr>
                      <w:rFonts w:ascii="Calibri" w:eastAsia="Calibri" w:hAnsi="Calibri" w:cs="Calibri"/>
                    </w:rPr>
                  </w:pPr>
                </w:p>
              </w:tc>
              <w:tc>
                <w:tcPr>
                  <w:tcW w:w="2004" w:type="dxa"/>
                  <w:tcBorders>
                    <w:top w:val="single" w:sz="8" w:space="0" w:color="000000"/>
                    <w:bottom w:val="single" w:sz="8" w:space="0" w:color="000000"/>
                  </w:tcBorders>
                  <w:shd w:val="clear" w:color="auto" w:fill="B8CCE4"/>
                  <w:vAlign w:val="center"/>
                </w:tcPr>
                <w:p w14:paraId="2FE586F6" w14:textId="77777777" w:rsidR="00600DEE" w:rsidRDefault="00600DEE">
                  <w:pPr>
                    <w:jc w:val="center"/>
                    <w:rPr>
                      <w:rFonts w:ascii="Calibri" w:eastAsia="Calibri" w:hAnsi="Calibri" w:cs="Calibri"/>
                    </w:rPr>
                  </w:pPr>
                </w:p>
              </w:tc>
              <w:tc>
                <w:tcPr>
                  <w:tcW w:w="251" w:type="dxa"/>
                  <w:tcBorders>
                    <w:top w:val="single" w:sz="8" w:space="0" w:color="000000"/>
                    <w:bottom w:val="single" w:sz="8" w:space="0" w:color="000000"/>
                    <w:right w:val="single" w:sz="8" w:space="0" w:color="000000"/>
                  </w:tcBorders>
                  <w:shd w:val="clear" w:color="auto" w:fill="B8CCE4"/>
                  <w:vAlign w:val="center"/>
                </w:tcPr>
                <w:p w14:paraId="13775626" w14:textId="77777777" w:rsidR="00600DEE" w:rsidRDefault="00600DEE">
                  <w:pPr>
                    <w:jc w:val="center"/>
                    <w:rPr>
                      <w:rFonts w:ascii="Calibri" w:eastAsia="Calibri" w:hAnsi="Calibri" w:cs="Calibri"/>
                    </w:rPr>
                  </w:pPr>
                </w:p>
              </w:tc>
            </w:tr>
            <w:tr w:rsidR="00600DEE" w14:paraId="79F5AC25" w14:textId="77777777" w:rsidTr="00E12F72">
              <w:trPr>
                <w:trHeight w:val="60"/>
              </w:trPr>
              <w:tc>
                <w:tcPr>
                  <w:tcW w:w="250" w:type="dxa"/>
                  <w:tcBorders>
                    <w:top w:val="single" w:sz="8" w:space="0" w:color="000000"/>
                  </w:tcBorders>
                </w:tcPr>
                <w:p w14:paraId="3A8D0077" w14:textId="77777777" w:rsidR="00600DEE" w:rsidRDefault="00600DEE">
                  <w:pPr>
                    <w:rPr>
                      <w:rFonts w:ascii="Calibri" w:eastAsia="Calibri" w:hAnsi="Calibri" w:cs="Calibri"/>
                      <w:b/>
                    </w:rPr>
                  </w:pPr>
                </w:p>
              </w:tc>
              <w:tc>
                <w:tcPr>
                  <w:tcW w:w="1450" w:type="dxa"/>
                  <w:tcBorders>
                    <w:top w:val="single" w:sz="8" w:space="0" w:color="000000"/>
                  </w:tcBorders>
                </w:tcPr>
                <w:p w14:paraId="4E57A4E1" w14:textId="77777777" w:rsidR="00600DEE" w:rsidRDefault="00600DEE">
                  <w:pPr>
                    <w:rPr>
                      <w:rFonts w:ascii="Calibri" w:eastAsia="Calibri" w:hAnsi="Calibri" w:cs="Calibri"/>
                      <w:b/>
                    </w:rPr>
                  </w:pPr>
                </w:p>
              </w:tc>
              <w:tc>
                <w:tcPr>
                  <w:tcW w:w="422" w:type="dxa"/>
                  <w:tcBorders>
                    <w:top w:val="single" w:sz="8" w:space="0" w:color="000000"/>
                  </w:tcBorders>
                </w:tcPr>
                <w:p w14:paraId="135D28CD" w14:textId="77777777" w:rsidR="00600DEE" w:rsidRDefault="00600DEE">
                  <w:pPr>
                    <w:rPr>
                      <w:rFonts w:ascii="Calibri" w:eastAsia="Calibri" w:hAnsi="Calibri" w:cs="Calibri"/>
                    </w:rPr>
                  </w:pPr>
                </w:p>
              </w:tc>
              <w:tc>
                <w:tcPr>
                  <w:tcW w:w="2385" w:type="dxa"/>
                  <w:tcBorders>
                    <w:top w:val="single" w:sz="8" w:space="0" w:color="000000"/>
                  </w:tcBorders>
                </w:tcPr>
                <w:p w14:paraId="77F30AE0" w14:textId="77777777" w:rsidR="00600DEE" w:rsidRDefault="00600DEE">
                  <w:pPr>
                    <w:rPr>
                      <w:rFonts w:ascii="Calibri" w:eastAsia="Calibri" w:hAnsi="Calibri" w:cs="Calibri"/>
                    </w:rPr>
                  </w:pPr>
                </w:p>
              </w:tc>
              <w:tc>
                <w:tcPr>
                  <w:tcW w:w="562" w:type="dxa"/>
                  <w:tcBorders>
                    <w:top w:val="single" w:sz="8" w:space="0" w:color="000000"/>
                  </w:tcBorders>
                </w:tcPr>
                <w:p w14:paraId="41F51B60" w14:textId="77777777" w:rsidR="00600DEE" w:rsidRDefault="00600DEE">
                  <w:pPr>
                    <w:rPr>
                      <w:rFonts w:ascii="Calibri" w:eastAsia="Calibri" w:hAnsi="Calibri" w:cs="Calibri"/>
                    </w:rPr>
                  </w:pPr>
                </w:p>
              </w:tc>
              <w:tc>
                <w:tcPr>
                  <w:tcW w:w="2004" w:type="dxa"/>
                  <w:tcBorders>
                    <w:top w:val="single" w:sz="8" w:space="0" w:color="000000"/>
                  </w:tcBorders>
                </w:tcPr>
                <w:p w14:paraId="73281035" w14:textId="77777777" w:rsidR="00600DEE" w:rsidRDefault="00600DEE">
                  <w:pPr>
                    <w:rPr>
                      <w:rFonts w:ascii="Calibri" w:eastAsia="Calibri" w:hAnsi="Calibri" w:cs="Calibri"/>
                    </w:rPr>
                  </w:pPr>
                </w:p>
              </w:tc>
              <w:tc>
                <w:tcPr>
                  <w:tcW w:w="251" w:type="dxa"/>
                  <w:tcBorders>
                    <w:top w:val="single" w:sz="8" w:space="0" w:color="000000"/>
                  </w:tcBorders>
                </w:tcPr>
                <w:p w14:paraId="6302B564" w14:textId="77777777" w:rsidR="00600DEE" w:rsidRDefault="00600DEE">
                  <w:pPr>
                    <w:rPr>
                      <w:rFonts w:ascii="Calibri" w:eastAsia="Calibri" w:hAnsi="Calibri" w:cs="Calibri"/>
                    </w:rPr>
                  </w:pPr>
                </w:p>
              </w:tc>
            </w:tr>
            <w:tr w:rsidR="00600DEE" w14:paraId="267B6CB3" w14:textId="77777777" w:rsidTr="00E12F72">
              <w:trPr>
                <w:trHeight w:val="1411"/>
              </w:trPr>
              <w:tc>
                <w:tcPr>
                  <w:tcW w:w="250" w:type="dxa"/>
                </w:tcPr>
                <w:p w14:paraId="60D9FA14" w14:textId="77777777" w:rsidR="00600DEE" w:rsidRDefault="00600DEE">
                  <w:pPr>
                    <w:rPr>
                      <w:rFonts w:ascii="Calibri" w:eastAsia="Calibri" w:hAnsi="Calibri" w:cs="Calibri"/>
                      <w:b/>
                    </w:rPr>
                  </w:pPr>
                </w:p>
              </w:tc>
              <w:tc>
                <w:tcPr>
                  <w:tcW w:w="1450" w:type="dxa"/>
                  <w:shd w:val="clear" w:color="auto" w:fill="F2F2F2"/>
                  <w:vAlign w:val="center"/>
                </w:tcPr>
                <w:p w14:paraId="255BCE2C"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Analiza</w:t>
                  </w:r>
                </w:p>
                <w:p w14:paraId="4E013FF5" w14:textId="77777777" w:rsidR="00600DEE" w:rsidRDefault="00641FB5">
                  <w:pPr>
                    <w:ind w:right="170"/>
                    <w:rPr>
                      <w:rFonts w:ascii="Calibri" w:eastAsia="Calibri" w:hAnsi="Calibri" w:cs="Calibri"/>
                      <w:b/>
                    </w:rPr>
                  </w:pPr>
                  <w:r>
                    <w:rPr>
                      <w:rFonts w:ascii="Calibri" w:eastAsia="Calibri" w:hAnsi="Calibri" w:cs="Calibri"/>
                      <w:b/>
                      <w:sz w:val="16"/>
                      <w:szCs w:val="16"/>
                    </w:rPr>
                    <w:t>ekonomiczna</w:t>
                  </w:r>
                </w:p>
              </w:tc>
              <w:tc>
                <w:tcPr>
                  <w:tcW w:w="422" w:type="dxa"/>
                </w:tcPr>
                <w:p w14:paraId="20FF68E8"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11488" behindDoc="0" locked="0" layoutInCell="1" hidden="0" allowOverlap="1" wp14:anchorId="18A37316" wp14:editId="5182D3E1">
                            <wp:simplePos x="0" y="0"/>
                            <wp:positionH relativeFrom="column">
                              <wp:posOffset>1</wp:posOffset>
                            </wp:positionH>
                            <wp:positionV relativeFrom="paragraph">
                              <wp:posOffset>342900</wp:posOffset>
                            </wp:positionV>
                            <wp:extent cx="263000" cy="248600"/>
                            <wp:effectExtent l="0" t="0" r="0" b="0"/>
                            <wp:wrapNone/>
                            <wp:docPr id="521" name="Strzałka: w prawo 521"/>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0EE55553"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18A37316" id="Strzałka: w prawo 521" o:spid="_x0000_s1052" type="#_x0000_t13" style="position:absolute;margin-left:0;margin-top:27pt;width:20.7pt;height:19.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" adj="11455" fillcolor="#93b3d7" strokecolor="#366092" strokeweight="2pt">
                            <v:stroke startarrowwidth="narrow" startarrowlength="short" endarrowwidth="narrow" endarrowlength="short" joinstyle="round"/>
                            <v:textbox inset="2.53958mm,2.53958mm,2.53958mm,2.53958mm">
                              <w:txbxContent>
                                <w:p w14:paraId="0EE55553" w14:textId="77777777" w:rsidR="007463B9" w:rsidRDefault="007463B9">
                                  <w:pPr>
                                    <w:textDirection w:val="btLr"/>
                                  </w:pPr>
                                </w:p>
                              </w:txbxContent>
                            </v:textbox>
                          </v:shape>
                        </w:pict>
                      </mc:Fallback>
                    </mc:AlternateContent>
                  </w:r>
                  <w:r>
                    <w:rPr>
                      <w:noProof/>
                      <w:lang w:val="en-GB" w:eastAsia="en-GB"/>
                    </w:rPr>
                    <mc:AlternateContent>
                      <mc:Choice Requires="wps">
                        <w:drawing>
                          <wp:anchor distT="0" distB="0" distL="114300" distR="114300" simplePos="0" relativeHeight="251712512" behindDoc="0" locked="0" layoutInCell="1" hidden="0" allowOverlap="1" wp14:anchorId="2307441E" wp14:editId="68CD0385">
                            <wp:simplePos x="0" y="0"/>
                            <wp:positionH relativeFrom="column">
                              <wp:posOffset>1701800</wp:posOffset>
                            </wp:positionH>
                            <wp:positionV relativeFrom="paragraph">
                              <wp:posOffset>342900</wp:posOffset>
                            </wp:positionV>
                            <wp:extent cx="262586" cy="248036"/>
                            <wp:effectExtent l="0" t="0" r="0" b="0"/>
                            <wp:wrapNone/>
                            <wp:docPr id="517" name="Strzałka: w prawo 517"/>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1B9702AC"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2307441E" id="Strzałka: w prawo 517" o:spid="_x0000_s1053" type="#_x0000_t13" style="position:absolute;margin-left:134pt;margin-top:27pt;width:20.7pt;height:19.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" adj="11463" fillcolor="#93b3d7" strokecolor="#366092" strokeweight="2pt">
                            <v:stroke startarrowwidth="narrow" startarrowlength="short" endarrowwidth="narrow" endarrowlength="short" joinstyle="round"/>
                            <v:textbox inset="2.53958mm,2.53958mm,2.53958mm,2.53958mm">
                              <w:txbxContent>
                                <w:p w14:paraId="1B9702AC" w14:textId="77777777" w:rsidR="007463B9" w:rsidRDefault="007463B9">
                                  <w:pPr>
                                    <w:textDirection w:val="btLr"/>
                                  </w:pPr>
                                </w:p>
                              </w:txbxContent>
                            </v:textbox>
                          </v:shape>
                        </w:pict>
                      </mc:Fallback>
                    </mc:AlternateContent>
                  </w:r>
                </w:p>
              </w:tc>
              <w:tc>
                <w:tcPr>
                  <w:tcW w:w="2385" w:type="dxa"/>
                  <w:vAlign w:val="center"/>
                </w:tcPr>
                <w:p w14:paraId="01684A07"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Określenie założeń</w:t>
                  </w:r>
                </w:p>
                <w:p w14:paraId="18EC956F"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Przeliczniki z cen  rynkowych na  rozrachunkowe (ukryte) </w:t>
                  </w:r>
                </w:p>
                <w:p w14:paraId="472D8137"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Obliczanie kosztów i korzyści ekonomicznych </w:t>
                  </w:r>
                </w:p>
                <w:p w14:paraId="37C301AC"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Obliczanie wskaźników efektywności ekonomicznej</w:t>
                  </w:r>
                </w:p>
                <w:p w14:paraId="4F23E7D2" w14:textId="77777777" w:rsidR="00600DEE" w:rsidRDefault="00641FB5">
                  <w:pPr>
                    <w:ind w:right="170"/>
                    <w:rPr>
                      <w:rFonts w:ascii="Calibri" w:eastAsia="Calibri" w:hAnsi="Calibri" w:cs="Calibri"/>
                    </w:rPr>
                  </w:pPr>
                  <w:r>
                    <w:rPr>
                      <w:rFonts w:ascii="Calibri" w:eastAsia="Calibri" w:hAnsi="Calibri" w:cs="Calibri"/>
                      <w:sz w:val="13"/>
                      <w:szCs w:val="13"/>
                    </w:rPr>
                    <w:t>- Wybór ostatecznego wariantu projektu (w uzasadnionych przypadkach)</w:t>
                  </w:r>
                </w:p>
              </w:tc>
              <w:tc>
                <w:tcPr>
                  <w:tcW w:w="562" w:type="dxa"/>
                </w:tcPr>
                <w:p w14:paraId="2F812FF1" w14:textId="77777777" w:rsidR="00600DEE" w:rsidRDefault="00600DEE">
                  <w:pPr>
                    <w:rPr>
                      <w:rFonts w:ascii="Calibri" w:eastAsia="Calibri" w:hAnsi="Calibri" w:cs="Calibri"/>
                    </w:rPr>
                  </w:pPr>
                </w:p>
              </w:tc>
              <w:tc>
                <w:tcPr>
                  <w:tcW w:w="2004" w:type="dxa"/>
                  <w:shd w:val="clear" w:color="auto" w:fill="A6A6A6"/>
                  <w:vAlign w:val="center"/>
                </w:tcPr>
                <w:p w14:paraId="0A19036D" w14:textId="77777777" w:rsidR="00600DEE" w:rsidRDefault="00641FB5">
                  <w:pPr>
                    <w:ind w:right="170"/>
                    <w:rPr>
                      <w:rFonts w:ascii="Calibri" w:eastAsia="Calibri" w:hAnsi="Calibri" w:cs="Calibri"/>
                      <w:sz w:val="12"/>
                      <w:szCs w:val="12"/>
                    </w:rPr>
                  </w:pPr>
                  <w:r>
                    <w:rPr>
                      <w:rFonts w:ascii="Calibri" w:eastAsia="Calibri" w:hAnsi="Calibri" w:cs="Calibri"/>
                      <w:sz w:val="12"/>
                      <w:szCs w:val="12"/>
                    </w:rPr>
                    <w:t>- Wybór najlepszego wariantu inwestycyjnego z uwzględnieniem szerokiej perspektywy społecznej (w przypadku stosowania AKK przy wyborze wariantów)</w:t>
                  </w:r>
                </w:p>
                <w:p w14:paraId="7CA51C06" w14:textId="77777777" w:rsidR="00600DEE" w:rsidRDefault="00641FB5">
                  <w:pPr>
                    <w:ind w:right="170"/>
                    <w:rPr>
                      <w:rFonts w:ascii="Calibri" w:eastAsia="Calibri" w:hAnsi="Calibri" w:cs="Calibri"/>
                      <w:sz w:val="16"/>
                      <w:szCs w:val="16"/>
                    </w:rPr>
                  </w:pPr>
                  <w:r>
                    <w:rPr>
                      <w:rFonts w:ascii="Calibri" w:eastAsia="Calibri" w:hAnsi="Calibri" w:cs="Calibri"/>
                      <w:sz w:val="12"/>
                      <w:szCs w:val="12"/>
                    </w:rPr>
                    <w:t>- Wykazanie, że inwestycja jest ekonomicznie wskazana i warta dofinansowania</w:t>
                  </w:r>
                </w:p>
              </w:tc>
              <w:tc>
                <w:tcPr>
                  <w:tcW w:w="251" w:type="dxa"/>
                </w:tcPr>
                <w:p w14:paraId="6531118E" w14:textId="77777777" w:rsidR="00600DEE" w:rsidRDefault="00600DEE">
                  <w:pPr>
                    <w:rPr>
                      <w:rFonts w:ascii="Calibri" w:eastAsia="Calibri" w:hAnsi="Calibri" w:cs="Calibri"/>
                    </w:rPr>
                  </w:pPr>
                </w:p>
              </w:tc>
            </w:tr>
            <w:tr w:rsidR="00600DEE" w14:paraId="1542B54D" w14:textId="77777777" w:rsidTr="00E12F72">
              <w:trPr>
                <w:trHeight w:val="60"/>
              </w:trPr>
              <w:tc>
                <w:tcPr>
                  <w:tcW w:w="250" w:type="dxa"/>
                  <w:tcBorders>
                    <w:bottom w:val="single" w:sz="8" w:space="0" w:color="000000"/>
                  </w:tcBorders>
                </w:tcPr>
                <w:p w14:paraId="1E8E05A2" w14:textId="77777777" w:rsidR="00600DEE" w:rsidRDefault="00600DEE">
                  <w:pPr>
                    <w:rPr>
                      <w:rFonts w:ascii="Calibri" w:eastAsia="Calibri" w:hAnsi="Calibri" w:cs="Calibri"/>
                      <w:b/>
                    </w:rPr>
                  </w:pPr>
                </w:p>
                <w:p w14:paraId="06898AAF" w14:textId="77777777" w:rsidR="00E12F72" w:rsidRDefault="00E12F72">
                  <w:pPr>
                    <w:rPr>
                      <w:rFonts w:ascii="Calibri" w:eastAsia="Calibri" w:hAnsi="Calibri" w:cs="Calibri"/>
                      <w:b/>
                    </w:rPr>
                  </w:pPr>
                </w:p>
                <w:p w14:paraId="619C5EC4" w14:textId="77777777" w:rsidR="00E12F72" w:rsidRDefault="00E12F72">
                  <w:pPr>
                    <w:rPr>
                      <w:rFonts w:ascii="Calibri" w:eastAsia="Calibri" w:hAnsi="Calibri" w:cs="Calibri"/>
                      <w:b/>
                    </w:rPr>
                  </w:pPr>
                </w:p>
                <w:p w14:paraId="75AAD34B" w14:textId="77777777" w:rsidR="00E12F72" w:rsidRDefault="00E12F72">
                  <w:pPr>
                    <w:rPr>
                      <w:rFonts w:ascii="Calibri" w:eastAsia="Calibri" w:hAnsi="Calibri" w:cs="Calibri"/>
                      <w:b/>
                    </w:rPr>
                  </w:pPr>
                </w:p>
                <w:p w14:paraId="6805C905" w14:textId="3578DF48" w:rsidR="00E12F72" w:rsidRDefault="00E12F72">
                  <w:pPr>
                    <w:rPr>
                      <w:rFonts w:ascii="Calibri" w:eastAsia="Calibri" w:hAnsi="Calibri" w:cs="Calibri"/>
                      <w:b/>
                    </w:rPr>
                  </w:pPr>
                </w:p>
              </w:tc>
              <w:tc>
                <w:tcPr>
                  <w:tcW w:w="1450" w:type="dxa"/>
                  <w:tcBorders>
                    <w:bottom w:val="single" w:sz="8" w:space="0" w:color="000000"/>
                  </w:tcBorders>
                </w:tcPr>
                <w:p w14:paraId="40FDB549" w14:textId="77777777" w:rsidR="00600DEE" w:rsidRDefault="00600DEE">
                  <w:pPr>
                    <w:rPr>
                      <w:rFonts w:ascii="Calibri" w:eastAsia="Calibri" w:hAnsi="Calibri" w:cs="Calibri"/>
                      <w:b/>
                    </w:rPr>
                  </w:pPr>
                </w:p>
              </w:tc>
              <w:tc>
                <w:tcPr>
                  <w:tcW w:w="422" w:type="dxa"/>
                  <w:tcBorders>
                    <w:bottom w:val="single" w:sz="8" w:space="0" w:color="000000"/>
                  </w:tcBorders>
                </w:tcPr>
                <w:p w14:paraId="60207DA5" w14:textId="77777777" w:rsidR="00600DEE" w:rsidRDefault="00600DEE">
                  <w:pPr>
                    <w:rPr>
                      <w:rFonts w:ascii="Calibri" w:eastAsia="Calibri" w:hAnsi="Calibri" w:cs="Calibri"/>
                    </w:rPr>
                  </w:pPr>
                </w:p>
              </w:tc>
              <w:tc>
                <w:tcPr>
                  <w:tcW w:w="2385" w:type="dxa"/>
                  <w:tcBorders>
                    <w:bottom w:val="single" w:sz="8" w:space="0" w:color="000000"/>
                  </w:tcBorders>
                </w:tcPr>
                <w:p w14:paraId="598111C2" w14:textId="77777777" w:rsidR="00600DEE" w:rsidRDefault="00600DEE">
                  <w:pPr>
                    <w:rPr>
                      <w:rFonts w:ascii="Calibri" w:eastAsia="Calibri" w:hAnsi="Calibri" w:cs="Calibri"/>
                    </w:rPr>
                  </w:pPr>
                </w:p>
              </w:tc>
              <w:tc>
                <w:tcPr>
                  <w:tcW w:w="562" w:type="dxa"/>
                  <w:tcBorders>
                    <w:bottom w:val="single" w:sz="8" w:space="0" w:color="000000"/>
                  </w:tcBorders>
                </w:tcPr>
                <w:p w14:paraId="4793321E" w14:textId="77777777" w:rsidR="00600DEE" w:rsidRDefault="00600DEE">
                  <w:pPr>
                    <w:rPr>
                      <w:rFonts w:ascii="Calibri" w:eastAsia="Calibri" w:hAnsi="Calibri" w:cs="Calibri"/>
                    </w:rPr>
                  </w:pPr>
                </w:p>
              </w:tc>
              <w:tc>
                <w:tcPr>
                  <w:tcW w:w="2004" w:type="dxa"/>
                  <w:tcBorders>
                    <w:bottom w:val="single" w:sz="8" w:space="0" w:color="000000"/>
                  </w:tcBorders>
                </w:tcPr>
                <w:p w14:paraId="74F67F4A" w14:textId="77777777" w:rsidR="00600DEE" w:rsidRDefault="00600DEE">
                  <w:pPr>
                    <w:rPr>
                      <w:rFonts w:ascii="Calibri" w:eastAsia="Calibri" w:hAnsi="Calibri" w:cs="Calibri"/>
                    </w:rPr>
                  </w:pPr>
                </w:p>
              </w:tc>
              <w:tc>
                <w:tcPr>
                  <w:tcW w:w="251" w:type="dxa"/>
                  <w:tcBorders>
                    <w:bottom w:val="single" w:sz="8" w:space="0" w:color="000000"/>
                  </w:tcBorders>
                </w:tcPr>
                <w:p w14:paraId="2F7E2448" w14:textId="77777777" w:rsidR="00600DEE" w:rsidRDefault="00600DEE">
                  <w:pPr>
                    <w:rPr>
                      <w:rFonts w:ascii="Calibri" w:eastAsia="Calibri" w:hAnsi="Calibri" w:cs="Calibri"/>
                    </w:rPr>
                  </w:pPr>
                </w:p>
              </w:tc>
            </w:tr>
            <w:tr w:rsidR="00E12F72" w14:paraId="03D65314" w14:textId="77777777" w:rsidTr="00E12F72">
              <w:trPr>
                <w:trHeight w:val="340"/>
              </w:trPr>
              <w:tc>
                <w:tcPr>
                  <w:tcW w:w="250" w:type="dxa"/>
                  <w:tcBorders>
                    <w:top w:val="single" w:sz="8" w:space="0" w:color="000000"/>
                    <w:left w:val="single" w:sz="8" w:space="0" w:color="000000"/>
                    <w:bottom w:val="single" w:sz="8" w:space="0" w:color="000000"/>
                  </w:tcBorders>
                  <w:shd w:val="clear" w:color="auto" w:fill="95B3D7"/>
                  <w:vAlign w:val="center"/>
                </w:tcPr>
                <w:p w14:paraId="3B3207F7" w14:textId="77777777" w:rsidR="00E12F72" w:rsidRDefault="00E12F72">
                  <w:pPr>
                    <w:jc w:val="center"/>
                    <w:rPr>
                      <w:rFonts w:ascii="Calibri" w:eastAsia="Calibri" w:hAnsi="Calibri" w:cs="Calibri"/>
                      <w:b/>
                    </w:rPr>
                  </w:pPr>
                </w:p>
              </w:tc>
              <w:tc>
                <w:tcPr>
                  <w:tcW w:w="6823" w:type="dxa"/>
                  <w:gridSpan w:val="5"/>
                  <w:tcBorders>
                    <w:top w:val="single" w:sz="8" w:space="0" w:color="000000"/>
                    <w:bottom w:val="single" w:sz="8" w:space="0" w:color="000000"/>
                  </w:tcBorders>
                  <w:shd w:val="clear" w:color="auto" w:fill="95B3D7"/>
                  <w:vAlign w:val="center"/>
                </w:tcPr>
                <w:p w14:paraId="71662A96" w14:textId="3397E70F" w:rsidR="00E12F72" w:rsidRDefault="00E12F72">
                  <w:pPr>
                    <w:jc w:val="center"/>
                    <w:rPr>
                      <w:rFonts w:ascii="Calibri" w:eastAsia="Calibri" w:hAnsi="Calibri" w:cs="Calibri"/>
                    </w:rPr>
                  </w:pPr>
                  <w:r>
                    <w:rPr>
                      <w:rFonts w:ascii="Calibri" w:eastAsia="Calibri" w:hAnsi="Calibri" w:cs="Calibri"/>
                      <w:b/>
                      <w:sz w:val="22"/>
                      <w:szCs w:val="22"/>
                    </w:rPr>
                    <w:t>Faza III</w:t>
                  </w:r>
                </w:p>
              </w:tc>
              <w:tc>
                <w:tcPr>
                  <w:tcW w:w="251" w:type="dxa"/>
                  <w:tcBorders>
                    <w:top w:val="single" w:sz="8" w:space="0" w:color="000000"/>
                    <w:bottom w:val="single" w:sz="8" w:space="0" w:color="000000"/>
                    <w:right w:val="single" w:sz="8" w:space="0" w:color="000000"/>
                  </w:tcBorders>
                  <w:shd w:val="clear" w:color="auto" w:fill="95B3D7"/>
                  <w:vAlign w:val="center"/>
                </w:tcPr>
                <w:p w14:paraId="777CA517" w14:textId="77777777" w:rsidR="00E12F72" w:rsidRDefault="00E12F72">
                  <w:pPr>
                    <w:jc w:val="center"/>
                    <w:rPr>
                      <w:rFonts w:ascii="Calibri" w:eastAsia="Calibri" w:hAnsi="Calibri" w:cs="Calibri"/>
                    </w:rPr>
                  </w:pPr>
                </w:p>
              </w:tc>
            </w:tr>
            <w:tr w:rsidR="00600DEE" w14:paraId="0B721222" w14:textId="77777777" w:rsidTr="00E12F72">
              <w:trPr>
                <w:trHeight w:val="60"/>
              </w:trPr>
              <w:tc>
                <w:tcPr>
                  <w:tcW w:w="250" w:type="dxa"/>
                  <w:tcBorders>
                    <w:top w:val="single" w:sz="8" w:space="0" w:color="000000"/>
                  </w:tcBorders>
                </w:tcPr>
                <w:p w14:paraId="503DD326" w14:textId="77777777" w:rsidR="00600DEE" w:rsidRDefault="00600DEE">
                  <w:pPr>
                    <w:rPr>
                      <w:rFonts w:ascii="Calibri" w:eastAsia="Calibri" w:hAnsi="Calibri" w:cs="Calibri"/>
                      <w:b/>
                    </w:rPr>
                  </w:pPr>
                </w:p>
              </w:tc>
              <w:tc>
                <w:tcPr>
                  <w:tcW w:w="1450" w:type="dxa"/>
                  <w:tcBorders>
                    <w:top w:val="single" w:sz="8" w:space="0" w:color="000000"/>
                  </w:tcBorders>
                </w:tcPr>
                <w:p w14:paraId="6EDA2B13" w14:textId="77777777" w:rsidR="00600DEE" w:rsidRDefault="00600DEE">
                  <w:pPr>
                    <w:rPr>
                      <w:rFonts w:ascii="Calibri" w:eastAsia="Calibri" w:hAnsi="Calibri" w:cs="Calibri"/>
                      <w:b/>
                    </w:rPr>
                  </w:pPr>
                </w:p>
              </w:tc>
              <w:tc>
                <w:tcPr>
                  <w:tcW w:w="422" w:type="dxa"/>
                  <w:tcBorders>
                    <w:top w:val="single" w:sz="8" w:space="0" w:color="000000"/>
                  </w:tcBorders>
                </w:tcPr>
                <w:p w14:paraId="42B362AD" w14:textId="77777777" w:rsidR="00600DEE" w:rsidRDefault="00600DEE">
                  <w:pPr>
                    <w:rPr>
                      <w:rFonts w:ascii="Calibri" w:eastAsia="Calibri" w:hAnsi="Calibri" w:cs="Calibri"/>
                    </w:rPr>
                  </w:pPr>
                </w:p>
              </w:tc>
              <w:tc>
                <w:tcPr>
                  <w:tcW w:w="2385" w:type="dxa"/>
                  <w:tcBorders>
                    <w:top w:val="single" w:sz="8" w:space="0" w:color="000000"/>
                  </w:tcBorders>
                </w:tcPr>
                <w:p w14:paraId="76DD5A8A" w14:textId="77777777" w:rsidR="00600DEE" w:rsidRDefault="00600DEE">
                  <w:pPr>
                    <w:rPr>
                      <w:rFonts w:ascii="Calibri" w:eastAsia="Calibri" w:hAnsi="Calibri" w:cs="Calibri"/>
                    </w:rPr>
                  </w:pPr>
                </w:p>
              </w:tc>
              <w:tc>
                <w:tcPr>
                  <w:tcW w:w="562" w:type="dxa"/>
                  <w:tcBorders>
                    <w:top w:val="single" w:sz="8" w:space="0" w:color="000000"/>
                  </w:tcBorders>
                </w:tcPr>
                <w:p w14:paraId="24E75C37" w14:textId="77777777" w:rsidR="00600DEE" w:rsidRDefault="00600DEE">
                  <w:pPr>
                    <w:rPr>
                      <w:rFonts w:ascii="Calibri" w:eastAsia="Calibri" w:hAnsi="Calibri" w:cs="Calibri"/>
                    </w:rPr>
                  </w:pPr>
                </w:p>
              </w:tc>
              <w:tc>
                <w:tcPr>
                  <w:tcW w:w="2004" w:type="dxa"/>
                  <w:tcBorders>
                    <w:top w:val="single" w:sz="8" w:space="0" w:color="000000"/>
                  </w:tcBorders>
                </w:tcPr>
                <w:p w14:paraId="5AC97C07" w14:textId="77777777" w:rsidR="00600DEE" w:rsidRDefault="00600DEE">
                  <w:pPr>
                    <w:rPr>
                      <w:rFonts w:ascii="Calibri" w:eastAsia="Calibri" w:hAnsi="Calibri" w:cs="Calibri"/>
                    </w:rPr>
                  </w:pPr>
                </w:p>
              </w:tc>
              <w:tc>
                <w:tcPr>
                  <w:tcW w:w="251" w:type="dxa"/>
                  <w:tcBorders>
                    <w:top w:val="single" w:sz="8" w:space="0" w:color="000000"/>
                  </w:tcBorders>
                </w:tcPr>
                <w:p w14:paraId="7EA7EE68" w14:textId="77777777" w:rsidR="00600DEE" w:rsidRDefault="00600DEE">
                  <w:pPr>
                    <w:rPr>
                      <w:rFonts w:ascii="Calibri" w:eastAsia="Calibri" w:hAnsi="Calibri" w:cs="Calibri"/>
                    </w:rPr>
                  </w:pPr>
                </w:p>
              </w:tc>
            </w:tr>
            <w:tr w:rsidR="00600DEE" w14:paraId="3E52FC8F" w14:textId="77777777" w:rsidTr="00E12F72">
              <w:trPr>
                <w:trHeight w:hRule="exact" w:val="1134"/>
              </w:trPr>
              <w:tc>
                <w:tcPr>
                  <w:tcW w:w="250" w:type="dxa"/>
                </w:tcPr>
                <w:p w14:paraId="322E49B1" w14:textId="77777777" w:rsidR="00600DEE" w:rsidRDefault="00600DEE">
                  <w:pPr>
                    <w:rPr>
                      <w:rFonts w:ascii="Calibri" w:eastAsia="Calibri" w:hAnsi="Calibri" w:cs="Calibri"/>
                      <w:b/>
                    </w:rPr>
                  </w:pPr>
                </w:p>
              </w:tc>
              <w:tc>
                <w:tcPr>
                  <w:tcW w:w="1450" w:type="dxa"/>
                  <w:shd w:val="clear" w:color="auto" w:fill="F2F2F2"/>
                  <w:vAlign w:val="center"/>
                </w:tcPr>
                <w:p w14:paraId="34CDCCA4"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Analiza</w:t>
                  </w:r>
                </w:p>
                <w:p w14:paraId="5630720A" w14:textId="77777777" w:rsidR="00600DEE" w:rsidRDefault="00641FB5">
                  <w:pPr>
                    <w:ind w:right="170"/>
                    <w:rPr>
                      <w:rFonts w:ascii="Calibri" w:eastAsia="Calibri" w:hAnsi="Calibri" w:cs="Calibri"/>
                      <w:b/>
                    </w:rPr>
                  </w:pPr>
                  <w:r>
                    <w:rPr>
                      <w:rFonts w:ascii="Calibri" w:eastAsia="Calibri" w:hAnsi="Calibri" w:cs="Calibri"/>
                      <w:b/>
                      <w:sz w:val="16"/>
                      <w:szCs w:val="16"/>
                    </w:rPr>
                    <w:t>finansowa</w:t>
                  </w:r>
                </w:p>
              </w:tc>
              <w:tc>
                <w:tcPr>
                  <w:tcW w:w="422" w:type="dxa"/>
                </w:tcPr>
                <w:p w14:paraId="1B93C7E5"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13536" behindDoc="0" locked="0" layoutInCell="1" hidden="0" allowOverlap="1" wp14:anchorId="1C0CF03E" wp14:editId="376935B8">
                            <wp:simplePos x="0" y="0"/>
                            <wp:positionH relativeFrom="column">
                              <wp:posOffset>1</wp:posOffset>
                            </wp:positionH>
                            <wp:positionV relativeFrom="paragraph">
                              <wp:posOffset>165100</wp:posOffset>
                            </wp:positionV>
                            <wp:extent cx="263000" cy="248600"/>
                            <wp:effectExtent l="0" t="0" r="0" b="0"/>
                            <wp:wrapNone/>
                            <wp:docPr id="518" name="Strzałka: w prawo 518"/>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52AD9038"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1C0CF03E" id="Strzałka: w prawo 518" o:spid="_x0000_s1054" type="#_x0000_t13" style="position:absolute;margin-left:0;margin-top:13pt;width:20.7pt;height:19.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" adj="11455" fillcolor="#538cd5" strokecolor="#366092" strokeweight="2pt">
                            <v:stroke startarrowwidth="narrow" startarrowlength="short" endarrowwidth="narrow" endarrowlength="short" joinstyle="round"/>
                            <v:textbox inset="2.53958mm,2.53958mm,2.53958mm,2.53958mm">
                              <w:txbxContent>
                                <w:p w14:paraId="52AD9038" w14:textId="77777777" w:rsidR="007463B9" w:rsidRDefault="007463B9">
                                  <w:pPr>
                                    <w:textDirection w:val="btLr"/>
                                  </w:pP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hidden="0" allowOverlap="1" wp14:anchorId="5A3E9A5A" wp14:editId="2EB4459D">
                            <wp:simplePos x="0" y="0"/>
                            <wp:positionH relativeFrom="column">
                              <wp:posOffset>1701800</wp:posOffset>
                            </wp:positionH>
                            <wp:positionV relativeFrom="paragraph">
                              <wp:posOffset>165100</wp:posOffset>
                            </wp:positionV>
                            <wp:extent cx="262586" cy="248036"/>
                            <wp:effectExtent l="0" t="0" r="0" b="0"/>
                            <wp:wrapNone/>
                            <wp:docPr id="469" name="Strzałka: w prawo 469"/>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17788888"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5A3E9A5A" id="Strzałka: w prawo 469" o:spid="_x0000_s1055" type="#_x0000_t13" style="position:absolute;margin-left:134pt;margin-top:13pt;width:20.7pt;height:19.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" adj="11463" fillcolor="#538cd5" strokecolor="#366092" strokeweight="2pt">
                            <v:stroke startarrowwidth="narrow" startarrowlength="short" endarrowwidth="narrow" endarrowlength="short" joinstyle="round"/>
                            <v:textbox inset="2.53958mm,2.53958mm,2.53958mm,2.53958mm">
                              <w:txbxContent>
                                <w:p w14:paraId="17788888" w14:textId="77777777" w:rsidR="007463B9" w:rsidRDefault="007463B9">
                                  <w:pPr>
                                    <w:textDirection w:val="btLr"/>
                                  </w:pPr>
                                </w:p>
                              </w:txbxContent>
                            </v:textbox>
                          </v:shape>
                        </w:pict>
                      </mc:Fallback>
                    </mc:AlternateContent>
                  </w:r>
                </w:p>
              </w:tc>
              <w:tc>
                <w:tcPr>
                  <w:tcW w:w="2385" w:type="dxa"/>
                  <w:vAlign w:val="center"/>
                </w:tcPr>
                <w:p w14:paraId="0F686300"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Określenie założeń</w:t>
                  </w:r>
                </w:p>
                <w:p w14:paraId="32AAC36E"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Zestawienie przepływów pieniężnych </w:t>
                  </w:r>
                </w:p>
                <w:p w14:paraId="5C1810ED"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Opłacalność finansowa projektu </w:t>
                  </w:r>
                </w:p>
                <w:p w14:paraId="224E3641"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Trwałość finansowa projektu</w:t>
                  </w:r>
                </w:p>
                <w:p w14:paraId="2D843381"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Ustalenie wkładu UE </w:t>
                  </w:r>
                </w:p>
                <w:p w14:paraId="43B8B82D" w14:textId="77777777" w:rsidR="00600DEE" w:rsidRDefault="00600DEE">
                  <w:pPr>
                    <w:ind w:right="170"/>
                    <w:rPr>
                      <w:rFonts w:ascii="Calibri" w:eastAsia="Calibri" w:hAnsi="Calibri" w:cs="Calibri"/>
                    </w:rPr>
                  </w:pPr>
                </w:p>
              </w:tc>
              <w:tc>
                <w:tcPr>
                  <w:tcW w:w="562" w:type="dxa"/>
                </w:tcPr>
                <w:p w14:paraId="207E67CC" w14:textId="77777777" w:rsidR="00600DEE" w:rsidRDefault="00600DEE">
                  <w:pPr>
                    <w:rPr>
                      <w:rFonts w:ascii="Calibri" w:eastAsia="Calibri" w:hAnsi="Calibri" w:cs="Calibri"/>
                    </w:rPr>
                  </w:pPr>
                </w:p>
              </w:tc>
              <w:tc>
                <w:tcPr>
                  <w:tcW w:w="2004" w:type="dxa"/>
                  <w:shd w:val="clear" w:color="auto" w:fill="A6A6A6"/>
                  <w:vAlign w:val="center"/>
                </w:tcPr>
                <w:p w14:paraId="2C60C198"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Wykazanie, że inwestycja wymaga dofinansowania</w:t>
                  </w:r>
                </w:p>
                <w:p w14:paraId="16EFBECF" w14:textId="77777777" w:rsidR="00600DEE" w:rsidRDefault="00641FB5">
                  <w:pPr>
                    <w:ind w:right="170"/>
                    <w:rPr>
                      <w:rFonts w:ascii="Calibri" w:eastAsia="Calibri" w:hAnsi="Calibri" w:cs="Calibri"/>
                      <w:sz w:val="16"/>
                      <w:szCs w:val="16"/>
                    </w:rPr>
                  </w:pPr>
                  <w:r>
                    <w:rPr>
                      <w:rFonts w:ascii="Calibri" w:eastAsia="Calibri" w:hAnsi="Calibri" w:cs="Calibri"/>
                      <w:sz w:val="13"/>
                      <w:szCs w:val="13"/>
                    </w:rPr>
                    <w:t xml:space="preserve">- Obliczenie kwoty dotacji UE </w:t>
                  </w:r>
                </w:p>
              </w:tc>
              <w:tc>
                <w:tcPr>
                  <w:tcW w:w="251" w:type="dxa"/>
                </w:tcPr>
                <w:p w14:paraId="0677D5D5" w14:textId="77777777" w:rsidR="00600DEE" w:rsidRDefault="00600DEE">
                  <w:pPr>
                    <w:rPr>
                      <w:rFonts w:ascii="Calibri" w:eastAsia="Calibri" w:hAnsi="Calibri" w:cs="Calibri"/>
                    </w:rPr>
                  </w:pPr>
                </w:p>
              </w:tc>
            </w:tr>
            <w:tr w:rsidR="00600DEE" w14:paraId="73964653" w14:textId="77777777" w:rsidTr="00E12F72">
              <w:trPr>
                <w:trHeight w:val="69"/>
              </w:trPr>
              <w:tc>
                <w:tcPr>
                  <w:tcW w:w="250" w:type="dxa"/>
                  <w:tcBorders>
                    <w:bottom w:val="single" w:sz="8" w:space="0" w:color="000000"/>
                  </w:tcBorders>
                </w:tcPr>
                <w:p w14:paraId="10AFCBED" w14:textId="77777777" w:rsidR="00600DEE" w:rsidRDefault="00600DEE">
                  <w:pPr>
                    <w:rPr>
                      <w:rFonts w:ascii="Calibri" w:eastAsia="Calibri" w:hAnsi="Calibri" w:cs="Calibri"/>
                      <w:b/>
                    </w:rPr>
                  </w:pPr>
                </w:p>
              </w:tc>
              <w:tc>
                <w:tcPr>
                  <w:tcW w:w="1450" w:type="dxa"/>
                  <w:tcBorders>
                    <w:bottom w:val="single" w:sz="8" w:space="0" w:color="000000"/>
                  </w:tcBorders>
                </w:tcPr>
                <w:p w14:paraId="432EEBA2" w14:textId="77777777" w:rsidR="00600DEE" w:rsidRDefault="00600DEE">
                  <w:pPr>
                    <w:rPr>
                      <w:rFonts w:ascii="Calibri" w:eastAsia="Calibri" w:hAnsi="Calibri" w:cs="Calibri"/>
                      <w:b/>
                    </w:rPr>
                  </w:pPr>
                </w:p>
              </w:tc>
              <w:tc>
                <w:tcPr>
                  <w:tcW w:w="422" w:type="dxa"/>
                  <w:tcBorders>
                    <w:bottom w:val="single" w:sz="8" w:space="0" w:color="000000"/>
                  </w:tcBorders>
                </w:tcPr>
                <w:p w14:paraId="7A1289F4" w14:textId="77777777" w:rsidR="00600DEE" w:rsidRDefault="00600DEE">
                  <w:pPr>
                    <w:rPr>
                      <w:rFonts w:ascii="Calibri" w:eastAsia="Calibri" w:hAnsi="Calibri" w:cs="Calibri"/>
                    </w:rPr>
                  </w:pPr>
                </w:p>
              </w:tc>
              <w:tc>
                <w:tcPr>
                  <w:tcW w:w="2385" w:type="dxa"/>
                  <w:tcBorders>
                    <w:bottom w:val="single" w:sz="8" w:space="0" w:color="000000"/>
                  </w:tcBorders>
                </w:tcPr>
                <w:p w14:paraId="34434942" w14:textId="77777777" w:rsidR="00600DEE" w:rsidRDefault="00600DEE">
                  <w:pPr>
                    <w:rPr>
                      <w:rFonts w:ascii="Calibri" w:eastAsia="Calibri" w:hAnsi="Calibri" w:cs="Calibri"/>
                    </w:rPr>
                  </w:pPr>
                </w:p>
              </w:tc>
              <w:tc>
                <w:tcPr>
                  <w:tcW w:w="562" w:type="dxa"/>
                  <w:tcBorders>
                    <w:bottom w:val="single" w:sz="8" w:space="0" w:color="000000"/>
                  </w:tcBorders>
                </w:tcPr>
                <w:p w14:paraId="145E26F2" w14:textId="77777777" w:rsidR="00600DEE" w:rsidRDefault="00600DEE">
                  <w:pPr>
                    <w:rPr>
                      <w:rFonts w:ascii="Calibri" w:eastAsia="Calibri" w:hAnsi="Calibri" w:cs="Calibri"/>
                    </w:rPr>
                  </w:pPr>
                </w:p>
              </w:tc>
              <w:tc>
                <w:tcPr>
                  <w:tcW w:w="2004" w:type="dxa"/>
                  <w:tcBorders>
                    <w:bottom w:val="single" w:sz="8" w:space="0" w:color="000000"/>
                  </w:tcBorders>
                </w:tcPr>
                <w:p w14:paraId="7B08CDB4" w14:textId="77777777" w:rsidR="00600DEE" w:rsidRDefault="00600DEE">
                  <w:pPr>
                    <w:rPr>
                      <w:rFonts w:ascii="Calibri" w:eastAsia="Calibri" w:hAnsi="Calibri" w:cs="Calibri"/>
                    </w:rPr>
                  </w:pPr>
                </w:p>
              </w:tc>
              <w:tc>
                <w:tcPr>
                  <w:tcW w:w="251" w:type="dxa"/>
                  <w:tcBorders>
                    <w:bottom w:val="single" w:sz="8" w:space="0" w:color="000000"/>
                  </w:tcBorders>
                </w:tcPr>
                <w:p w14:paraId="1BC870A6" w14:textId="77777777" w:rsidR="00600DEE" w:rsidRDefault="00600DEE">
                  <w:pPr>
                    <w:rPr>
                      <w:rFonts w:ascii="Calibri" w:eastAsia="Calibri" w:hAnsi="Calibri" w:cs="Calibri"/>
                    </w:rPr>
                  </w:pPr>
                </w:p>
              </w:tc>
            </w:tr>
            <w:tr w:rsidR="00600DEE" w14:paraId="6D9AAA7B" w14:textId="77777777" w:rsidTr="00E12F72">
              <w:trPr>
                <w:trHeight w:hRule="exact" w:val="340"/>
              </w:trPr>
              <w:tc>
                <w:tcPr>
                  <w:tcW w:w="250" w:type="dxa"/>
                  <w:tcBorders>
                    <w:top w:val="single" w:sz="8" w:space="0" w:color="000000"/>
                    <w:left w:val="single" w:sz="8" w:space="0" w:color="000000"/>
                    <w:bottom w:val="single" w:sz="8" w:space="0" w:color="000000"/>
                  </w:tcBorders>
                  <w:shd w:val="clear" w:color="auto" w:fill="366091"/>
                  <w:vAlign w:val="center"/>
                </w:tcPr>
                <w:p w14:paraId="6714DCEE" w14:textId="77777777" w:rsidR="00600DEE" w:rsidRDefault="00600DEE">
                  <w:pPr>
                    <w:jc w:val="center"/>
                    <w:rPr>
                      <w:rFonts w:ascii="Calibri" w:eastAsia="Calibri" w:hAnsi="Calibri" w:cs="Calibri"/>
                      <w:b/>
                    </w:rPr>
                  </w:pPr>
                </w:p>
              </w:tc>
              <w:tc>
                <w:tcPr>
                  <w:tcW w:w="1450" w:type="dxa"/>
                  <w:tcBorders>
                    <w:top w:val="single" w:sz="8" w:space="0" w:color="000000"/>
                    <w:bottom w:val="single" w:sz="8" w:space="0" w:color="000000"/>
                  </w:tcBorders>
                  <w:shd w:val="clear" w:color="auto" w:fill="366091"/>
                  <w:vAlign w:val="center"/>
                </w:tcPr>
                <w:p w14:paraId="266C7D31" w14:textId="77777777" w:rsidR="00600DEE" w:rsidRDefault="00600DEE">
                  <w:pPr>
                    <w:jc w:val="center"/>
                    <w:rPr>
                      <w:rFonts w:ascii="Calibri" w:eastAsia="Calibri" w:hAnsi="Calibri" w:cs="Calibri"/>
                      <w:b/>
                    </w:rPr>
                  </w:pPr>
                </w:p>
              </w:tc>
              <w:tc>
                <w:tcPr>
                  <w:tcW w:w="422" w:type="dxa"/>
                  <w:tcBorders>
                    <w:top w:val="single" w:sz="8" w:space="0" w:color="000000"/>
                    <w:bottom w:val="single" w:sz="8" w:space="0" w:color="000000"/>
                  </w:tcBorders>
                  <w:shd w:val="clear" w:color="auto" w:fill="366091"/>
                  <w:vAlign w:val="center"/>
                </w:tcPr>
                <w:p w14:paraId="2B0B7567" w14:textId="77777777" w:rsidR="00600DEE" w:rsidRDefault="00600DEE">
                  <w:pPr>
                    <w:jc w:val="center"/>
                    <w:rPr>
                      <w:rFonts w:ascii="Calibri" w:eastAsia="Calibri" w:hAnsi="Calibri" w:cs="Calibri"/>
                    </w:rPr>
                  </w:pPr>
                </w:p>
              </w:tc>
              <w:tc>
                <w:tcPr>
                  <w:tcW w:w="2385" w:type="dxa"/>
                  <w:tcBorders>
                    <w:top w:val="single" w:sz="8" w:space="0" w:color="000000"/>
                    <w:bottom w:val="single" w:sz="8" w:space="0" w:color="000000"/>
                  </w:tcBorders>
                  <w:shd w:val="clear" w:color="auto" w:fill="366091"/>
                  <w:vAlign w:val="center"/>
                </w:tcPr>
                <w:p w14:paraId="71A3B786" w14:textId="77777777" w:rsidR="00600DEE" w:rsidRDefault="00641FB5">
                  <w:pPr>
                    <w:jc w:val="center"/>
                    <w:rPr>
                      <w:rFonts w:ascii="Calibri" w:eastAsia="Calibri" w:hAnsi="Calibri" w:cs="Calibri"/>
                      <w:b/>
                      <w:sz w:val="22"/>
                      <w:szCs w:val="22"/>
                    </w:rPr>
                  </w:pPr>
                  <w:r>
                    <w:rPr>
                      <w:rFonts w:ascii="Calibri" w:eastAsia="Calibri" w:hAnsi="Calibri" w:cs="Calibri"/>
                      <w:b/>
                      <w:color w:val="FFFFFF"/>
                      <w:sz w:val="22"/>
                      <w:szCs w:val="22"/>
                    </w:rPr>
                    <w:t>Faza IV</w:t>
                  </w:r>
                </w:p>
              </w:tc>
              <w:tc>
                <w:tcPr>
                  <w:tcW w:w="562" w:type="dxa"/>
                  <w:tcBorders>
                    <w:top w:val="single" w:sz="8" w:space="0" w:color="000000"/>
                    <w:bottom w:val="single" w:sz="8" w:space="0" w:color="000000"/>
                  </w:tcBorders>
                  <w:shd w:val="clear" w:color="auto" w:fill="366091"/>
                  <w:vAlign w:val="center"/>
                </w:tcPr>
                <w:p w14:paraId="30C477FB" w14:textId="77777777" w:rsidR="00600DEE" w:rsidRDefault="00600DEE">
                  <w:pPr>
                    <w:jc w:val="center"/>
                    <w:rPr>
                      <w:rFonts w:ascii="Calibri" w:eastAsia="Calibri" w:hAnsi="Calibri" w:cs="Calibri"/>
                    </w:rPr>
                  </w:pPr>
                </w:p>
              </w:tc>
              <w:tc>
                <w:tcPr>
                  <w:tcW w:w="2004" w:type="dxa"/>
                  <w:tcBorders>
                    <w:top w:val="single" w:sz="8" w:space="0" w:color="000000"/>
                    <w:bottom w:val="single" w:sz="8" w:space="0" w:color="000000"/>
                  </w:tcBorders>
                  <w:shd w:val="clear" w:color="auto" w:fill="366091"/>
                  <w:vAlign w:val="center"/>
                </w:tcPr>
                <w:p w14:paraId="7C3BAC06" w14:textId="77777777" w:rsidR="00600DEE" w:rsidRDefault="00600DEE">
                  <w:pPr>
                    <w:jc w:val="center"/>
                    <w:rPr>
                      <w:rFonts w:ascii="Calibri" w:eastAsia="Calibri" w:hAnsi="Calibri" w:cs="Calibri"/>
                    </w:rPr>
                  </w:pPr>
                </w:p>
              </w:tc>
              <w:tc>
                <w:tcPr>
                  <w:tcW w:w="251" w:type="dxa"/>
                  <w:tcBorders>
                    <w:top w:val="single" w:sz="8" w:space="0" w:color="000000"/>
                    <w:bottom w:val="single" w:sz="8" w:space="0" w:color="000000"/>
                    <w:right w:val="single" w:sz="8" w:space="0" w:color="000000"/>
                  </w:tcBorders>
                  <w:shd w:val="clear" w:color="auto" w:fill="366091"/>
                  <w:vAlign w:val="center"/>
                </w:tcPr>
                <w:p w14:paraId="18436C33" w14:textId="77777777" w:rsidR="00600DEE" w:rsidRDefault="00600DEE">
                  <w:pPr>
                    <w:jc w:val="center"/>
                    <w:rPr>
                      <w:rFonts w:ascii="Calibri" w:eastAsia="Calibri" w:hAnsi="Calibri" w:cs="Calibri"/>
                    </w:rPr>
                  </w:pPr>
                </w:p>
              </w:tc>
            </w:tr>
            <w:tr w:rsidR="00600DEE" w14:paraId="5F827CDC" w14:textId="77777777" w:rsidTr="00E12F72">
              <w:trPr>
                <w:trHeight w:val="60"/>
              </w:trPr>
              <w:tc>
                <w:tcPr>
                  <w:tcW w:w="250" w:type="dxa"/>
                  <w:tcBorders>
                    <w:top w:val="single" w:sz="8" w:space="0" w:color="000000"/>
                  </w:tcBorders>
                </w:tcPr>
                <w:p w14:paraId="618B153C" w14:textId="77777777" w:rsidR="00600DEE" w:rsidRDefault="00600DEE">
                  <w:pPr>
                    <w:rPr>
                      <w:rFonts w:ascii="Calibri" w:eastAsia="Calibri" w:hAnsi="Calibri" w:cs="Calibri"/>
                      <w:b/>
                    </w:rPr>
                  </w:pPr>
                </w:p>
              </w:tc>
              <w:tc>
                <w:tcPr>
                  <w:tcW w:w="1450" w:type="dxa"/>
                  <w:tcBorders>
                    <w:top w:val="single" w:sz="8" w:space="0" w:color="000000"/>
                  </w:tcBorders>
                </w:tcPr>
                <w:p w14:paraId="2FBA9602" w14:textId="77777777" w:rsidR="00600DEE" w:rsidRDefault="00600DEE">
                  <w:pPr>
                    <w:rPr>
                      <w:rFonts w:ascii="Calibri" w:eastAsia="Calibri" w:hAnsi="Calibri" w:cs="Calibri"/>
                      <w:b/>
                    </w:rPr>
                  </w:pPr>
                </w:p>
              </w:tc>
              <w:tc>
                <w:tcPr>
                  <w:tcW w:w="422" w:type="dxa"/>
                  <w:tcBorders>
                    <w:top w:val="single" w:sz="8" w:space="0" w:color="000000"/>
                  </w:tcBorders>
                </w:tcPr>
                <w:p w14:paraId="2419A431" w14:textId="77777777" w:rsidR="00600DEE" w:rsidRDefault="00600DEE">
                  <w:pPr>
                    <w:rPr>
                      <w:rFonts w:ascii="Calibri" w:eastAsia="Calibri" w:hAnsi="Calibri" w:cs="Calibri"/>
                    </w:rPr>
                  </w:pPr>
                </w:p>
              </w:tc>
              <w:tc>
                <w:tcPr>
                  <w:tcW w:w="2385" w:type="dxa"/>
                  <w:tcBorders>
                    <w:top w:val="single" w:sz="8" w:space="0" w:color="000000"/>
                  </w:tcBorders>
                </w:tcPr>
                <w:p w14:paraId="06BCC100" w14:textId="77777777" w:rsidR="00600DEE" w:rsidRDefault="00600DEE">
                  <w:pPr>
                    <w:rPr>
                      <w:rFonts w:ascii="Calibri" w:eastAsia="Calibri" w:hAnsi="Calibri" w:cs="Calibri"/>
                    </w:rPr>
                  </w:pPr>
                </w:p>
              </w:tc>
              <w:tc>
                <w:tcPr>
                  <w:tcW w:w="562" w:type="dxa"/>
                  <w:tcBorders>
                    <w:top w:val="single" w:sz="8" w:space="0" w:color="000000"/>
                  </w:tcBorders>
                </w:tcPr>
                <w:p w14:paraId="1244BE45" w14:textId="77777777" w:rsidR="00600DEE" w:rsidRDefault="00600DEE">
                  <w:pPr>
                    <w:rPr>
                      <w:rFonts w:ascii="Calibri" w:eastAsia="Calibri" w:hAnsi="Calibri" w:cs="Calibri"/>
                    </w:rPr>
                  </w:pPr>
                </w:p>
              </w:tc>
              <w:tc>
                <w:tcPr>
                  <w:tcW w:w="2004" w:type="dxa"/>
                  <w:tcBorders>
                    <w:top w:val="single" w:sz="8" w:space="0" w:color="000000"/>
                  </w:tcBorders>
                </w:tcPr>
                <w:p w14:paraId="7244296A" w14:textId="77777777" w:rsidR="00600DEE" w:rsidRDefault="00600DEE">
                  <w:pPr>
                    <w:rPr>
                      <w:rFonts w:ascii="Calibri" w:eastAsia="Calibri" w:hAnsi="Calibri" w:cs="Calibri"/>
                    </w:rPr>
                  </w:pPr>
                </w:p>
              </w:tc>
              <w:tc>
                <w:tcPr>
                  <w:tcW w:w="251" w:type="dxa"/>
                  <w:tcBorders>
                    <w:top w:val="single" w:sz="8" w:space="0" w:color="000000"/>
                  </w:tcBorders>
                </w:tcPr>
                <w:p w14:paraId="3BF5CB3B" w14:textId="77777777" w:rsidR="00600DEE" w:rsidRDefault="00600DEE">
                  <w:pPr>
                    <w:rPr>
                      <w:rFonts w:ascii="Calibri" w:eastAsia="Calibri" w:hAnsi="Calibri" w:cs="Calibri"/>
                    </w:rPr>
                  </w:pPr>
                </w:p>
              </w:tc>
            </w:tr>
            <w:tr w:rsidR="00600DEE" w14:paraId="46F83294" w14:textId="77777777" w:rsidTr="00E12F72">
              <w:trPr>
                <w:trHeight w:hRule="exact" w:val="1531"/>
              </w:trPr>
              <w:tc>
                <w:tcPr>
                  <w:tcW w:w="250" w:type="dxa"/>
                </w:tcPr>
                <w:p w14:paraId="2BFCE960" w14:textId="77777777" w:rsidR="00600DEE" w:rsidRDefault="00600DEE">
                  <w:pPr>
                    <w:rPr>
                      <w:rFonts w:ascii="Calibri" w:eastAsia="Calibri" w:hAnsi="Calibri" w:cs="Calibri"/>
                      <w:b/>
                    </w:rPr>
                  </w:pPr>
                </w:p>
              </w:tc>
              <w:tc>
                <w:tcPr>
                  <w:tcW w:w="1450" w:type="dxa"/>
                  <w:shd w:val="clear" w:color="auto" w:fill="F2F2F2"/>
                  <w:vAlign w:val="center"/>
                </w:tcPr>
                <w:p w14:paraId="2091DF78" w14:textId="77777777" w:rsidR="00600DEE" w:rsidRDefault="00641FB5">
                  <w:pPr>
                    <w:ind w:right="170"/>
                    <w:rPr>
                      <w:rFonts w:ascii="Calibri" w:eastAsia="Calibri" w:hAnsi="Calibri" w:cs="Calibri"/>
                      <w:b/>
                    </w:rPr>
                  </w:pPr>
                  <w:r>
                    <w:rPr>
                      <w:rFonts w:ascii="Calibri" w:eastAsia="Calibri" w:hAnsi="Calibri" w:cs="Calibri"/>
                      <w:b/>
                      <w:sz w:val="16"/>
                      <w:szCs w:val="16"/>
                    </w:rPr>
                    <w:t xml:space="preserve">Ocena ryzyka </w:t>
                  </w:r>
                </w:p>
              </w:tc>
              <w:tc>
                <w:tcPr>
                  <w:tcW w:w="422" w:type="dxa"/>
                </w:tcPr>
                <w:p w14:paraId="1736BF09"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15584" behindDoc="0" locked="0" layoutInCell="1" hidden="0" allowOverlap="1" wp14:anchorId="54DF667C" wp14:editId="196B83B5">
                            <wp:simplePos x="0" y="0"/>
                            <wp:positionH relativeFrom="column">
                              <wp:posOffset>1</wp:posOffset>
                            </wp:positionH>
                            <wp:positionV relativeFrom="paragraph">
                              <wp:posOffset>266700</wp:posOffset>
                            </wp:positionV>
                            <wp:extent cx="263000" cy="248600"/>
                            <wp:effectExtent l="0" t="0" r="0" b="0"/>
                            <wp:wrapNone/>
                            <wp:docPr id="488" name="Strzałka: w prawo 488"/>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44187A89"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54DF667C" id="Strzałka: w prawo 488" o:spid="_x0000_s1056" type="#_x0000_t13" style="position:absolute;margin-left:0;margin-top:21pt;width:20.7pt;height:19.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" adj="11455" fillcolor="#366092" strokecolor="#17365d" strokeweight="2pt">
                            <v:stroke startarrowwidth="narrow" startarrowlength="short" endarrowwidth="narrow" endarrowlength="short" joinstyle="round"/>
                            <v:textbox inset="2.53958mm,2.53958mm,2.53958mm,2.53958mm">
                              <w:txbxContent>
                                <w:p w14:paraId="44187A89" w14:textId="77777777" w:rsidR="007463B9" w:rsidRDefault="007463B9">
                                  <w:pPr>
                                    <w:textDirection w:val="btLr"/>
                                  </w:pPr>
                                </w:p>
                              </w:txbxContent>
                            </v:textbox>
                          </v:shape>
                        </w:pict>
                      </mc:Fallback>
                    </mc:AlternateContent>
                  </w:r>
                  <w:r>
                    <w:rPr>
                      <w:noProof/>
                      <w:lang w:val="en-GB" w:eastAsia="en-GB"/>
                    </w:rPr>
                    <mc:AlternateContent>
                      <mc:Choice Requires="wps">
                        <w:drawing>
                          <wp:anchor distT="0" distB="0" distL="114300" distR="114300" simplePos="0" relativeHeight="251716608" behindDoc="0" locked="0" layoutInCell="1" hidden="0" allowOverlap="1" wp14:anchorId="4CA8765E" wp14:editId="75D1D627">
                            <wp:simplePos x="0" y="0"/>
                            <wp:positionH relativeFrom="column">
                              <wp:posOffset>1701800</wp:posOffset>
                            </wp:positionH>
                            <wp:positionV relativeFrom="paragraph">
                              <wp:posOffset>266700</wp:posOffset>
                            </wp:positionV>
                            <wp:extent cx="262586" cy="248036"/>
                            <wp:effectExtent l="0" t="0" r="0" b="0"/>
                            <wp:wrapNone/>
                            <wp:docPr id="493" name="Strzałka: w prawo 493"/>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7C24C01F"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4CA8765E" id="Strzałka: w prawo 493" o:spid="_x0000_s1057" type="#_x0000_t13" style="position:absolute;margin-left:134pt;margin-top:21pt;width:20.7pt;height:19.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" adj="11463" fillcolor="#366092" strokecolor="#17365d" strokeweight="2pt">
                            <v:stroke startarrowwidth="narrow" startarrowlength="short" endarrowwidth="narrow" endarrowlength="short" joinstyle="round"/>
                            <v:textbox inset="2.53958mm,2.53958mm,2.53958mm,2.53958mm">
                              <w:txbxContent>
                                <w:p w14:paraId="7C24C01F" w14:textId="77777777" w:rsidR="007463B9" w:rsidRDefault="007463B9">
                                  <w:pPr>
                                    <w:textDirection w:val="btLr"/>
                                  </w:pPr>
                                </w:p>
                              </w:txbxContent>
                            </v:textbox>
                          </v:shape>
                        </w:pict>
                      </mc:Fallback>
                    </mc:AlternateContent>
                  </w:r>
                </w:p>
              </w:tc>
              <w:tc>
                <w:tcPr>
                  <w:tcW w:w="2385" w:type="dxa"/>
                  <w:vAlign w:val="center"/>
                </w:tcPr>
                <w:p w14:paraId="2A4B77D7"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xml:space="preserve">- Analiza wrażliwości </w:t>
                  </w:r>
                </w:p>
                <w:p w14:paraId="2C413618"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xml:space="preserve">- Analiza ryzyka </w:t>
                  </w:r>
                </w:p>
              </w:tc>
              <w:tc>
                <w:tcPr>
                  <w:tcW w:w="562" w:type="dxa"/>
                </w:tcPr>
                <w:p w14:paraId="5CC4F907" w14:textId="77777777" w:rsidR="00600DEE" w:rsidRDefault="00600DEE">
                  <w:pPr>
                    <w:rPr>
                      <w:rFonts w:ascii="Calibri" w:eastAsia="Calibri" w:hAnsi="Calibri" w:cs="Calibri"/>
                    </w:rPr>
                  </w:pPr>
                </w:p>
              </w:tc>
              <w:tc>
                <w:tcPr>
                  <w:tcW w:w="2004" w:type="dxa"/>
                  <w:shd w:val="clear" w:color="auto" w:fill="A6A6A6"/>
                  <w:vAlign w:val="center"/>
                </w:tcPr>
                <w:p w14:paraId="0B92783C" w14:textId="77777777" w:rsidR="00600DEE" w:rsidRDefault="00641FB5">
                  <w:pPr>
                    <w:ind w:right="181"/>
                    <w:rPr>
                      <w:rFonts w:ascii="Calibri" w:eastAsia="Calibri" w:hAnsi="Calibri" w:cs="Calibri"/>
                      <w:sz w:val="13"/>
                      <w:szCs w:val="13"/>
                    </w:rPr>
                  </w:pPr>
                  <w:r>
                    <w:rPr>
                      <w:rFonts w:ascii="Calibri" w:eastAsia="Calibri" w:hAnsi="Calibri" w:cs="Calibri"/>
                      <w:sz w:val="13"/>
                      <w:szCs w:val="13"/>
                    </w:rPr>
                    <w:t xml:space="preserve">- Ocena wrażliwości rezultatów projektu na zmiany (dla zmiennych kluczowych oraz identyfikacja zmiennych krytycznych w tym wartości progowe) </w:t>
                  </w:r>
                </w:p>
                <w:p w14:paraId="0D1B3E7D" w14:textId="77777777" w:rsidR="00600DEE" w:rsidRDefault="00641FB5">
                  <w:pPr>
                    <w:ind w:right="170"/>
                    <w:rPr>
                      <w:rFonts w:ascii="Calibri" w:eastAsia="Calibri" w:hAnsi="Calibri" w:cs="Calibri"/>
                      <w:sz w:val="16"/>
                      <w:szCs w:val="16"/>
                    </w:rPr>
                  </w:pPr>
                  <w:r>
                    <w:rPr>
                      <w:rFonts w:ascii="Calibri" w:eastAsia="Calibri" w:hAnsi="Calibri" w:cs="Calibri"/>
                      <w:sz w:val="13"/>
                      <w:szCs w:val="13"/>
                    </w:rPr>
                    <w:t>- Omówienie obszarów ryzyka związanych z projektem</w:t>
                  </w:r>
                </w:p>
              </w:tc>
              <w:tc>
                <w:tcPr>
                  <w:tcW w:w="251" w:type="dxa"/>
                </w:tcPr>
                <w:p w14:paraId="6938E6B9" w14:textId="77777777" w:rsidR="00600DEE" w:rsidRDefault="00600DEE">
                  <w:pPr>
                    <w:rPr>
                      <w:rFonts w:ascii="Calibri" w:eastAsia="Calibri" w:hAnsi="Calibri" w:cs="Calibri"/>
                    </w:rPr>
                  </w:pPr>
                </w:p>
              </w:tc>
            </w:tr>
            <w:tr w:rsidR="00600DEE" w14:paraId="2F544846" w14:textId="77777777" w:rsidTr="00E12F72">
              <w:trPr>
                <w:trHeight w:val="79"/>
              </w:trPr>
              <w:tc>
                <w:tcPr>
                  <w:tcW w:w="250" w:type="dxa"/>
                </w:tcPr>
                <w:p w14:paraId="3AB93CC5" w14:textId="77777777" w:rsidR="00600DEE" w:rsidRDefault="00600DEE">
                  <w:pPr>
                    <w:rPr>
                      <w:rFonts w:ascii="Calibri" w:eastAsia="Calibri" w:hAnsi="Calibri" w:cs="Calibri"/>
                    </w:rPr>
                  </w:pPr>
                </w:p>
              </w:tc>
              <w:tc>
                <w:tcPr>
                  <w:tcW w:w="1450" w:type="dxa"/>
                </w:tcPr>
                <w:p w14:paraId="6F5D25B5" w14:textId="77777777" w:rsidR="00600DEE" w:rsidRDefault="00600DEE">
                  <w:pPr>
                    <w:rPr>
                      <w:rFonts w:ascii="Calibri" w:eastAsia="Calibri" w:hAnsi="Calibri" w:cs="Calibri"/>
                    </w:rPr>
                  </w:pPr>
                </w:p>
              </w:tc>
              <w:tc>
                <w:tcPr>
                  <w:tcW w:w="422" w:type="dxa"/>
                </w:tcPr>
                <w:p w14:paraId="637C9048" w14:textId="77777777" w:rsidR="00600DEE" w:rsidRDefault="00600DEE">
                  <w:pPr>
                    <w:rPr>
                      <w:rFonts w:ascii="Calibri" w:eastAsia="Calibri" w:hAnsi="Calibri" w:cs="Calibri"/>
                    </w:rPr>
                  </w:pPr>
                </w:p>
              </w:tc>
              <w:tc>
                <w:tcPr>
                  <w:tcW w:w="2385" w:type="dxa"/>
                </w:tcPr>
                <w:p w14:paraId="3CB7F9FD" w14:textId="77777777" w:rsidR="00600DEE" w:rsidRDefault="00600DEE">
                  <w:pPr>
                    <w:rPr>
                      <w:rFonts w:ascii="Calibri" w:eastAsia="Calibri" w:hAnsi="Calibri" w:cs="Calibri"/>
                    </w:rPr>
                  </w:pPr>
                </w:p>
              </w:tc>
              <w:tc>
                <w:tcPr>
                  <w:tcW w:w="562" w:type="dxa"/>
                </w:tcPr>
                <w:p w14:paraId="78FE44F6" w14:textId="77777777" w:rsidR="00600DEE" w:rsidRDefault="00600DEE">
                  <w:pPr>
                    <w:rPr>
                      <w:rFonts w:ascii="Calibri" w:eastAsia="Calibri" w:hAnsi="Calibri" w:cs="Calibri"/>
                    </w:rPr>
                  </w:pPr>
                </w:p>
              </w:tc>
              <w:tc>
                <w:tcPr>
                  <w:tcW w:w="2004" w:type="dxa"/>
                </w:tcPr>
                <w:p w14:paraId="4DA87A57" w14:textId="77777777" w:rsidR="00600DEE" w:rsidRDefault="00600DEE">
                  <w:pPr>
                    <w:rPr>
                      <w:rFonts w:ascii="Calibri" w:eastAsia="Calibri" w:hAnsi="Calibri" w:cs="Calibri"/>
                    </w:rPr>
                  </w:pPr>
                </w:p>
              </w:tc>
              <w:tc>
                <w:tcPr>
                  <w:tcW w:w="251" w:type="dxa"/>
                </w:tcPr>
                <w:p w14:paraId="536A47E0" w14:textId="77777777" w:rsidR="00600DEE" w:rsidRDefault="00600DEE">
                  <w:pPr>
                    <w:rPr>
                      <w:rFonts w:ascii="Calibri" w:eastAsia="Calibri" w:hAnsi="Calibri" w:cs="Calibri"/>
                    </w:rPr>
                  </w:pPr>
                </w:p>
              </w:tc>
            </w:tr>
            <w:tr w:rsidR="00600DEE" w14:paraId="1B842348" w14:textId="77777777" w:rsidTr="00E12F72">
              <w:trPr>
                <w:trHeight w:hRule="exact" w:val="340"/>
              </w:trPr>
              <w:tc>
                <w:tcPr>
                  <w:tcW w:w="250" w:type="dxa"/>
                  <w:tcBorders>
                    <w:top w:val="nil"/>
                    <w:left w:val="nil"/>
                    <w:bottom w:val="nil"/>
                    <w:right w:val="nil"/>
                  </w:tcBorders>
                  <w:shd w:val="clear" w:color="auto" w:fill="999999"/>
                </w:tcPr>
                <w:p w14:paraId="4F656E7C" w14:textId="77777777" w:rsidR="00600DEE" w:rsidRDefault="00600DEE">
                  <w:pPr>
                    <w:rPr>
                      <w:rFonts w:ascii="Calibri" w:eastAsia="Calibri" w:hAnsi="Calibri" w:cs="Calibri"/>
                    </w:rPr>
                  </w:pPr>
                </w:p>
              </w:tc>
              <w:tc>
                <w:tcPr>
                  <w:tcW w:w="1450" w:type="dxa"/>
                  <w:tcBorders>
                    <w:top w:val="nil"/>
                    <w:left w:val="nil"/>
                    <w:bottom w:val="nil"/>
                    <w:right w:val="nil"/>
                  </w:tcBorders>
                  <w:shd w:val="clear" w:color="auto" w:fill="999999"/>
                </w:tcPr>
                <w:p w14:paraId="014C68B6" w14:textId="77777777" w:rsidR="00600DEE" w:rsidRDefault="00600DEE">
                  <w:pPr>
                    <w:rPr>
                      <w:rFonts w:ascii="Calibri" w:eastAsia="Calibri" w:hAnsi="Calibri" w:cs="Calibri"/>
                    </w:rPr>
                  </w:pPr>
                </w:p>
              </w:tc>
              <w:tc>
                <w:tcPr>
                  <w:tcW w:w="422" w:type="dxa"/>
                  <w:tcBorders>
                    <w:top w:val="nil"/>
                    <w:left w:val="nil"/>
                    <w:bottom w:val="nil"/>
                    <w:right w:val="nil"/>
                  </w:tcBorders>
                  <w:shd w:val="clear" w:color="auto" w:fill="999999"/>
                </w:tcPr>
                <w:p w14:paraId="6B59C38A" w14:textId="77777777" w:rsidR="00600DEE" w:rsidRDefault="00600DEE">
                  <w:pPr>
                    <w:rPr>
                      <w:rFonts w:ascii="Calibri" w:eastAsia="Calibri" w:hAnsi="Calibri" w:cs="Calibri"/>
                    </w:rPr>
                  </w:pPr>
                </w:p>
              </w:tc>
              <w:tc>
                <w:tcPr>
                  <w:tcW w:w="2385" w:type="dxa"/>
                  <w:tcBorders>
                    <w:top w:val="nil"/>
                    <w:left w:val="nil"/>
                    <w:bottom w:val="nil"/>
                    <w:right w:val="nil"/>
                  </w:tcBorders>
                  <w:shd w:val="clear" w:color="auto" w:fill="999999"/>
                </w:tcPr>
                <w:p w14:paraId="6DAF7287" w14:textId="77777777" w:rsidR="00600DEE" w:rsidRDefault="00600DEE">
                  <w:pPr>
                    <w:rPr>
                      <w:rFonts w:ascii="Calibri" w:eastAsia="Calibri" w:hAnsi="Calibri" w:cs="Calibri"/>
                    </w:rPr>
                  </w:pPr>
                </w:p>
              </w:tc>
              <w:tc>
                <w:tcPr>
                  <w:tcW w:w="562" w:type="dxa"/>
                  <w:tcBorders>
                    <w:top w:val="nil"/>
                    <w:left w:val="nil"/>
                    <w:bottom w:val="nil"/>
                    <w:right w:val="nil"/>
                  </w:tcBorders>
                  <w:shd w:val="clear" w:color="auto" w:fill="999999"/>
                </w:tcPr>
                <w:p w14:paraId="7EC991E9" w14:textId="77777777" w:rsidR="00600DEE" w:rsidRDefault="00600DEE">
                  <w:pPr>
                    <w:rPr>
                      <w:rFonts w:ascii="Calibri" w:eastAsia="Calibri" w:hAnsi="Calibri" w:cs="Calibri"/>
                    </w:rPr>
                  </w:pPr>
                </w:p>
              </w:tc>
              <w:tc>
                <w:tcPr>
                  <w:tcW w:w="2004" w:type="dxa"/>
                  <w:tcBorders>
                    <w:top w:val="nil"/>
                    <w:left w:val="nil"/>
                    <w:bottom w:val="nil"/>
                    <w:right w:val="nil"/>
                  </w:tcBorders>
                  <w:shd w:val="clear" w:color="auto" w:fill="999999"/>
                </w:tcPr>
                <w:p w14:paraId="15EF9501" w14:textId="77777777" w:rsidR="00600DEE" w:rsidRDefault="00600DEE">
                  <w:pPr>
                    <w:rPr>
                      <w:rFonts w:ascii="Calibri" w:eastAsia="Calibri" w:hAnsi="Calibri" w:cs="Calibri"/>
                    </w:rPr>
                  </w:pPr>
                </w:p>
              </w:tc>
              <w:tc>
                <w:tcPr>
                  <w:tcW w:w="251" w:type="dxa"/>
                  <w:tcBorders>
                    <w:top w:val="nil"/>
                    <w:left w:val="nil"/>
                    <w:bottom w:val="nil"/>
                    <w:right w:val="nil"/>
                  </w:tcBorders>
                  <w:shd w:val="clear" w:color="auto" w:fill="999999"/>
                </w:tcPr>
                <w:p w14:paraId="2333F67F" w14:textId="77777777" w:rsidR="00600DEE" w:rsidRDefault="00600DEE">
                  <w:pPr>
                    <w:rPr>
                      <w:rFonts w:ascii="Calibri" w:eastAsia="Calibri" w:hAnsi="Calibri" w:cs="Calibri"/>
                    </w:rPr>
                  </w:pPr>
                </w:p>
              </w:tc>
            </w:tr>
          </w:tbl>
          <w:p w14:paraId="374A3D06" w14:textId="77777777" w:rsidR="00600DEE" w:rsidRDefault="00641FB5">
            <w:pPr>
              <w:keepNext/>
              <w:pBdr>
                <w:top w:val="nil"/>
                <w:left w:val="nil"/>
                <w:bottom w:val="nil"/>
                <w:right w:val="nil"/>
                <w:between w:val="nil"/>
              </w:pBdr>
              <w:tabs>
                <w:tab w:val="left" w:pos="720"/>
                <w:tab w:val="left" w:pos="0"/>
              </w:tabs>
              <w:spacing w:before="120" w:after="120"/>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3613EE0A" w14:textId="77777777" w:rsidR="00600DEE" w:rsidRDefault="00641FB5">
            <w:pPr>
              <w:spacing w:after="100"/>
              <w:jc w:val="both"/>
              <w:rPr>
                <w:rFonts w:ascii="Calibri" w:eastAsia="Calibri" w:hAnsi="Calibri" w:cs="Calibri"/>
                <w:color w:val="222222"/>
                <w:sz w:val="22"/>
                <w:szCs w:val="22"/>
              </w:rPr>
            </w:pPr>
            <w:r>
              <w:rPr>
                <w:rFonts w:ascii="Calibri" w:eastAsia="Calibri" w:hAnsi="Calibri" w:cs="Calibri"/>
                <w:i/>
                <w:sz w:val="20"/>
                <w:szCs w:val="20"/>
              </w:rPr>
              <w:t>NB:</w:t>
            </w:r>
            <w:r>
              <w:rPr>
                <w:rFonts w:ascii="Calibri" w:eastAsia="Calibri" w:hAnsi="Calibri" w:cs="Calibri"/>
                <w:sz w:val="20"/>
                <w:szCs w:val="20"/>
              </w:rPr>
              <w:t xml:space="preserve"> </w:t>
            </w:r>
            <w:r>
              <w:rPr>
                <w:rFonts w:ascii="Calibri" w:eastAsia="Calibri" w:hAnsi="Calibri" w:cs="Calibri"/>
                <w:color w:val="222222"/>
                <w:sz w:val="20"/>
                <w:szCs w:val="20"/>
              </w:rPr>
              <w:t>Dla projektów drogowych w miastach mogą mieć zastosowanie wskazówki zawarte w ‘’Niebieskiej Księdze dla Transportu Publicznego’’ (zwłaszcza w odniesieniu do sposobu modelowania i prognozowania ruchu), w przypadku, gdy spodziewany jest znaczący wpływ projektu drogowego na rozkład ruchu na sieć oraz podział zadań przewozowych w transporcie publicznym.</w:t>
            </w:r>
          </w:p>
        </w:tc>
        <w:tc>
          <w:tcPr>
            <w:tcW w:w="7365" w:type="dxa"/>
            <w:tcBorders>
              <w:left w:val="single" w:sz="4" w:space="0" w:color="000000"/>
            </w:tcBorders>
            <w:tcMar>
              <w:left w:w="284" w:type="dxa"/>
              <w:right w:w="284" w:type="dxa"/>
            </w:tcMar>
          </w:tcPr>
          <w:p w14:paraId="4EA7E979" w14:textId="77E677DF" w:rsidR="00600DEE" w:rsidRPr="0045151D" w:rsidRDefault="00641FB5" w:rsidP="00E12F72">
            <w:pPr>
              <w:keepNext/>
              <w:pBdr>
                <w:top w:val="nil"/>
                <w:left w:val="nil"/>
                <w:bottom w:val="nil"/>
                <w:right w:val="nil"/>
                <w:between w:val="nil"/>
              </w:pBdr>
              <w:tabs>
                <w:tab w:val="left" w:pos="720"/>
                <w:tab w:val="left" w:pos="796"/>
              </w:tabs>
              <w:ind w:right="28"/>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Figure 2. Diagram of cost-benefit analysis, with key actions and their results</w:t>
            </w:r>
          </w:p>
          <w:p w14:paraId="5F91B01A" w14:textId="77777777" w:rsidR="00E12F72" w:rsidRPr="0045151D" w:rsidRDefault="00E12F72" w:rsidP="00E12F72">
            <w:pPr>
              <w:keepNext/>
              <w:pBdr>
                <w:top w:val="nil"/>
                <w:left w:val="nil"/>
                <w:bottom w:val="nil"/>
                <w:right w:val="nil"/>
                <w:between w:val="nil"/>
              </w:pBdr>
              <w:tabs>
                <w:tab w:val="left" w:pos="720"/>
                <w:tab w:val="left" w:pos="796"/>
              </w:tabs>
              <w:ind w:right="28"/>
              <w:rPr>
                <w:rFonts w:ascii="Calibri" w:eastAsia="Calibri" w:hAnsi="Calibri" w:cs="Calibri"/>
                <w:b/>
                <w:color w:val="4F81BD"/>
                <w:sz w:val="20"/>
                <w:szCs w:val="20"/>
                <w:lang w:val="en-GB"/>
              </w:rPr>
            </w:pPr>
          </w:p>
          <w:tbl>
            <w:tblPr>
              <w:tblStyle w:val="a4"/>
              <w:tblW w:w="7053" w:type="dxa"/>
              <w:tblLayout w:type="fixed"/>
              <w:tblLook w:val="0000" w:firstRow="0" w:lastRow="0" w:firstColumn="0" w:lastColumn="0" w:noHBand="0" w:noVBand="0"/>
            </w:tblPr>
            <w:tblGrid>
              <w:gridCol w:w="251"/>
              <w:gridCol w:w="1425"/>
              <w:gridCol w:w="555"/>
              <w:gridCol w:w="2308"/>
              <w:gridCol w:w="566"/>
              <w:gridCol w:w="1698"/>
              <w:gridCol w:w="250"/>
            </w:tblGrid>
            <w:tr w:rsidR="00600DEE" w:rsidRPr="008C4407" w14:paraId="2165E84D" w14:textId="77777777" w:rsidTr="00E12F72">
              <w:trPr>
                <w:trHeight w:val="195"/>
              </w:trPr>
              <w:tc>
                <w:tcPr>
                  <w:tcW w:w="251" w:type="dxa"/>
                  <w:tcBorders>
                    <w:top w:val="nil"/>
                    <w:left w:val="nil"/>
                    <w:bottom w:val="nil"/>
                    <w:right w:val="nil"/>
                  </w:tcBorders>
                  <w:shd w:val="clear" w:color="auto" w:fill="999999"/>
                </w:tcPr>
                <w:p w14:paraId="1AB4AE49" w14:textId="77777777" w:rsidR="00600DEE" w:rsidRPr="0045151D" w:rsidRDefault="00600DEE">
                  <w:pPr>
                    <w:rPr>
                      <w:rFonts w:ascii="Calibri" w:eastAsia="Calibri" w:hAnsi="Calibri" w:cs="Calibri"/>
                      <w:lang w:val="en-GB"/>
                    </w:rPr>
                  </w:pPr>
                </w:p>
              </w:tc>
              <w:tc>
                <w:tcPr>
                  <w:tcW w:w="1425" w:type="dxa"/>
                  <w:tcBorders>
                    <w:top w:val="nil"/>
                    <w:left w:val="nil"/>
                    <w:bottom w:val="nil"/>
                    <w:right w:val="nil"/>
                  </w:tcBorders>
                  <w:shd w:val="clear" w:color="auto" w:fill="999999"/>
                </w:tcPr>
                <w:p w14:paraId="208EEC81" w14:textId="77777777" w:rsidR="00600DEE" w:rsidRPr="0045151D" w:rsidRDefault="00600DEE">
                  <w:pPr>
                    <w:rPr>
                      <w:rFonts w:ascii="Calibri" w:eastAsia="Calibri" w:hAnsi="Calibri" w:cs="Calibri"/>
                      <w:lang w:val="en-GB"/>
                    </w:rPr>
                  </w:pPr>
                </w:p>
              </w:tc>
              <w:tc>
                <w:tcPr>
                  <w:tcW w:w="555" w:type="dxa"/>
                  <w:tcBorders>
                    <w:top w:val="nil"/>
                    <w:left w:val="nil"/>
                    <w:bottom w:val="nil"/>
                    <w:right w:val="nil"/>
                  </w:tcBorders>
                  <w:shd w:val="clear" w:color="auto" w:fill="999999"/>
                </w:tcPr>
                <w:p w14:paraId="2613DD5E" w14:textId="77777777" w:rsidR="00600DEE" w:rsidRPr="0045151D" w:rsidRDefault="00600DEE">
                  <w:pPr>
                    <w:rPr>
                      <w:rFonts w:ascii="Calibri" w:eastAsia="Calibri" w:hAnsi="Calibri" w:cs="Calibri"/>
                      <w:lang w:val="en-GB"/>
                    </w:rPr>
                  </w:pPr>
                </w:p>
              </w:tc>
              <w:tc>
                <w:tcPr>
                  <w:tcW w:w="2308" w:type="dxa"/>
                  <w:tcBorders>
                    <w:top w:val="nil"/>
                    <w:left w:val="nil"/>
                    <w:bottom w:val="nil"/>
                    <w:right w:val="nil"/>
                  </w:tcBorders>
                  <w:shd w:val="clear" w:color="auto" w:fill="999999"/>
                </w:tcPr>
                <w:p w14:paraId="63202415" w14:textId="77777777" w:rsidR="00600DEE" w:rsidRPr="0045151D" w:rsidRDefault="00600DEE">
                  <w:pPr>
                    <w:rPr>
                      <w:rFonts w:ascii="Calibri" w:eastAsia="Calibri" w:hAnsi="Calibri" w:cs="Calibri"/>
                      <w:lang w:val="en-GB"/>
                    </w:rPr>
                  </w:pPr>
                </w:p>
              </w:tc>
              <w:tc>
                <w:tcPr>
                  <w:tcW w:w="566" w:type="dxa"/>
                  <w:tcBorders>
                    <w:top w:val="nil"/>
                    <w:left w:val="nil"/>
                    <w:bottom w:val="nil"/>
                    <w:right w:val="nil"/>
                  </w:tcBorders>
                  <w:shd w:val="clear" w:color="auto" w:fill="999999"/>
                </w:tcPr>
                <w:p w14:paraId="631517A9" w14:textId="77777777" w:rsidR="00600DEE" w:rsidRPr="0045151D" w:rsidRDefault="00600DEE">
                  <w:pPr>
                    <w:rPr>
                      <w:rFonts w:ascii="Calibri" w:eastAsia="Calibri" w:hAnsi="Calibri" w:cs="Calibri"/>
                      <w:lang w:val="en-GB"/>
                    </w:rPr>
                  </w:pPr>
                </w:p>
              </w:tc>
              <w:tc>
                <w:tcPr>
                  <w:tcW w:w="1698" w:type="dxa"/>
                  <w:tcBorders>
                    <w:top w:val="nil"/>
                    <w:left w:val="nil"/>
                    <w:bottom w:val="nil"/>
                    <w:right w:val="nil"/>
                  </w:tcBorders>
                  <w:shd w:val="clear" w:color="auto" w:fill="999999"/>
                </w:tcPr>
                <w:p w14:paraId="3B39AD06" w14:textId="77777777" w:rsidR="00600DEE" w:rsidRPr="0045151D" w:rsidRDefault="00600DEE">
                  <w:pPr>
                    <w:rPr>
                      <w:rFonts w:ascii="Calibri" w:eastAsia="Calibri" w:hAnsi="Calibri" w:cs="Calibri"/>
                      <w:lang w:val="en-GB"/>
                    </w:rPr>
                  </w:pPr>
                </w:p>
              </w:tc>
              <w:tc>
                <w:tcPr>
                  <w:tcW w:w="250" w:type="dxa"/>
                  <w:tcBorders>
                    <w:top w:val="nil"/>
                    <w:left w:val="nil"/>
                    <w:bottom w:val="nil"/>
                    <w:right w:val="nil"/>
                  </w:tcBorders>
                  <w:shd w:val="clear" w:color="auto" w:fill="999999"/>
                </w:tcPr>
                <w:p w14:paraId="2EAF97F9" w14:textId="77777777" w:rsidR="00600DEE" w:rsidRPr="0045151D" w:rsidRDefault="00600DEE">
                  <w:pPr>
                    <w:rPr>
                      <w:rFonts w:ascii="Calibri" w:eastAsia="Calibri" w:hAnsi="Calibri" w:cs="Calibri"/>
                      <w:lang w:val="en-GB"/>
                    </w:rPr>
                  </w:pPr>
                </w:p>
              </w:tc>
            </w:tr>
            <w:tr w:rsidR="00600DEE" w:rsidRPr="008C4407" w14:paraId="3AA8D576" w14:textId="77777777" w:rsidTr="00E12F72">
              <w:trPr>
                <w:trHeight w:val="63"/>
              </w:trPr>
              <w:tc>
                <w:tcPr>
                  <w:tcW w:w="251" w:type="dxa"/>
                  <w:tcBorders>
                    <w:top w:val="nil"/>
                    <w:left w:val="nil"/>
                    <w:bottom w:val="nil"/>
                    <w:right w:val="nil"/>
                  </w:tcBorders>
                </w:tcPr>
                <w:p w14:paraId="5D8D9854" w14:textId="77777777" w:rsidR="00600DEE" w:rsidRPr="0045151D" w:rsidRDefault="00600DEE">
                  <w:pPr>
                    <w:rPr>
                      <w:rFonts w:ascii="Calibri" w:eastAsia="Calibri" w:hAnsi="Calibri" w:cs="Calibri"/>
                      <w:lang w:val="en-GB"/>
                    </w:rPr>
                  </w:pPr>
                </w:p>
              </w:tc>
              <w:tc>
                <w:tcPr>
                  <w:tcW w:w="1425" w:type="dxa"/>
                  <w:tcBorders>
                    <w:top w:val="nil"/>
                    <w:left w:val="nil"/>
                    <w:bottom w:val="single" w:sz="8" w:space="0" w:color="000000"/>
                    <w:right w:val="nil"/>
                  </w:tcBorders>
                </w:tcPr>
                <w:p w14:paraId="1C19BDDD" w14:textId="77777777" w:rsidR="00600DEE" w:rsidRPr="0045151D" w:rsidRDefault="00600DEE">
                  <w:pPr>
                    <w:rPr>
                      <w:rFonts w:ascii="Calibri" w:eastAsia="Calibri" w:hAnsi="Calibri" w:cs="Calibri"/>
                      <w:sz w:val="16"/>
                      <w:szCs w:val="16"/>
                      <w:lang w:val="en-GB"/>
                    </w:rPr>
                  </w:pPr>
                </w:p>
              </w:tc>
              <w:tc>
                <w:tcPr>
                  <w:tcW w:w="555" w:type="dxa"/>
                  <w:tcBorders>
                    <w:top w:val="nil"/>
                    <w:left w:val="nil"/>
                    <w:bottom w:val="nil"/>
                    <w:right w:val="nil"/>
                  </w:tcBorders>
                </w:tcPr>
                <w:p w14:paraId="2295779E" w14:textId="77777777" w:rsidR="00600DEE" w:rsidRPr="0045151D" w:rsidRDefault="00600DEE">
                  <w:pPr>
                    <w:rPr>
                      <w:rFonts w:ascii="Calibri" w:eastAsia="Calibri" w:hAnsi="Calibri" w:cs="Calibri"/>
                      <w:lang w:val="en-GB"/>
                    </w:rPr>
                  </w:pPr>
                </w:p>
              </w:tc>
              <w:tc>
                <w:tcPr>
                  <w:tcW w:w="2308" w:type="dxa"/>
                  <w:tcBorders>
                    <w:top w:val="nil"/>
                    <w:left w:val="nil"/>
                    <w:bottom w:val="single" w:sz="8" w:space="0" w:color="000000"/>
                    <w:right w:val="nil"/>
                  </w:tcBorders>
                </w:tcPr>
                <w:p w14:paraId="5B1AA1F1" w14:textId="77777777" w:rsidR="00600DEE" w:rsidRPr="0045151D" w:rsidRDefault="00600DEE">
                  <w:pPr>
                    <w:rPr>
                      <w:rFonts w:ascii="Calibri" w:eastAsia="Calibri" w:hAnsi="Calibri" w:cs="Calibri"/>
                      <w:lang w:val="en-GB"/>
                    </w:rPr>
                  </w:pPr>
                </w:p>
              </w:tc>
              <w:tc>
                <w:tcPr>
                  <w:tcW w:w="566" w:type="dxa"/>
                  <w:tcBorders>
                    <w:top w:val="nil"/>
                    <w:left w:val="nil"/>
                    <w:bottom w:val="nil"/>
                    <w:right w:val="nil"/>
                  </w:tcBorders>
                </w:tcPr>
                <w:p w14:paraId="27C38793" w14:textId="77777777" w:rsidR="00600DEE" w:rsidRPr="0045151D" w:rsidRDefault="00600DEE">
                  <w:pPr>
                    <w:rPr>
                      <w:rFonts w:ascii="Calibri" w:eastAsia="Calibri" w:hAnsi="Calibri" w:cs="Calibri"/>
                      <w:lang w:val="en-GB"/>
                    </w:rPr>
                  </w:pPr>
                </w:p>
              </w:tc>
              <w:tc>
                <w:tcPr>
                  <w:tcW w:w="1698" w:type="dxa"/>
                  <w:tcBorders>
                    <w:top w:val="nil"/>
                    <w:left w:val="nil"/>
                    <w:bottom w:val="single" w:sz="8" w:space="0" w:color="000000"/>
                    <w:right w:val="nil"/>
                  </w:tcBorders>
                </w:tcPr>
                <w:p w14:paraId="1334D0E5" w14:textId="77777777" w:rsidR="00600DEE" w:rsidRPr="0045151D" w:rsidRDefault="00600DEE">
                  <w:pPr>
                    <w:rPr>
                      <w:rFonts w:ascii="Calibri" w:eastAsia="Calibri" w:hAnsi="Calibri" w:cs="Calibri"/>
                      <w:lang w:val="en-GB"/>
                    </w:rPr>
                  </w:pPr>
                </w:p>
              </w:tc>
              <w:tc>
                <w:tcPr>
                  <w:tcW w:w="250" w:type="dxa"/>
                  <w:tcBorders>
                    <w:top w:val="nil"/>
                    <w:left w:val="nil"/>
                    <w:bottom w:val="nil"/>
                    <w:right w:val="nil"/>
                  </w:tcBorders>
                </w:tcPr>
                <w:p w14:paraId="6C3EA766" w14:textId="77777777" w:rsidR="00600DEE" w:rsidRPr="0045151D" w:rsidRDefault="00600DEE">
                  <w:pPr>
                    <w:rPr>
                      <w:rFonts w:ascii="Calibri" w:eastAsia="Calibri" w:hAnsi="Calibri" w:cs="Calibri"/>
                      <w:lang w:val="en-GB"/>
                    </w:rPr>
                  </w:pPr>
                </w:p>
              </w:tc>
            </w:tr>
            <w:tr w:rsidR="00600DEE" w14:paraId="3CFDA8D7" w14:textId="77777777" w:rsidTr="00E12F72">
              <w:trPr>
                <w:trHeight w:val="298"/>
              </w:trPr>
              <w:tc>
                <w:tcPr>
                  <w:tcW w:w="251" w:type="dxa"/>
                  <w:tcBorders>
                    <w:right w:val="single" w:sz="8" w:space="0" w:color="000000"/>
                  </w:tcBorders>
                  <w:vAlign w:val="center"/>
                </w:tcPr>
                <w:p w14:paraId="7A11EECC" w14:textId="77777777" w:rsidR="00600DEE" w:rsidRPr="0045151D" w:rsidRDefault="00600DEE">
                  <w:pPr>
                    <w:jc w:val="center"/>
                    <w:rPr>
                      <w:rFonts w:ascii="Calibri" w:eastAsia="Calibri" w:hAnsi="Calibri" w:cs="Calibri"/>
                      <w:b/>
                      <w:color w:val="366091"/>
                      <w:sz w:val="18"/>
                      <w:szCs w:val="18"/>
                      <w:lang w:val="en-GB"/>
                    </w:rPr>
                  </w:pPr>
                </w:p>
              </w:tc>
              <w:tc>
                <w:tcPr>
                  <w:tcW w:w="1425" w:type="dxa"/>
                  <w:tcBorders>
                    <w:top w:val="single" w:sz="8" w:space="0" w:color="000000"/>
                    <w:left w:val="single" w:sz="8" w:space="0" w:color="000000"/>
                    <w:bottom w:val="single" w:sz="8" w:space="0" w:color="000000"/>
                    <w:right w:val="single" w:sz="8" w:space="0" w:color="000000"/>
                  </w:tcBorders>
                  <w:vAlign w:val="center"/>
                </w:tcPr>
                <w:p w14:paraId="1D030DA2"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CBA </w:t>
                  </w:r>
                  <w:proofErr w:type="spellStart"/>
                  <w:r>
                    <w:rPr>
                      <w:rFonts w:ascii="Calibri" w:eastAsia="Calibri" w:hAnsi="Calibri" w:cs="Calibri"/>
                      <w:b/>
                      <w:color w:val="366091"/>
                      <w:sz w:val="18"/>
                      <w:szCs w:val="18"/>
                    </w:rPr>
                    <w:t>Stages</w:t>
                  </w:r>
                  <w:proofErr w:type="spellEnd"/>
                  <w:r>
                    <w:rPr>
                      <w:rFonts w:ascii="Calibri" w:eastAsia="Calibri" w:hAnsi="Calibri" w:cs="Calibri"/>
                      <w:b/>
                      <w:color w:val="366091"/>
                      <w:sz w:val="18"/>
                      <w:szCs w:val="18"/>
                    </w:rPr>
                    <w:t xml:space="preserve"> </w:t>
                  </w:r>
                </w:p>
              </w:tc>
              <w:tc>
                <w:tcPr>
                  <w:tcW w:w="555" w:type="dxa"/>
                  <w:tcBorders>
                    <w:left w:val="single" w:sz="8" w:space="0" w:color="000000"/>
                    <w:right w:val="single" w:sz="8" w:space="0" w:color="000000"/>
                  </w:tcBorders>
                  <w:vAlign w:val="center"/>
                </w:tcPr>
                <w:p w14:paraId="192ECDB4" w14:textId="77777777" w:rsidR="00600DEE" w:rsidRDefault="00600DEE">
                  <w:pPr>
                    <w:jc w:val="center"/>
                    <w:rPr>
                      <w:rFonts w:ascii="Calibri" w:eastAsia="Calibri" w:hAnsi="Calibri" w:cs="Calibri"/>
                      <w:b/>
                      <w:color w:val="366091"/>
                      <w:sz w:val="18"/>
                      <w:szCs w:val="18"/>
                    </w:rPr>
                  </w:pPr>
                </w:p>
              </w:tc>
              <w:tc>
                <w:tcPr>
                  <w:tcW w:w="2308" w:type="dxa"/>
                  <w:tcBorders>
                    <w:top w:val="single" w:sz="8" w:space="0" w:color="000000"/>
                    <w:left w:val="single" w:sz="8" w:space="0" w:color="000000"/>
                    <w:bottom w:val="single" w:sz="8" w:space="0" w:color="000000"/>
                    <w:right w:val="single" w:sz="8" w:space="0" w:color="000000"/>
                  </w:tcBorders>
                  <w:vAlign w:val="center"/>
                </w:tcPr>
                <w:p w14:paraId="339641AA" w14:textId="77777777" w:rsidR="00600DEE" w:rsidRDefault="00641FB5">
                  <w:pPr>
                    <w:jc w:val="center"/>
                    <w:rPr>
                      <w:rFonts w:ascii="Calibri" w:eastAsia="Calibri" w:hAnsi="Calibri" w:cs="Calibri"/>
                      <w:b/>
                      <w:color w:val="366091"/>
                      <w:sz w:val="18"/>
                      <w:szCs w:val="18"/>
                    </w:rPr>
                  </w:pPr>
                  <w:proofErr w:type="spellStart"/>
                  <w:r>
                    <w:rPr>
                      <w:rFonts w:ascii="Calibri" w:eastAsia="Calibri" w:hAnsi="Calibri" w:cs="Calibri"/>
                      <w:b/>
                      <w:color w:val="366091"/>
                      <w:sz w:val="18"/>
                      <w:szCs w:val="18"/>
                    </w:rPr>
                    <w:t>Actions</w:t>
                  </w:r>
                  <w:proofErr w:type="spellEnd"/>
                </w:p>
              </w:tc>
              <w:tc>
                <w:tcPr>
                  <w:tcW w:w="566" w:type="dxa"/>
                  <w:tcBorders>
                    <w:left w:val="single" w:sz="8" w:space="0" w:color="000000"/>
                    <w:right w:val="single" w:sz="8" w:space="0" w:color="000000"/>
                  </w:tcBorders>
                  <w:vAlign w:val="center"/>
                </w:tcPr>
                <w:p w14:paraId="2661F758" w14:textId="77777777" w:rsidR="00600DEE" w:rsidRDefault="00600DEE">
                  <w:pPr>
                    <w:jc w:val="center"/>
                    <w:rPr>
                      <w:rFonts w:ascii="Calibri" w:eastAsia="Calibri" w:hAnsi="Calibri" w:cs="Calibri"/>
                      <w:b/>
                      <w:color w:val="366091"/>
                      <w:sz w:val="18"/>
                      <w:szCs w:val="18"/>
                    </w:rPr>
                  </w:pPr>
                </w:p>
              </w:tc>
              <w:tc>
                <w:tcPr>
                  <w:tcW w:w="1698" w:type="dxa"/>
                  <w:tcBorders>
                    <w:top w:val="single" w:sz="8" w:space="0" w:color="000000"/>
                    <w:left w:val="single" w:sz="8" w:space="0" w:color="000000"/>
                    <w:bottom w:val="single" w:sz="8" w:space="0" w:color="000000"/>
                    <w:right w:val="single" w:sz="8" w:space="0" w:color="000000"/>
                  </w:tcBorders>
                  <w:vAlign w:val="center"/>
                </w:tcPr>
                <w:p w14:paraId="175AA39E" w14:textId="77777777" w:rsidR="00600DEE" w:rsidRDefault="00641FB5">
                  <w:pPr>
                    <w:jc w:val="center"/>
                    <w:rPr>
                      <w:rFonts w:ascii="Calibri" w:eastAsia="Calibri" w:hAnsi="Calibri" w:cs="Calibri"/>
                      <w:b/>
                      <w:color w:val="366091"/>
                      <w:sz w:val="18"/>
                      <w:szCs w:val="18"/>
                    </w:rPr>
                  </w:pPr>
                  <w:proofErr w:type="spellStart"/>
                  <w:r>
                    <w:rPr>
                      <w:rFonts w:ascii="Calibri" w:eastAsia="Calibri" w:hAnsi="Calibri" w:cs="Calibri"/>
                      <w:b/>
                      <w:color w:val="366091"/>
                      <w:sz w:val="18"/>
                      <w:szCs w:val="18"/>
                    </w:rPr>
                    <w:t>Results</w:t>
                  </w:r>
                  <w:proofErr w:type="spellEnd"/>
                </w:p>
              </w:tc>
              <w:tc>
                <w:tcPr>
                  <w:tcW w:w="250" w:type="dxa"/>
                  <w:tcBorders>
                    <w:left w:val="single" w:sz="8" w:space="0" w:color="000000"/>
                  </w:tcBorders>
                  <w:vAlign w:val="center"/>
                </w:tcPr>
                <w:p w14:paraId="0B43A42A" w14:textId="77777777" w:rsidR="00600DEE" w:rsidRDefault="00600DEE">
                  <w:pPr>
                    <w:jc w:val="center"/>
                    <w:rPr>
                      <w:rFonts w:ascii="Calibri" w:eastAsia="Calibri" w:hAnsi="Calibri" w:cs="Calibri"/>
                      <w:sz w:val="18"/>
                      <w:szCs w:val="18"/>
                    </w:rPr>
                  </w:pPr>
                </w:p>
              </w:tc>
            </w:tr>
            <w:tr w:rsidR="00600DEE" w14:paraId="17BB7B05" w14:textId="77777777" w:rsidTr="00E12F72">
              <w:trPr>
                <w:trHeight w:val="63"/>
              </w:trPr>
              <w:tc>
                <w:tcPr>
                  <w:tcW w:w="251" w:type="dxa"/>
                  <w:tcBorders>
                    <w:bottom w:val="single" w:sz="8" w:space="0" w:color="000000"/>
                  </w:tcBorders>
                </w:tcPr>
                <w:p w14:paraId="6A4301D1" w14:textId="77777777" w:rsidR="00600DEE" w:rsidRDefault="00600DEE">
                  <w:pPr>
                    <w:rPr>
                      <w:rFonts w:ascii="Calibri" w:eastAsia="Calibri" w:hAnsi="Calibri" w:cs="Calibri"/>
                    </w:rPr>
                  </w:pPr>
                </w:p>
              </w:tc>
              <w:tc>
                <w:tcPr>
                  <w:tcW w:w="1425" w:type="dxa"/>
                  <w:tcBorders>
                    <w:top w:val="single" w:sz="8" w:space="0" w:color="000000"/>
                    <w:bottom w:val="single" w:sz="8" w:space="0" w:color="000000"/>
                  </w:tcBorders>
                </w:tcPr>
                <w:p w14:paraId="27A9943B" w14:textId="77777777" w:rsidR="00600DEE" w:rsidRDefault="00600DEE">
                  <w:pPr>
                    <w:rPr>
                      <w:rFonts w:ascii="Calibri" w:eastAsia="Calibri" w:hAnsi="Calibri" w:cs="Calibri"/>
                    </w:rPr>
                  </w:pPr>
                </w:p>
              </w:tc>
              <w:tc>
                <w:tcPr>
                  <w:tcW w:w="555" w:type="dxa"/>
                  <w:tcBorders>
                    <w:bottom w:val="single" w:sz="8" w:space="0" w:color="000000"/>
                  </w:tcBorders>
                </w:tcPr>
                <w:p w14:paraId="2FA86517" w14:textId="77777777" w:rsidR="00600DEE" w:rsidRDefault="00600DEE">
                  <w:pPr>
                    <w:rPr>
                      <w:rFonts w:ascii="Calibri" w:eastAsia="Calibri" w:hAnsi="Calibri" w:cs="Calibri"/>
                    </w:rPr>
                  </w:pPr>
                </w:p>
              </w:tc>
              <w:tc>
                <w:tcPr>
                  <w:tcW w:w="2308" w:type="dxa"/>
                  <w:tcBorders>
                    <w:top w:val="single" w:sz="8" w:space="0" w:color="000000"/>
                    <w:bottom w:val="single" w:sz="8" w:space="0" w:color="000000"/>
                  </w:tcBorders>
                </w:tcPr>
                <w:p w14:paraId="6A3AEC09" w14:textId="77777777" w:rsidR="00600DEE" w:rsidRDefault="00600DEE">
                  <w:pPr>
                    <w:rPr>
                      <w:rFonts w:ascii="Calibri" w:eastAsia="Calibri" w:hAnsi="Calibri" w:cs="Calibri"/>
                    </w:rPr>
                  </w:pPr>
                </w:p>
              </w:tc>
              <w:tc>
                <w:tcPr>
                  <w:tcW w:w="566" w:type="dxa"/>
                  <w:tcBorders>
                    <w:bottom w:val="single" w:sz="8" w:space="0" w:color="000000"/>
                  </w:tcBorders>
                </w:tcPr>
                <w:p w14:paraId="717DF673" w14:textId="77777777" w:rsidR="00600DEE" w:rsidRDefault="00600DEE">
                  <w:pPr>
                    <w:rPr>
                      <w:rFonts w:ascii="Calibri" w:eastAsia="Calibri" w:hAnsi="Calibri" w:cs="Calibri"/>
                    </w:rPr>
                  </w:pPr>
                </w:p>
              </w:tc>
              <w:tc>
                <w:tcPr>
                  <w:tcW w:w="1698" w:type="dxa"/>
                  <w:tcBorders>
                    <w:top w:val="single" w:sz="8" w:space="0" w:color="000000"/>
                    <w:bottom w:val="single" w:sz="8" w:space="0" w:color="000000"/>
                  </w:tcBorders>
                </w:tcPr>
                <w:p w14:paraId="08648A2C" w14:textId="77777777" w:rsidR="00600DEE" w:rsidRDefault="00600DEE">
                  <w:pPr>
                    <w:rPr>
                      <w:rFonts w:ascii="Calibri" w:eastAsia="Calibri" w:hAnsi="Calibri" w:cs="Calibri"/>
                    </w:rPr>
                  </w:pPr>
                </w:p>
              </w:tc>
              <w:tc>
                <w:tcPr>
                  <w:tcW w:w="250" w:type="dxa"/>
                  <w:tcBorders>
                    <w:bottom w:val="single" w:sz="8" w:space="0" w:color="000000"/>
                  </w:tcBorders>
                </w:tcPr>
                <w:p w14:paraId="14157F25" w14:textId="77777777" w:rsidR="00600DEE" w:rsidRDefault="00600DEE">
                  <w:pPr>
                    <w:rPr>
                      <w:rFonts w:ascii="Calibri" w:eastAsia="Calibri" w:hAnsi="Calibri" w:cs="Calibri"/>
                    </w:rPr>
                  </w:pPr>
                </w:p>
              </w:tc>
            </w:tr>
            <w:tr w:rsidR="00600DEE" w14:paraId="56C55790" w14:textId="77777777" w:rsidTr="00023AC0">
              <w:trPr>
                <w:trHeight w:hRule="exact" w:val="340"/>
              </w:trPr>
              <w:tc>
                <w:tcPr>
                  <w:tcW w:w="251" w:type="dxa"/>
                  <w:tcBorders>
                    <w:top w:val="single" w:sz="8" w:space="0" w:color="000000"/>
                    <w:left w:val="single" w:sz="8" w:space="0" w:color="000000"/>
                    <w:bottom w:val="single" w:sz="8" w:space="0" w:color="000000"/>
                  </w:tcBorders>
                  <w:shd w:val="clear" w:color="auto" w:fill="DBE5F1"/>
                  <w:vAlign w:val="center"/>
                </w:tcPr>
                <w:p w14:paraId="0E6B3AB9" w14:textId="77777777" w:rsidR="00600DEE" w:rsidRDefault="00600DEE">
                  <w:pPr>
                    <w:jc w:val="center"/>
                    <w:rPr>
                      <w:rFonts w:ascii="Calibri" w:eastAsia="Calibri" w:hAnsi="Calibri" w:cs="Calibri"/>
                      <w:b/>
                    </w:rPr>
                  </w:pPr>
                </w:p>
              </w:tc>
              <w:tc>
                <w:tcPr>
                  <w:tcW w:w="1425" w:type="dxa"/>
                  <w:tcBorders>
                    <w:top w:val="single" w:sz="8" w:space="0" w:color="000000"/>
                    <w:bottom w:val="single" w:sz="8" w:space="0" w:color="000000"/>
                  </w:tcBorders>
                  <w:shd w:val="clear" w:color="auto" w:fill="DBE5F1"/>
                  <w:vAlign w:val="center"/>
                </w:tcPr>
                <w:p w14:paraId="42B87EC2" w14:textId="77777777" w:rsidR="00600DEE" w:rsidRDefault="00600DEE">
                  <w:pPr>
                    <w:jc w:val="center"/>
                    <w:rPr>
                      <w:rFonts w:ascii="Calibri" w:eastAsia="Calibri" w:hAnsi="Calibri" w:cs="Calibri"/>
                      <w:b/>
                    </w:rPr>
                  </w:pPr>
                </w:p>
              </w:tc>
              <w:tc>
                <w:tcPr>
                  <w:tcW w:w="555" w:type="dxa"/>
                  <w:tcBorders>
                    <w:top w:val="single" w:sz="8" w:space="0" w:color="000000"/>
                    <w:bottom w:val="single" w:sz="8" w:space="0" w:color="000000"/>
                  </w:tcBorders>
                  <w:shd w:val="clear" w:color="auto" w:fill="DBE5F1"/>
                  <w:vAlign w:val="center"/>
                </w:tcPr>
                <w:p w14:paraId="3AE3B11E" w14:textId="77777777" w:rsidR="00600DEE" w:rsidRDefault="00600DEE">
                  <w:pPr>
                    <w:jc w:val="center"/>
                    <w:rPr>
                      <w:rFonts w:ascii="Calibri" w:eastAsia="Calibri" w:hAnsi="Calibri" w:cs="Calibri"/>
                    </w:rPr>
                  </w:pPr>
                </w:p>
              </w:tc>
              <w:tc>
                <w:tcPr>
                  <w:tcW w:w="2308" w:type="dxa"/>
                  <w:tcBorders>
                    <w:top w:val="single" w:sz="8" w:space="0" w:color="000000"/>
                    <w:bottom w:val="single" w:sz="8" w:space="0" w:color="000000"/>
                  </w:tcBorders>
                  <w:shd w:val="clear" w:color="auto" w:fill="DBE5F1"/>
                  <w:vAlign w:val="center"/>
                </w:tcPr>
                <w:p w14:paraId="4C0EA12B" w14:textId="77777777" w:rsidR="00600DEE" w:rsidRDefault="00641FB5">
                  <w:pPr>
                    <w:jc w:val="center"/>
                    <w:rPr>
                      <w:rFonts w:ascii="Calibri" w:eastAsia="Calibri" w:hAnsi="Calibri" w:cs="Calibri"/>
                      <w:b/>
                      <w:sz w:val="22"/>
                      <w:szCs w:val="22"/>
                    </w:rPr>
                  </w:pPr>
                  <w:proofErr w:type="spellStart"/>
                  <w:r>
                    <w:rPr>
                      <w:rFonts w:ascii="Calibri" w:eastAsia="Calibri" w:hAnsi="Calibri" w:cs="Calibri"/>
                      <w:b/>
                      <w:sz w:val="22"/>
                      <w:szCs w:val="22"/>
                    </w:rPr>
                    <w:t>Phase</w:t>
                  </w:r>
                  <w:proofErr w:type="spellEnd"/>
                  <w:r>
                    <w:rPr>
                      <w:rFonts w:ascii="Calibri" w:eastAsia="Calibri" w:hAnsi="Calibri" w:cs="Calibri"/>
                      <w:b/>
                      <w:sz w:val="22"/>
                      <w:szCs w:val="22"/>
                    </w:rPr>
                    <w:t xml:space="preserve"> I</w:t>
                  </w:r>
                </w:p>
              </w:tc>
              <w:tc>
                <w:tcPr>
                  <w:tcW w:w="566" w:type="dxa"/>
                  <w:tcBorders>
                    <w:top w:val="single" w:sz="8" w:space="0" w:color="000000"/>
                    <w:bottom w:val="single" w:sz="8" w:space="0" w:color="000000"/>
                  </w:tcBorders>
                  <w:shd w:val="clear" w:color="auto" w:fill="DBE5F1"/>
                  <w:vAlign w:val="center"/>
                </w:tcPr>
                <w:p w14:paraId="6849BD38" w14:textId="77777777" w:rsidR="00600DEE" w:rsidRDefault="00600DEE">
                  <w:pPr>
                    <w:jc w:val="center"/>
                    <w:rPr>
                      <w:rFonts w:ascii="Calibri" w:eastAsia="Calibri" w:hAnsi="Calibri" w:cs="Calibri"/>
                    </w:rPr>
                  </w:pPr>
                </w:p>
              </w:tc>
              <w:tc>
                <w:tcPr>
                  <w:tcW w:w="1698" w:type="dxa"/>
                  <w:tcBorders>
                    <w:top w:val="single" w:sz="8" w:space="0" w:color="000000"/>
                    <w:bottom w:val="single" w:sz="8" w:space="0" w:color="000000"/>
                  </w:tcBorders>
                  <w:shd w:val="clear" w:color="auto" w:fill="DBE5F1"/>
                  <w:vAlign w:val="center"/>
                </w:tcPr>
                <w:p w14:paraId="6FECFBEF" w14:textId="77777777" w:rsidR="00600DEE" w:rsidRDefault="00600DEE">
                  <w:pPr>
                    <w:jc w:val="center"/>
                    <w:rPr>
                      <w:rFonts w:ascii="Calibri" w:eastAsia="Calibri" w:hAnsi="Calibri" w:cs="Calibri"/>
                    </w:rPr>
                  </w:pPr>
                </w:p>
              </w:tc>
              <w:tc>
                <w:tcPr>
                  <w:tcW w:w="250" w:type="dxa"/>
                  <w:tcBorders>
                    <w:top w:val="single" w:sz="8" w:space="0" w:color="000000"/>
                    <w:bottom w:val="single" w:sz="8" w:space="0" w:color="000000"/>
                    <w:right w:val="single" w:sz="8" w:space="0" w:color="000000"/>
                  </w:tcBorders>
                  <w:shd w:val="clear" w:color="auto" w:fill="DBE5F1"/>
                  <w:vAlign w:val="center"/>
                </w:tcPr>
                <w:p w14:paraId="718A03EC" w14:textId="77777777" w:rsidR="00600DEE" w:rsidRDefault="00600DEE">
                  <w:pPr>
                    <w:jc w:val="center"/>
                    <w:rPr>
                      <w:rFonts w:ascii="Calibri" w:eastAsia="Calibri" w:hAnsi="Calibri" w:cs="Calibri"/>
                    </w:rPr>
                  </w:pPr>
                </w:p>
              </w:tc>
            </w:tr>
            <w:tr w:rsidR="00600DEE" w14:paraId="5FF0216C" w14:textId="77777777" w:rsidTr="00E12F72">
              <w:trPr>
                <w:trHeight w:val="63"/>
              </w:trPr>
              <w:tc>
                <w:tcPr>
                  <w:tcW w:w="251" w:type="dxa"/>
                  <w:tcBorders>
                    <w:top w:val="single" w:sz="8" w:space="0" w:color="000000"/>
                  </w:tcBorders>
                </w:tcPr>
                <w:p w14:paraId="6BBD1FA1" w14:textId="77777777" w:rsidR="00600DEE" w:rsidRDefault="00600DEE">
                  <w:pPr>
                    <w:rPr>
                      <w:rFonts w:ascii="Calibri" w:eastAsia="Calibri" w:hAnsi="Calibri" w:cs="Calibri"/>
                      <w:b/>
                    </w:rPr>
                  </w:pPr>
                </w:p>
              </w:tc>
              <w:tc>
                <w:tcPr>
                  <w:tcW w:w="1425" w:type="dxa"/>
                  <w:tcBorders>
                    <w:top w:val="single" w:sz="8" w:space="0" w:color="000000"/>
                  </w:tcBorders>
                </w:tcPr>
                <w:p w14:paraId="5173480B" w14:textId="77777777" w:rsidR="00600DEE" w:rsidRDefault="00600DEE">
                  <w:pPr>
                    <w:rPr>
                      <w:rFonts w:ascii="Calibri" w:eastAsia="Calibri" w:hAnsi="Calibri" w:cs="Calibri"/>
                      <w:b/>
                    </w:rPr>
                  </w:pPr>
                </w:p>
              </w:tc>
              <w:tc>
                <w:tcPr>
                  <w:tcW w:w="555" w:type="dxa"/>
                  <w:tcBorders>
                    <w:top w:val="single" w:sz="8" w:space="0" w:color="000000"/>
                  </w:tcBorders>
                </w:tcPr>
                <w:p w14:paraId="4E9F9ED8" w14:textId="77777777" w:rsidR="00600DEE" w:rsidRDefault="00600DEE">
                  <w:pPr>
                    <w:rPr>
                      <w:rFonts w:ascii="Calibri" w:eastAsia="Calibri" w:hAnsi="Calibri" w:cs="Calibri"/>
                    </w:rPr>
                  </w:pPr>
                </w:p>
              </w:tc>
              <w:tc>
                <w:tcPr>
                  <w:tcW w:w="2308" w:type="dxa"/>
                  <w:tcBorders>
                    <w:top w:val="single" w:sz="8" w:space="0" w:color="000000"/>
                  </w:tcBorders>
                </w:tcPr>
                <w:p w14:paraId="5C9D9DEF" w14:textId="77777777" w:rsidR="00600DEE" w:rsidRDefault="00600DEE">
                  <w:pPr>
                    <w:rPr>
                      <w:rFonts w:ascii="Calibri" w:eastAsia="Calibri" w:hAnsi="Calibri" w:cs="Calibri"/>
                    </w:rPr>
                  </w:pPr>
                </w:p>
              </w:tc>
              <w:tc>
                <w:tcPr>
                  <w:tcW w:w="566" w:type="dxa"/>
                  <w:tcBorders>
                    <w:top w:val="single" w:sz="8" w:space="0" w:color="000000"/>
                  </w:tcBorders>
                </w:tcPr>
                <w:p w14:paraId="25C0AF05" w14:textId="77777777" w:rsidR="00600DEE" w:rsidRDefault="00600DEE">
                  <w:pPr>
                    <w:rPr>
                      <w:rFonts w:ascii="Calibri" w:eastAsia="Calibri" w:hAnsi="Calibri" w:cs="Calibri"/>
                    </w:rPr>
                  </w:pPr>
                </w:p>
              </w:tc>
              <w:tc>
                <w:tcPr>
                  <w:tcW w:w="1698" w:type="dxa"/>
                  <w:tcBorders>
                    <w:top w:val="single" w:sz="8" w:space="0" w:color="000000"/>
                  </w:tcBorders>
                </w:tcPr>
                <w:p w14:paraId="6C071A72" w14:textId="77777777" w:rsidR="00600DEE" w:rsidRDefault="00600DEE">
                  <w:pPr>
                    <w:rPr>
                      <w:rFonts w:ascii="Calibri" w:eastAsia="Calibri" w:hAnsi="Calibri" w:cs="Calibri"/>
                    </w:rPr>
                  </w:pPr>
                </w:p>
              </w:tc>
              <w:tc>
                <w:tcPr>
                  <w:tcW w:w="250" w:type="dxa"/>
                  <w:tcBorders>
                    <w:top w:val="single" w:sz="8" w:space="0" w:color="000000"/>
                  </w:tcBorders>
                </w:tcPr>
                <w:p w14:paraId="678E7A21" w14:textId="77777777" w:rsidR="00600DEE" w:rsidRDefault="00600DEE">
                  <w:pPr>
                    <w:rPr>
                      <w:rFonts w:ascii="Calibri" w:eastAsia="Calibri" w:hAnsi="Calibri" w:cs="Calibri"/>
                    </w:rPr>
                  </w:pPr>
                </w:p>
              </w:tc>
            </w:tr>
            <w:tr w:rsidR="00600DEE" w:rsidRPr="008C4407" w14:paraId="3BA365AE" w14:textId="77777777" w:rsidTr="00E12F72">
              <w:trPr>
                <w:trHeight w:val="2772"/>
              </w:trPr>
              <w:tc>
                <w:tcPr>
                  <w:tcW w:w="251" w:type="dxa"/>
                </w:tcPr>
                <w:p w14:paraId="1A3F197C" w14:textId="77777777" w:rsidR="00600DEE" w:rsidRDefault="00600DEE">
                  <w:pPr>
                    <w:rPr>
                      <w:rFonts w:ascii="Calibri" w:eastAsia="Calibri" w:hAnsi="Calibri" w:cs="Calibri"/>
                      <w:b/>
                    </w:rPr>
                  </w:pPr>
                </w:p>
              </w:tc>
              <w:tc>
                <w:tcPr>
                  <w:tcW w:w="1425" w:type="dxa"/>
                  <w:shd w:val="clear" w:color="auto" w:fill="F2F2F2"/>
                  <w:vAlign w:val="center"/>
                </w:tcPr>
                <w:p w14:paraId="01C15715" w14:textId="77777777" w:rsidR="00600DEE" w:rsidRPr="0045151D" w:rsidRDefault="00641FB5">
                  <w:pPr>
                    <w:ind w:right="170"/>
                    <w:rPr>
                      <w:rFonts w:ascii="Calibri" w:eastAsia="Calibri" w:hAnsi="Calibri" w:cs="Calibri"/>
                      <w:b/>
                      <w:sz w:val="16"/>
                      <w:szCs w:val="16"/>
                      <w:lang w:val="en-GB"/>
                    </w:rPr>
                  </w:pPr>
                  <w:r w:rsidRPr="0045151D">
                    <w:rPr>
                      <w:rFonts w:ascii="Calibri" w:eastAsia="Calibri" w:hAnsi="Calibri" w:cs="Calibri"/>
                      <w:b/>
                      <w:sz w:val="16"/>
                      <w:szCs w:val="16"/>
                      <w:lang w:val="en-GB"/>
                    </w:rPr>
                    <w:t>Inputs preparation,</w:t>
                  </w:r>
                </w:p>
                <w:p w14:paraId="71367A79" w14:textId="77777777" w:rsidR="00600DEE" w:rsidRPr="0045151D" w:rsidRDefault="00641FB5">
                  <w:pPr>
                    <w:ind w:right="170"/>
                    <w:rPr>
                      <w:rFonts w:ascii="Calibri" w:eastAsia="Calibri" w:hAnsi="Calibri" w:cs="Calibri"/>
                      <w:b/>
                      <w:sz w:val="16"/>
                      <w:szCs w:val="16"/>
                      <w:lang w:val="en-GB"/>
                    </w:rPr>
                  </w:pPr>
                  <w:r w:rsidRPr="0045151D">
                    <w:rPr>
                      <w:rFonts w:ascii="Calibri" w:eastAsia="Calibri" w:hAnsi="Calibri" w:cs="Calibri"/>
                      <w:b/>
                      <w:sz w:val="16"/>
                      <w:szCs w:val="16"/>
                      <w:lang w:val="en-GB"/>
                    </w:rPr>
                    <w:t xml:space="preserve">Identification of project objectives and </w:t>
                  </w:r>
                </w:p>
                <w:p w14:paraId="5205567D" w14:textId="77777777" w:rsidR="00600DEE" w:rsidRPr="0045151D" w:rsidRDefault="00641FB5">
                  <w:pPr>
                    <w:ind w:right="170"/>
                    <w:rPr>
                      <w:rFonts w:ascii="Calibri" w:eastAsia="Calibri" w:hAnsi="Calibri" w:cs="Calibri"/>
                      <w:b/>
                      <w:lang w:val="en-GB"/>
                    </w:rPr>
                  </w:pPr>
                  <w:r w:rsidRPr="0045151D">
                    <w:rPr>
                      <w:rFonts w:ascii="Calibri" w:eastAsia="Calibri" w:hAnsi="Calibri" w:cs="Calibri"/>
                      <w:b/>
                      <w:sz w:val="16"/>
                      <w:szCs w:val="16"/>
                      <w:lang w:val="en-GB"/>
                    </w:rPr>
                    <w:t>Option/s selection for cost-benefit analysis</w:t>
                  </w:r>
                </w:p>
              </w:tc>
              <w:tc>
                <w:tcPr>
                  <w:tcW w:w="555" w:type="dxa"/>
                </w:tcPr>
                <w:p w14:paraId="31D3E4C9" w14:textId="77777777" w:rsidR="00600DEE" w:rsidRPr="0045151D" w:rsidRDefault="00641FB5">
                  <w:pPr>
                    <w:rPr>
                      <w:rFonts w:ascii="Calibri" w:eastAsia="Calibri" w:hAnsi="Calibri" w:cs="Calibri"/>
                      <w:lang w:val="en-GB"/>
                    </w:rPr>
                  </w:pPr>
                  <w:r>
                    <w:rPr>
                      <w:noProof/>
                      <w:lang w:val="en-GB" w:eastAsia="en-GB"/>
                    </w:rPr>
                    <mc:AlternateContent>
                      <mc:Choice Requires="wps">
                        <w:drawing>
                          <wp:anchor distT="0" distB="0" distL="114300" distR="114300" simplePos="0" relativeHeight="251717632" behindDoc="0" locked="0" layoutInCell="1" hidden="0" allowOverlap="1" wp14:anchorId="0E11867D" wp14:editId="516127AD">
                            <wp:simplePos x="0" y="0"/>
                            <wp:positionH relativeFrom="column">
                              <wp:posOffset>-12699</wp:posOffset>
                            </wp:positionH>
                            <wp:positionV relativeFrom="paragraph">
                              <wp:posOffset>342900</wp:posOffset>
                            </wp:positionV>
                            <wp:extent cx="263000" cy="248600"/>
                            <wp:effectExtent l="0" t="0" r="0" b="0"/>
                            <wp:wrapNone/>
                            <wp:docPr id="503" name="Strzałka: w prawo 503"/>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69DF9521"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0E11867D" id="Strzałka: w prawo 503" o:spid="_x0000_s1058" type="#_x0000_t13" style="position:absolute;margin-left:-1pt;margin-top:27pt;width:20.7pt;height:19.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" adj="11455" fillcolor="#dae5f1" strokecolor="#93b3d7" strokeweight="2pt">
                            <v:stroke startarrowwidth="narrow" startarrowlength="short" endarrowwidth="narrow" endarrowlength="short" joinstyle="round"/>
                            <v:textbox inset="2.53958mm,2.53958mm,2.53958mm,2.53958mm">
                              <w:txbxContent>
                                <w:p w14:paraId="69DF9521" w14:textId="77777777" w:rsidR="007463B9" w:rsidRDefault="007463B9">
                                  <w:pPr>
                                    <w:textDirection w:val="btLr"/>
                                  </w:pPr>
                                </w:p>
                              </w:txbxContent>
                            </v:textbox>
                          </v:shape>
                        </w:pict>
                      </mc:Fallback>
                    </mc:AlternateContent>
                  </w:r>
                  <w:r>
                    <w:rPr>
                      <w:noProof/>
                      <w:lang w:val="en-GB" w:eastAsia="en-GB"/>
                    </w:rPr>
                    <mc:AlternateContent>
                      <mc:Choice Requires="wps">
                        <w:drawing>
                          <wp:anchor distT="0" distB="0" distL="114300" distR="114300" simplePos="0" relativeHeight="251718656" behindDoc="0" locked="0" layoutInCell="1" hidden="0" allowOverlap="1" wp14:anchorId="173BEF84" wp14:editId="7160625B">
                            <wp:simplePos x="0" y="0"/>
                            <wp:positionH relativeFrom="column">
                              <wp:posOffset>1689100</wp:posOffset>
                            </wp:positionH>
                            <wp:positionV relativeFrom="paragraph">
                              <wp:posOffset>342900</wp:posOffset>
                            </wp:positionV>
                            <wp:extent cx="262586" cy="248036"/>
                            <wp:effectExtent l="0" t="0" r="0" b="0"/>
                            <wp:wrapNone/>
                            <wp:docPr id="486" name="Strzałka: w prawo 486"/>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75F57D46"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173BEF84" id="Strzałka: w prawo 486" o:spid="_x0000_s1059" type="#_x0000_t13" style="position:absolute;margin-left:133pt;margin-top:27pt;width:20.7pt;height:19.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" adj="11463" fillcolor="#dae5f1" strokecolor="#93b3d7" strokeweight="2pt">
                            <v:stroke startarrowwidth="narrow" startarrowlength="short" endarrowwidth="narrow" endarrowlength="short" joinstyle="round"/>
                            <v:textbox inset="2.53958mm,2.53958mm,2.53958mm,2.53958mm">
                              <w:txbxContent>
                                <w:p w14:paraId="75F57D46" w14:textId="77777777" w:rsidR="007463B9" w:rsidRDefault="007463B9">
                                  <w:pPr>
                                    <w:textDirection w:val="btLr"/>
                                  </w:pPr>
                                </w:p>
                              </w:txbxContent>
                            </v:textbox>
                          </v:shape>
                        </w:pict>
                      </mc:Fallback>
                    </mc:AlternateContent>
                  </w:r>
                </w:p>
              </w:tc>
              <w:tc>
                <w:tcPr>
                  <w:tcW w:w="2308" w:type="dxa"/>
                  <w:vAlign w:val="center"/>
                </w:tcPr>
                <w:p w14:paraId="28FCB1A9"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Strategic context</w:t>
                  </w:r>
                </w:p>
                <w:p w14:paraId="0138748B"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Summary of previous project studies</w:t>
                  </w:r>
                </w:p>
                <w:p w14:paraId="6DDBAB4C"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xml:space="preserve">- Existing conditions </w:t>
                  </w:r>
                </w:p>
                <w:p w14:paraId="1F47624C"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Project objectives in line with strategy</w:t>
                  </w:r>
                </w:p>
                <w:p w14:paraId="1092BAFB"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Identification/ Selection of project options /Strategic/Technical options analysis where applicable</w:t>
                  </w:r>
                </w:p>
                <w:p w14:paraId="681BD997"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Definition of the Without Project Option</w:t>
                  </w:r>
                </w:p>
                <w:p w14:paraId="0F776EB8"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Determination of project reference period</w:t>
                  </w:r>
                </w:p>
                <w:p w14:paraId="73DF3BCB"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Preparation of macroeconomics indicators</w:t>
                  </w:r>
                </w:p>
                <w:p w14:paraId="5605C85D"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Traffic forecast</w:t>
                  </w:r>
                </w:p>
                <w:p w14:paraId="36E48E19"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Revenue projection</w:t>
                  </w:r>
                </w:p>
                <w:p w14:paraId="792C27A6"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Cost assumptions</w:t>
                  </w:r>
                </w:p>
                <w:p w14:paraId="2DFA11F4" w14:textId="77777777" w:rsidR="00600DEE" w:rsidRDefault="00641FB5">
                  <w:pPr>
                    <w:ind w:right="170"/>
                    <w:rPr>
                      <w:rFonts w:ascii="Calibri" w:eastAsia="Calibri" w:hAnsi="Calibri" w:cs="Calibri"/>
                    </w:rPr>
                  </w:pPr>
                  <w:r>
                    <w:rPr>
                      <w:rFonts w:ascii="Calibri" w:eastAsia="Calibri" w:hAnsi="Calibri" w:cs="Calibri"/>
                      <w:sz w:val="13"/>
                      <w:szCs w:val="13"/>
                    </w:rPr>
                    <w:t xml:space="preserve">- </w:t>
                  </w:r>
                  <w:proofErr w:type="spellStart"/>
                  <w:r>
                    <w:rPr>
                      <w:rFonts w:ascii="Calibri" w:eastAsia="Calibri" w:hAnsi="Calibri" w:cs="Calibri"/>
                      <w:sz w:val="13"/>
                      <w:szCs w:val="13"/>
                    </w:rPr>
                    <w:t>Residual</w:t>
                  </w:r>
                  <w:proofErr w:type="spellEnd"/>
                  <w:r>
                    <w:rPr>
                      <w:rFonts w:ascii="Calibri" w:eastAsia="Calibri" w:hAnsi="Calibri" w:cs="Calibri"/>
                      <w:sz w:val="13"/>
                      <w:szCs w:val="13"/>
                    </w:rPr>
                    <w:t xml:space="preserve"> </w:t>
                  </w:r>
                  <w:proofErr w:type="spellStart"/>
                  <w:r>
                    <w:rPr>
                      <w:rFonts w:ascii="Calibri" w:eastAsia="Calibri" w:hAnsi="Calibri" w:cs="Calibri"/>
                      <w:sz w:val="13"/>
                      <w:szCs w:val="13"/>
                    </w:rPr>
                    <w:t>value</w:t>
                  </w:r>
                  <w:proofErr w:type="spellEnd"/>
                </w:p>
              </w:tc>
              <w:tc>
                <w:tcPr>
                  <w:tcW w:w="566" w:type="dxa"/>
                </w:tcPr>
                <w:p w14:paraId="6D8F80D9" w14:textId="77777777" w:rsidR="00600DEE" w:rsidRDefault="00600DEE">
                  <w:pPr>
                    <w:rPr>
                      <w:rFonts w:ascii="Calibri" w:eastAsia="Calibri" w:hAnsi="Calibri" w:cs="Calibri"/>
                    </w:rPr>
                  </w:pPr>
                </w:p>
              </w:tc>
              <w:tc>
                <w:tcPr>
                  <w:tcW w:w="1698" w:type="dxa"/>
                  <w:shd w:val="clear" w:color="auto" w:fill="A6A6A6"/>
                  <w:vAlign w:val="center"/>
                </w:tcPr>
                <w:p w14:paraId="354F026A" w14:textId="77777777" w:rsidR="00600DEE" w:rsidRPr="0045151D" w:rsidRDefault="00641FB5">
                  <w:pPr>
                    <w:ind w:right="170"/>
                    <w:rPr>
                      <w:rFonts w:ascii="Calibri" w:eastAsia="Calibri" w:hAnsi="Calibri" w:cs="Calibri"/>
                      <w:sz w:val="16"/>
                      <w:szCs w:val="16"/>
                      <w:lang w:val="en-GB"/>
                    </w:rPr>
                  </w:pPr>
                  <w:r w:rsidRPr="0045151D">
                    <w:rPr>
                      <w:rFonts w:ascii="Calibri" w:eastAsia="Calibri" w:hAnsi="Calibri" w:cs="Calibri"/>
                      <w:sz w:val="16"/>
                      <w:szCs w:val="16"/>
                      <w:lang w:val="en-GB"/>
                    </w:rPr>
                    <w:t>- Project options/ Best option selected</w:t>
                  </w:r>
                </w:p>
                <w:p w14:paraId="331C6078" w14:textId="77777777" w:rsidR="00600DEE" w:rsidRPr="0045151D" w:rsidRDefault="00641FB5">
                  <w:pPr>
                    <w:ind w:right="170"/>
                    <w:rPr>
                      <w:rFonts w:ascii="Calibri" w:eastAsia="Calibri" w:hAnsi="Calibri" w:cs="Calibri"/>
                      <w:lang w:val="en-GB"/>
                    </w:rPr>
                  </w:pPr>
                  <w:r w:rsidRPr="0045151D">
                    <w:rPr>
                      <w:rFonts w:ascii="Calibri" w:eastAsia="Calibri" w:hAnsi="Calibri" w:cs="Calibri"/>
                      <w:sz w:val="16"/>
                      <w:szCs w:val="16"/>
                      <w:lang w:val="en-GB"/>
                    </w:rPr>
                    <w:t>- All input data for socio-economic and financial analysis</w:t>
                  </w:r>
                </w:p>
              </w:tc>
              <w:tc>
                <w:tcPr>
                  <w:tcW w:w="250" w:type="dxa"/>
                </w:tcPr>
                <w:p w14:paraId="62ADABC4" w14:textId="77777777" w:rsidR="00600DEE" w:rsidRPr="0045151D" w:rsidRDefault="00600DEE">
                  <w:pPr>
                    <w:rPr>
                      <w:rFonts w:ascii="Calibri" w:eastAsia="Calibri" w:hAnsi="Calibri" w:cs="Calibri"/>
                      <w:lang w:val="en-GB"/>
                    </w:rPr>
                  </w:pPr>
                </w:p>
              </w:tc>
            </w:tr>
            <w:tr w:rsidR="00600DEE" w:rsidRPr="008C4407" w14:paraId="04ECCA8D" w14:textId="77777777" w:rsidTr="00E12F72">
              <w:trPr>
                <w:trHeight w:val="53"/>
              </w:trPr>
              <w:tc>
                <w:tcPr>
                  <w:tcW w:w="251" w:type="dxa"/>
                  <w:tcBorders>
                    <w:bottom w:val="single" w:sz="8" w:space="0" w:color="000000"/>
                  </w:tcBorders>
                </w:tcPr>
                <w:p w14:paraId="06809822" w14:textId="77777777" w:rsidR="00600DEE" w:rsidRPr="0045151D" w:rsidRDefault="00600DEE">
                  <w:pPr>
                    <w:rPr>
                      <w:rFonts w:ascii="Calibri" w:eastAsia="Calibri" w:hAnsi="Calibri" w:cs="Calibri"/>
                      <w:b/>
                      <w:lang w:val="en-GB"/>
                    </w:rPr>
                  </w:pPr>
                </w:p>
              </w:tc>
              <w:tc>
                <w:tcPr>
                  <w:tcW w:w="1425" w:type="dxa"/>
                  <w:tcBorders>
                    <w:bottom w:val="single" w:sz="8" w:space="0" w:color="000000"/>
                  </w:tcBorders>
                </w:tcPr>
                <w:p w14:paraId="0E59149D" w14:textId="77777777" w:rsidR="00600DEE" w:rsidRPr="0045151D" w:rsidRDefault="00600DEE">
                  <w:pPr>
                    <w:rPr>
                      <w:rFonts w:ascii="Calibri" w:eastAsia="Calibri" w:hAnsi="Calibri" w:cs="Calibri"/>
                      <w:b/>
                      <w:lang w:val="en-GB"/>
                    </w:rPr>
                  </w:pPr>
                </w:p>
              </w:tc>
              <w:tc>
                <w:tcPr>
                  <w:tcW w:w="555" w:type="dxa"/>
                  <w:tcBorders>
                    <w:bottom w:val="single" w:sz="8" w:space="0" w:color="000000"/>
                  </w:tcBorders>
                </w:tcPr>
                <w:p w14:paraId="0A7890B9" w14:textId="77777777" w:rsidR="00600DEE" w:rsidRPr="0045151D" w:rsidRDefault="00600DEE">
                  <w:pPr>
                    <w:rPr>
                      <w:rFonts w:ascii="Calibri" w:eastAsia="Calibri" w:hAnsi="Calibri" w:cs="Calibri"/>
                      <w:lang w:val="en-GB"/>
                    </w:rPr>
                  </w:pPr>
                </w:p>
              </w:tc>
              <w:tc>
                <w:tcPr>
                  <w:tcW w:w="2308" w:type="dxa"/>
                  <w:tcBorders>
                    <w:bottom w:val="single" w:sz="8" w:space="0" w:color="000000"/>
                  </w:tcBorders>
                </w:tcPr>
                <w:p w14:paraId="4E54B9D6" w14:textId="77777777" w:rsidR="00600DEE" w:rsidRPr="0045151D" w:rsidRDefault="00600DEE">
                  <w:pPr>
                    <w:rPr>
                      <w:rFonts w:ascii="Calibri" w:eastAsia="Calibri" w:hAnsi="Calibri" w:cs="Calibri"/>
                      <w:lang w:val="en-GB"/>
                    </w:rPr>
                  </w:pPr>
                </w:p>
              </w:tc>
              <w:tc>
                <w:tcPr>
                  <w:tcW w:w="566" w:type="dxa"/>
                  <w:tcBorders>
                    <w:bottom w:val="single" w:sz="8" w:space="0" w:color="000000"/>
                  </w:tcBorders>
                </w:tcPr>
                <w:p w14:paraId="236A1C2A" w14:textId="77777777" w:rsidR="00600DEE" w:rsidRPr="0045151D" w:rsidRDefault="00600DEE">
                  <w:pPr>
                    <w:rPr>
                      <w:rFonts w:ascii="Calibri" w:eastAsia="Calibri" w:hAnsi="Calibri" w:cs="Calibri"/>
                      <w:lang w:val="en-GB"/>
                    </w:rPr>
                  </w:pPr>
                </w:p>
              </w:tc>
              <w:tc>
                <w:tcPr>
                  <w:tcW w:w="1698" w:type="dxa"/>
                  <w:tcBorders>
                    <w:bottom w:val="single" w:sz="8" w:space="0" w:color="000000"/>
                  </w:tcBorders>
                </w:tcPr>
                <w:p w14:paraId="38C72D6F" w14:textId="77777777" w:rsidR="00600DEE" w:rsidRPr="0045151D" w:rsidRDefault="00600DEE">
                  <w:pPr>
                    <w:rPr>
                      <w:rFonts w:ascii="Calibri" w:eastAsia="Calibri" w:hAnsi="Calibri" w:cs="Calibri"/>
                      <w:lang w:val="en-GB"/>
                    </w:rPr>
                  </w:pPr>
                </w:p>
              </w:tc>
              <w:tc>
                <w:tcPr>
                  <w:tcW w:w="250" w:type="dxa"/>
                  <w:tcBorders>
                    <w:bottom w:val="single" w:sz="8" w:space="0" w:color="000000"/>
                  </w:tcBorders>
                </w:tcPr>
                <w:p w14:paraId="4C26BB50" w14:textId="77777777" w:rsidR="00600DEE" w:rsidRPr="0045151D" w:rsidRDefault="00600DEE">
                  <w:pPr>
                    <w:rPr>
                      <w:rFonts w:ascii="Calibri" w:eastAsia="Calibri" w:hAnsi="Calibri" w:cs="Calibri"/>
                      <w:lang w:val="en-GB"/>
                    </w:rPr>
                  </w:pPr>
                </w:p>
              </w:tc>
            </w:tr>
            <w:tr w:rsidR="00600DEE" w14:paraId="7ABCD5A1" w14:textId="77777777" w:rsidTr="00023AC0">
              <w:trPr>
                <w:trHeight w:val="340"/>
              </w:trPr>
              <w:tc>
                <w:tcPr>
                  <w:tcW w:w="251" w:type="dxa"/>
                  <w:tcBorders>
                    <w:top w:val="single" w:sz="8" w:space="0" w:color="000000"/>
                    <w:left w:val="single" w:sz="8" w:space="0" w:color="000000"/>
                    <w:bottom w:val="single" w:sz="8" w:space="0" w:color="000000"/>
                  </w:tcBorders>
                  <w:shd w:val="clear" w:color="auto" w:fill="B8CCE4"/>
                  <w:vAlign w:val="center"/>
                </w:tcPr>
                <w:p w14:paraId="0B233893" w14:textId="77777777" w:rsidR="00600DEE" w:rsidRPr="0045151D" w:rsidRDefault="00600DEE">
                  <w:pPr>
                    <w:jc w:val="center"/>
                    <w:rPr>
                      <w:rFonts w:ascii="Calibri" w:eastAsia="Calibri" w:hAnsi="Calibri" w:cs="Calibri"/>
                      <w:b/>
                      <w:lang w:val="en-GB"/>
                    </w:rPr>
                  </w:pPr>
                </w:p>
              </w:tc>
              <w:tc>
                <w:tcPr>
                  <w:tcW w:w="1425" w:type="dxa"/>
                  <w:tcBorders>
                    <w:top w:val="single" w:sz="8" w:space="0" w:color="000000"/>
                    <w:bottom w:val="single" w:sz="8" w:space="0" w:color="000000"/>
                  </w:tcBorders>
                  <w:shd w:val="clear" w:color="auto" w:fill="B8CCE4"/>
                  <w:vAlign w:val="center"/>
                </w:tcPr>
                <w:p w14:paraId="613E1F77" w14:textId="77777777" w:rsidR="00600DEE" w:rsidRPr="0045151D" w:rsidRDefault="00600DEE">
                  <w:pPr>
                    <w:jc w:val="center"/>
                    <w:rPr>
                      <w:rFonts w:ascii="Calibri" w:eastAsia="Calibri" w:hAnsi="Calibri" w:cs="Calibri"/>
                      <w:b/>
                      <w:lang w:val="en-GB"/>
                    </w:rPr>
                  </w:pPr>
                </w:p>
              </w:tc>
              <w:tc>
                <w:tcPr>
                  <w:tcW w:w="555" w:type="dxa"/>
                  <w:tcBorders>
                    <w:top w:val="single" w:sz="8" w:space="0" w:color="000000"/>
                    <w:bottom w:val="single" w:sz="8" w:space="0" w:color="000000"/>
                  </w:tcBorders>
                  <w:shd w:val="clear" w:color="auto" w:fill="B8CCE4"/>
                  <w:vAlign w:val="center"/>
                </w:tcPr>
                <w:p w14:paraId="2749FDAF" w14:textId="77777777" w:rsidR="00600DEE" w:rsidRPr="0045151D" w:rsidRDefault="00600DEE">
                  <w:pPr>
                    <w:jc w:val="center"/>
                    <w:rPr>
                      <w:rFonts w:ascii="Calibri" w:eastAsia="Calibri" w:hAnsi="Calibri" w:cs="Calibri"/>
                      <w:lang w:val="en-GB"/>
                    </w:rPr>
                  </w:pPr>
                </w:p>
              </w:tc>
              <w:tc>
                <w:tcPr>
                  <w:tcW w:w="2308" w:type="dxa"/>
                  <w:tcBorders>
                    <w:top w:val="single" w:sz="8" w:space="0" w:color="000000"/>
                    <w:bottom w:val="single" w:sz="8" w:space="0" w:color="000000"/>
                  </w:tcBorders>
                  <w:shd w:val="clear" w:color="auto" w:fill="B8CCE4"/>
                  <w:vAlign w:val="center"/>
                </w:tcPr>
                <w:p w14:paraId="5C95FA2A" w14:textId="77777777" w:rsidR="00600DEE" w:rsidRDefault="00641FB5">
                  <w:pPr>
                    <w:jc w:val="center"/>
                    <w:rPr>
                      <w:rFonts w:ascii="Calibri" w:eastAsia="Calibri" w:hAnsi="Calibri" w:cs="Calibri"/>
                      <w:b/>
                      <w:sz w:val="22"/>
                      <w:szCs w:val="22"/>
                    </w:rPr>
                  </w:pPr>
                  <w:proofErr w:type="spellStart"/>
                  <w:r>
                    <w:rPr>
                      <w:rFonts w:ascii="Calibri" w:eastAsia="Calibri" w:hAnsi="Calibri" w:cs="Calibri"/>
                      <w:b/>
                      <w:sz w:val="22"/>
                      <w:szCs w:val="22"/>
                    </w:rPr>
                    <w:t>Phase</w:t>
                  </w:r>
                  <w:proofErr w:type="spellEnd"/>
                  <w:r>
                    <w:rPr>
                      <w:rFonts w:ascii="Calibri" w:eastAsia="Calibri" w:hAnsi="Calibri" w:cs="Calibri"/>
                      <w:b/>
                      <w:sz w:val="22"/>
                      <w:szCs w:val="22"/>
                    </w:rPr>
                    <w:t xml:space="preserve"> II</w:t>
                  </w:r>
                </w:p>
              </w:tc>
              <w:tc>
                <w:tcPr>
                  <w:tcW w:w="566" w:type="dxa"/>
                  <w:tcBorders>
                    <w:top w:val="single" w:sz="8" w:space="0" w:color="000000"/>
                    <w:bottom w:val="single" w:sz="8" w:space="0" w:color="000000"/>
                  </w:tcBorders>
                  <w:shd w:val="clear" w:color="auto" w:fill="B8CCE4"/>
                  <w:vAlign w:val="center"/>
                </w:tcPr>
                <w:p w14:paraId="00AB0410" w14:textId="77777777" w:rsidR="00600DEE" w:rsidRDefault="00600DEE">
                  <w:pPr>
                    <w:jc w:val="center"/>
                    <w:rPr>
                      <w:rFonts w:ascii="Calibri" w:eastAsia="Calibri" w:hAnsi="Calibri" w:cs="Calibri"/>
                    </w:rPr>
                  </w:pPr>
                </w:p>
              </w:tc>
              <w:tc>
                <w:tcPr>
                  <w:tcW w:w="1698" w:type="dxa"/>
                  <w:tcBorders>
                    <w:top w:val="single" w:sz="8" w:space="0" w:color="000000"/>
                    <w:bottom w:val="single" w:sz="8" w:space="0" w:color="000000"/>
                  </w:tcBorders>
                  <w:shd w:val="clear" w:color="auto" w:fill="B8CCE4"/>
                  <w:vAlign w:val="center"/>
                </w:tcPr>
                <w:p w14:paraId="3BC79562" w14:textId="77777777" w:rsidR="00600DEE" w:rsidRDefault="00600DEE">
                  <w:pPr>
                    <w:jc w:val="center"/>
                    <w:rPr>
                      <w:rFonts w:ascii="Calibri" w:eastAsia="Calibri" w:hAnsi="Calibri" w:cs="Calibri"/>
                    </w:rPr>
                  </w:pPr>
                </w:p>
              </w:tc>
              <w:tc>
                <w:tcPr>
                  <w:tcW w:w="250" w:type="dxa"/>
                  <w:tcBorders>
                    <w:top w:val="single" w:sz="8" w:space="0" w:color="000000"/>
                    <w:bottom w:val="single" w:sz="8" w:space="0" w:color="000000"/>
                    <w:right w:val="single" w:sz="8" w:space="0" w:color="000000"/>
                  </w:tcBorders>
                  <w:shd w:val="clear" w:color="auto" w:fill="B8CCE4"/>
                  <w:vAlign w:val="center"/>
                </w:tcPr>
                <w:p w14:paraId="72BA9396" w14:textId="77777777" w:rsidR="00600DEE" w:rsidRDefault="00600DEE">
                  <w:pPr>
                    <w:jc w:val="center"/>
                    <w:rPr>
                      <w:rFonts w:ascii="Calibri" w:eastAsia="Calibri" w:hAnsi="Calibri" w:cs="Calibri"/>
                    </w:rPr>
                  </w:pPr>
                </w:p>
              </w:tc>
            </w:tr>
            <w:tr w:rsidR="00600DEE" w14:paraId="4438CA1F" w14:textId="77777777" w:rsidTr="00E12F72">
              <w:trPr>
                <w:trHeight w:val="63"/>
              </w:trPr>
              <w:tc>
                <w:tcPr>
                  <w:tcW w:w="251" w:type="dxa"/>
                  <w:tcBorders>
                    <w:top w:val="single" w:sz="8" w:space="0" w:color="000000"/>
                  </w:tcBorders>
                </w:tcPr>
                <w:p w14:paraId="395C704F" w14:textId="77777777" w:rsidR="00600DEE" w:rsidRDefault="00600DEE">
                  <w:pPr>
                    <w:rPr>
                      <w:rFonts w:ascii="Calibri" w:eastAsia="Calibri" w:hAnsi="Calibri" w:cs="Calibri"/>
                      <w:b/>
                    </w:rPr>
                  </w:pPr>
                </w:p>
              </w:tc>
              <w:tc>
                <w:tcPr>
                  <w:tcW w:w="1425" w:type="dxa"/>
                  <w:tcBorders>
                    <w:top w:val="single" w:sz="8" w:space="0" w:color="000000"/>
                  </w:tcBorders>
                </w:tcPr>
                <w:p w14:paraId="2A4D530E" w14:textId="77777777" w:rsidR="00600DEE" w:rsidRDefault="00600DEE">
                  <w:pPr>
                    <w:rPr>
                      <w:rFonts w:ascii="Calibri" w:eastAsia="Calibri" w:hAnsi="Calibri" w:cs="Calibri"/>
                      <w:b/>
                    </w:rPr>
                  </w:pPr>
                </w:p>
              </w:tc>
              <w:tc>
                <w:tcPr>
                  <w:tcW w:w="555" w:type="dxa"/>
                  <w:tcBorders>
                    <w:top w:val="single" w:sz="8" w:space="0" w:color="000000"/>
                  </w:tcBorders>
                </w:tcPr>
                <w:p w14:paraId="7377F715" w14:textId="77777777" w:rsidR="00600DEE" w:rsidRDefault="00600DEE">
                  <w:pPr>
                    <w:rPr>
                      <w:rFonts w:ascii="Calibri" w:eastAsia="Calibri" w:hAnsi="Calibri" w:cs="Calibri"/>
                    </w:rPr>
                  </w:pPr>
                </w:p>
              </w:tc>
              <w:tc>
                <w:tcPr>
                  <w:tcW w:w="2308" w:type="dxa"/>
                  <w:tcBorders>
                    <w:top w:val="single" w:sz="8" w:space="0" w:color="000000"/>
                  </w:tcBorders>
                </w:tcPr>
                <w:p w14:paraId="5C4EC6E8" w14:textId="77777777" w:rsidR="00600DEE" w:rsidRDefault="00600DEE">
                  <w:pPr>
                    <w:rPr>
                      <w:rFonts w:ascii="Calibri" w:eastAsia="Calibri" w:hAnsi="Calibri" w:cs="Calibri"/>
                    </w:rPr>
                  </w:pPr>
                </w:p>
              </w:tc>
              <w:tc>
                <w:tcPr>
                  <w:tcW w:w="566" w:type="dxa"/>
                  <w:tcBorders>
                    <w:top w:val="single" w:sz="8" w:space="0" w:color="000000"/>
                  </w:tcBorders>
                </w:tcPr>
                <w:p w14:paraId="553189DF" w14:textId="77777777" w:rsidR="00600DEE" w:rsidRDefault="00600DEE">
                  <w:pPr>
                    <w:rPr>
                      <w:rFonts w:ascii="Calibri" w:eastAsia="Calibri" w:hAnsi="Calibri" w:cs="Calibri"/>
                    </w:rPr>
                  </w:pPr>
                </w:p>
              </w:tc>
              <w:tc>
                <w:tcPr>
                  <w:tcW w:w="1698" w:type="dxa"/>
                  <w:tcBorders>
                    <w:top w:val="single" w:sz="8" w:space="0" w:color="000000"/>
                  </w:tcBorders>
                </w:tcPr>
                <w:p w14:paraId="688316D0" w14:textId="77777777" w:rsidR="00600DEE" w:rsidRDefault="00600DEE">
                  <w:pPr>
                    <w:rPr>
                      <w:rFonts w:ascii="Calibri" w:eastAsia="Calibri" w:hAnsi="Calibri" w:cs="Calibri"/>
                    </w:rPr>
                  </w:pPr>
                </w:p>
              </w:tc>
              <w:tc>
                <w:tcPr>
                  <w:tcW w:w="250" w:type="dxa"/>
                  <w:tcBorders>
                    <w:top w:val="single" w:sz="8" w:space="0" w:color="000000"/>
                  </w:tcBorders>
                </w:tcPr>
                <w:p w14:paraId="080F0B7F" w14:textId="77777777" w:rsidR="00600DEE" w:rsidRDefault="00600DEE">
                  <w:pPr>
                    <w:rPr>
                      <w:rFonts w:ascii="Calibri" w:eastAsia="Calibri" w:hAnsi="Calibri" w:cs="Calibri"/>
                    </w:rPr>
                  </w:pPr>
                </w:p>
              </w:tc>
            </w:tr>
            <w:tr w:rsidR="00600DEE" w:rsidRPr="008C4407" w14:paraId="014C8C19" w14:textId="77777777" w:rsidTr="00E12F72">
              <w:trPr>
                <w:trHeight w:val="1410"/>
              </w:trPr>
              <w:tc>
                <w:tcPr>
                  <w:tcW w:w="251" w:type="dxa"/>
                </w:tcPr>
                <w:p w14:paraId="51AEEFF0" w14:textId="77777777" w:rsidR="00600DEE" w:rsidRDefault="00600DEE">
                  <w:pPr>
                    <w:rPr>
                      <w:rFonts w:ascii="Calibri" w:eastAsia="Calibri" w:hAnsi="Calibri" w:cs="Calibri"/>
                      <w:b/>
                    </w:rPr>
                  </w:pPr>
                </w:p>
              </w:tc>
              <w:tc>
                <w:tcPr>
                  <w:tcW w:w="1425" w:type="dxa"/>
                  <w:shd w:val="clear" w:color="auto" w:fill="F2F2F2"/>
                  <w:vAlign w:val="center"/>
                </w:tcPr>
                <w:p w14:paraId="3F379A83" w14:textId="77777777" w:rsidR="00600DEE" w:rsidRDefault="00641FB5">
                  <w:pPr>
                    <w:ind w:right="170"/>
                    <w:rPr>
                      <w:rFonts w:ascii="Calibri" w:eastAsia="Calibri" w:hAnsi="Calibri" w:cs="Calibri"/>
                      <w:b/>
                    </w:rPr>
                  </w:pPr>
                  <w:proofErr w:type="spellStart"/>
                  <w:r>
                    <w:rPr>
                      <w:rFonts w:ascii="Calibri" w:eastAsia="Calibri" w:hAnsi="Calibri" w:cs="Calibri"/>
                      <w:b/>
                      <w:sz w:val="16"/>
                      <w:szCs w:val="16"/>
                    </w:rPr>
                    <w:t>Economic</w:t>
                  </w:r>
                  <w:proofErr w:type="spellEnd"/>
                  <w:r>
                    <w:rPr>
                      <w:rFonts w:ascii="Calibri" w:eastAsia="Calibri" w:hAnsi="Calibri" w:cs="Calibri"/>
                      <w:b/>
                      <w:sz w:val="16"/>
                      <w:szCs w:val="16"/>
                    </w:rPr>
                    <w:t xml:space="preserve"> Analysis</w:t>
                  </w:r>
                </w:p>
              </w:tc>
              <w:tc>
                <w:tcPr>
                  <w:tcW w:w="555" w:type="dxa"/>
                </w:tcPr>
                <w:p w14:paraId="532F62A3"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19680" behindDoc="0" locked="0" layoutInCell="1" hidden="0" allowOverlap="1" wp14:anchorId="19AA413C" wp14:editId="33955E29">
                            <wp:simplePos x="0" y="0"/>
                            <wp:positionH relativeFrom="column">
                              <wp:posOffset>-12699</wp:posOffset>
                            </wp:positionH>
                            <wp:positionV relativeFrom="paragraph">
                              <wp:posOffset>419100</wp:posOffset>
                            </wp:positionV>
                            <wp:extent cx="263000" cy="248600"/>
                            <wp:effectExtent l="0" t="0" r="0" b="0"/>
                            <wp:wrapNone/>
                            <wp:docPr id="477" name="Strzałka: w prawo 477"/>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0B18DFA3"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19AA413C" id="Strzałka: w prawo 477" o:spid="_x0000_s1060" type="#_x0000_t13" style="position:absolute;margin-left:-1pt;margin-top:33pt;width:20.7pt;height:19.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" adj="11455" fillcolor="#93b3d7" strokecolor="#366092" strokeweight="2pt">
                            <v:stroke startarrowwidth="narrow" startarrowlength="short" endarrowwidth="narrow" endarrowlength="short" joinstyle="round"/>
                            <v:textbox inset="2.53958mm,2.53958mm,2.53958mm,2.53958mm">
                              <w:txbxContent>
                                <w:p w14:paraId="0B18DFA3" w14:textId="77777777" w:rsidR="007463B9" w:rsidRDefault="007463B9">
                                  <w:pPr>
                                    <w:textDirection w:val="btLr"/>
                                  </w:pPr>
                                </w:p>
                              </w:txbxContent>
                            </v:textbox>
                          </v:shape>
                        </w:pict>
                      </mc:Fallback>
                    </mc:AlternateContent>
                  </w:r>
                </w:p>
              </w:tc>
              <w:tc>
                <w:tcPr>
                  <w:tcW w:w="2308" w:type="dxa"/>
                  <w:vAlign w:val="center"/>
                </w:tcPr>
                <w:p w14:paraId="5BE7F941"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Definition of assumptions</w:t>
                  </w:r>
                </w:p>
                <w:p w14:paraId="6D521DFC"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Conversion from market to accounting (shadow) prices</w:t>
                  </w:r>
                </w:p>
                <w:p w14:paraId="0255318E"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Calculation of economic costs and benefits</w:t>
                  </w:r>
                </w:p>
                <w:p w14:paraId="195AC25F"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Calculation of economic performance indicators</w:t>
                  </w:r>
                </w:p>
                <w:p w14:paraId="49DF6951" w14:textId="77777777" w:rsidR="00600DEE" w:rsidRPr="0045151D" w:rsidRDefault="00641FB5">
                  <w:pPr>
                    <w:ind w:right="170"/>
                    <w:rPr>
                      <w:rFonts w:ascii="Calibri" w:eastAsia="Calibri" w:hAnsi="Calibri" w:cs="Calibri"/>
                      <w:lang w:val="en-GB"/>
                    </w:rPr>
                  </w:pPr>
                  <w:r w:rsidRPr="0045151D">
                    <w:rPr>
                      <w:rFonts w:ascii="Calibri" w:eastAsia="Calibri" w:hAnsi="Calibri" w:cs="Calibri"/>
                      <w:sz w:val="13"/>
                      <w:szCs w:val="13"/>
                      <w:lang w:val="en-GB"/>
                    </w:rPr>
                    <w:t>- Selection of final project option (if applicable)</w:t>
                  </w:r>
                </w:p>
              </w:tc>
              <w:tc>
                <w:tcPr>
                  <w:tcW w:w="566" w:type="dxa"/>
                </w:tcPr>
                <w:p w14:paraId="1AD818C0" w14:textId="77777777" w:rsidR="00600DEE" w:rsidRPr="0045151D" w:rsidRDefault="00641FB5">
                  <w:pPr>
                    <w:rPr>
                      <w:rFonts w:ascii="Calibri" w:eastAsia="Calibri" w:hAnsi="Calibri" w:cs="Calibri"/>
                      <w:lang w:val="en-GB"/>
                    </w:rPr>
                  </w:pPr>
                  <w:r>
                    <w:rPr>
                      <w:noProof/>
                      <w:lang w:val="en-GB" w:eastAsia="en-GB"/>
                    </w:rPr>
                    <mc:AlternateContent>
                      <mc:Choice Requires="wps">
                        <w:drawing>
                          <wp:anchor distT="0" distB="0" distL="114300" distR="114300" simplePos="0" relativeHeight="251720704" behindDoc="0" locked="0" layoutInCell="1" hidden="0" allowOverlap="1" wp14:anchorId="044A09B0" wp14:editId="276260A8">
                            <wp:simplePos x="0" y="0"/>
                            <wp:positionH relativeFrom="column">
                              <wp:posOffset>-38099</wp:posOffset>
                            </wp:positionH>
                            <wp:positionV relativeFrom="paragraph">
                              <wp:posOffset>419100</wp:posOffset>
                            </wp:positionV>
                            <wp:extent cx="262255" cy="247650"/>
                            <wp:effectExtent l="0" t="0" r="0" b="0"/>
                            <wp:wrapNone/>
                            <wp:docPr id="490" name="Strzałka: w prawo 490"/>
                            <wp:cNvGraphicFramePr/>
                            <a:graphic xmlns:a="http://schemas.openxmlformats.org/drawingml/2006/main">
                              <a:graphicData uri="http://schemas.microsoft.com/office/word/2010/wordprocessingShape">
                                <wps:wsp>
                                  <wps:cNvSpPr/>
                                  <wps:spPr>
                                    <a:xfrm>
                                      <a:off x="5227573" y="3668875"/>
                                      <a:ext cx="236855" cy="222250"/>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6F09A969"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044A09B0" id="Strzałka: w prawo 490" o:spid="_x0000_s1061" type="#_x0000_t13" style="position:absolute;margin-left:-3pt;margin-top:33pt;width:20.6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" adj="11466" fillcolor="#93b3d7" strokecolor="#366092" strokeweight="2pt">
                            <v:stroke startarrowwidth="narrow" startarrowlength="short" endarrowwidth="narrow" endarrowlength="short" joinstyle="round"/>
                            <v:textbox inset="2.53958mm,2.53958mm,2.53958mm,2.53958mm">
                              <w:txbxContent>
                                <w:p w14:paraId="6F09A969" w14:textId="77777777" w:rsidR="007463B9" w:rsidRDefault="007463B9">
                                  <w:pPr>
                                    <w:textDirection w:val="btLr"/>
                                  </w:pPr>
                                </w:p>
                              </w:txbxContent>
                            </v:textbox>
                          </v:shape>
                        </w:pict>
                      </mc:Fallback>
                    </mc:AlternateContent>
                  </w:r>
                </w:p>
              </w:tc>
              <w:tc>
                <w:tcPr>
                  <w:tcW w:w="1698" w:type="dxa"/>
                  <w:shd w:val="clear" w:color="auto" w:fill="A6A6A6"/>
                  <w:vAlign w:val="center"/>
                </w:tcPr>
                <w:p w14:paraId="6F3A4CCC" w14:textId="77777777" w:rsidR="00600DEE" w:rsidRPr="0045151D" w:rsidRDefault="00641FB5">
                  <w:pPr>
                    <w:ind w:right="170"/>
                    <w:rPr>
                      <w:rFonts w:ascii="Calibri" w:eastAsia="Calibri" w:hAnsi="Calibri" w:cs="Calibri"/>
                      <w:sz w:val="12"/>
                      <w:szCs w:val="12"/>
                      <w:lang w:val="en-GB"/>
                    </w:rPr>
                  </w:pPr>
                  <w:r w:rsidRPr="0045151D">
                    <w:rPr>
                      <w:rFonts w:ascii="Calibri" w:eastAsia="Calibri" w:hAnsi="Calibri" w:cs="Calibri"/>
                      <w:sz w:val="12"/>
                      <w:szCs w:val="12"/>
                      <w:lang w:val="en-GB"/>
                    </w:rPr>
                    <w:t>- Selection of the best investment option within broad social perspective (in case of using CBA as option selection tool)</w:t>
                  </w:r>
                </w:p>
                <w:p w14:paraId="2AA12027"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2"/>
                      <w:szCs w:val="12"/>
                      <w:lang w:val="en-GB"/>
                    </w:rPr>
                    <w:t>- Justification that the project investment option is economically advisable and deserves co-financing</w:t>
                  </w:r>
                </w:p>
              </w:tc>
              <w:tc>
                <w:tcPr>
                  <w:tcW w:w="250" w:type="dxa"/>
                </w:tcPr>
                <w:p w14:paraId="025B3D55" w14:textId="77777777" w:rsidR="00600DEE" w:rsidRPr="0045151D" w:rsidRDefault="00600DEE">
                  <w:pPr>
                    <w:rPr>
                      <w:rFonts w:ascii="Calibri" w:eastAsia="Calibri" w:hAnsi="Calibri" w:cs="Calibri"/>
                      <w:lang w:val="en-GB"/>
                    </w:rPr>
                  </w:pPr>
                </w:p>
              </w:tc>
            </w:tr>
            <w:tr w:rsidR="00600DEE" w:rsidRPr="008C4407" w14:paraId="10F68EEB" w14:textId="77777777" w:rsidTr="00E12F72">
              <w:trPr>
                <w:trHeight w:val="53"/>
              </w:trPr>
              <w:tc>
                <w:tcPr>
                  <w:tcW w:w="251" w:type="dxa"/>
                  <w:tcBorders>
                    <w:bottom w:val="single" w:sz="8" w:space="0" w:color="000000"/>
                  </w:tcBorders>
                </w:tcPr>
                <w:p w14:paraId="70A7409F" w14:textId="77777777" w:rsidR="00600DEE" w:rsidRPr="0045151D" w:rsidRDefault="00600DEE">
                  <w:pPr>
                    <w:rPr>
                      <w:rFonts w:ascii="Calibri" w:eastAsia="Calibri" w:hAnsi="Calibri" w:cs="Calibri"/>
                      <w:b/>
                      <w:lang w:val="en-GB"/>
                    </w:rPr>
                  </w:pPr>
                </w:p>
              </w:tc>
              <w:tc>
                <w:tcPr>
                  <w:tcW w:w="1425" w:type="dxa"/>
                  <w:tcBorders>
                    <w:bottom w:val="single" w:sz="8" w:space="0" w:color="000000"/>
                  </w:tcBorders>
                </w:tcPr>
                <w:p w14:paraId="12B08DE1" w14:textId="77777777" w:rsidR="00600DEE" w:rsidRPr="0045151D" w:rsidRDefault="00600DEE">
                  <w:pPr>
                    <w:rPr>
                      <w:rFonts w:ascii="Calibri" w:eastAsia="Calibri" w:hAnsi="Calibri" w:cs="Calibri"/>
                      <w:b/>
                      <w:lang w:val="en-GB"/>
                    </w:rPr>
                  </w:pPr>
                </w:p>
                <w:p w14:paraId="170A1DF7" w14:textId="77777777" w:rsidR="00E12F72" w:rsidRPr="0045151D" w:rsidRDefault="00E12F72">
                  <w:pPr>
                    <w:rPr>
                      <w:rFonts w:ascii="Calibri" w:eastAsia="Calibri" w:hAnsi="Calibri" w:cs="Calibri"/>
                      <w:b/>
                      <w:lang w:val="en-GB"/>
                    </w:rPr>
                  </w:pPr>
                </w:p>
                <w:p w14:paraId="10293199" w14:textId="77777777" w:rsidR="00E12F72" w:rsidRPr="0045151D" w:rsidRDefault="00E12F72">
                  <w:pPr>
                    <w:rPr>
                      <w:rFonts w:ascii="Calibri" w:eastAsia="Calibri" w:hAnsi="Calibri" w:cs="Calibri"/>
                      <w:b/>
                      <w:lang w:val="en-GB"/>
                    </w:rPr>
                  </w:pPr>
                </w:p>
                <w:p w14:paraId="6CD4DFCE" w14:textId="77777777" w:rsidR="00E12F72" w:rsidRPr="0045151D" w:rsidRDefault="00E12F72">
                  <w:pPr>
                    <w:rPr>
                      <w:rFonts w:ascii="Calibri" w:eastAsia="Calibri" w:hAnsi="Calibri" w:cs="Calibri"/>
                      <w:b/>
                      <w:lang w:val="en-GB"/>
                    </w:rPr>
                  </w:pPr>
                </w:p>
                <w:p w14:paraId="5B6704AC" w14:textId="12B8D1FE" w:rsidR="00E12F72" w:rsidRPr="0045151D" w:rsidRDefault="00E12F72" w:rsidP="008560D7">
                  <w:pPr>
                    <w:spacing w:after="160"/>
                    <w:rPr>
                      <w:rFonts w:ascii="Calibri" w:eastAsia="Calibri" w:hAnsi="Calibri" w:cs="Calibri"/>
                      <w:b/>
                      <w:lang w:val="en-GB"/>
                    </w:rPr>
                  </w:pPr>
                </w:p>
              </w:tc>
              <w:tc>
                <w:tcPr>
                  <w:tcW w:w="555" w:type="dxa"/>
                  <w:tcBorders>
                    <w:bottom w:val="single" w:sz="8" w:space="0" w:color="000000"/>
                  </w:tcBorders>
                </w:tcPr>
                <w:p w14:paraId="1A2B1D51" w14:textId="77777777" w:rsidR="00600DEE" w:rsidRPr="0045151D" w:rsidRDefault="00600DEE">
                  <w:pPr>
                    <w:rPr>
                      <w:rFonts w:ascii="Calibri" w:eastAsia="Calibri" w:hAnsi="Calibri" w:cs="Calibri"/>
                      <w:lang w:val="en-GB"/>
                    </w:rPr>
                  </w:pPr>
                </w:p>
              </w:tc>
              <w:tc>
                <w:tcPr>
                  <w:tcW w:w="2308" w:type="dxa"/>
                  <w:tcBorders>
                    <w:bottom w:val="single" w:sz="8" w:space="0" w:color="000000"/>
                  </w:tcBorders>
                </w:tcPr>
                <w:p w14:paraId="0310764F" w14:textId="77777777" w:rsidR="00600DEE" w:rsidRPr="0045151D" w:rsidRDefault="00600DEE">
                  <w:pPr>
                    <w:rPr>
                      <w:rFonts w:ascii="Calibri" w:eastAsia="Calibri" w:hAnsi="Calibri" w:cs="Calibri"/>
                      <w:lang w:val="en-GB"/>
                    </w:rPr>
                  </w:pPr>
                </w:p>
              </w:tc>
              <w:tc>
                <w:tcPr>
                  <w:tcW w:w="566" w:type="dxa"/>
                  <w:tcBorders>
                    <w:bottom w:val="single" w:sz="8" w:space="0" w:color="000000"/>
                  </w:tcBorders>
                </w:tcPr>
                <w:p w14:paraId="29976BEC" w14:textId="77777777" w:rsidR="00600DEE" w:rsidRPr="0045151D" w:rsidRDefault="00600DEE">
                  <w:pPr>
                    <w:rPr>
                      <w:rFonts w:ascii="Calibri" w:eastAsia="Calibri" w:hAnsi="Calibri" w:cs="Calibri"/>
                      <w:lang w:val="en-GB"/>
                    </w:rPr>
                  </w:pPr>
                </w:p>
              </w:tc>
              <w:tc>
                <w:tcPr>
                  <w:tcW w:w="1698" w:type="dxa"/>
                  <w:tcBorders>
                    <w:bottom w:val="single" w:sz="8" w:space="0" w:color="000000"/>
                  </w:tcBorders>
                </w:tcPr>
                <w:p w14:paraId="3114118F" w14:textId="77777777" w:rsidR="00600DEE" w:rsidRPr="0045151D" w:rsidRDefault="00600DEE">
                  <w:pPr>
                    <w:rPr>
                      <w:rFonts w:ascii="Calibri" w:eastAsia="Calibri" w:hAnsi="Calibri" w:cs="Calibri"/>
                      <w:lang w:val="en-GB"/>
                    </w:rPr>
                  </w:pPr>
                </w:p>
              </w:tc>
              <w:tc>
                <w:tcPr>
                  <w:tcW w:w="250" w:type="dxa"/>
                  <w:tcBorders>
                    <w:bottom w:val="single" w:sz="8" w:space="0" w:color="000000"/>
                  </w:tcBorders>
                </w:tcPr>
                <w:p w14:paraId="69F256BD" w14:textId="77777777" w:rsidR="00600DEE" w:rsidRPr="0045151D" w:rsidRDefault="00600DEE">
                  <w:pPr>
                    <w:rPr>
                      <w:rFonts w:ascii="Calibri" w:eastAsia="Calibri" w:hAnsi="Calibri" w:cs="Calibri"/>
                      <w:lang w:val="en-GB"/>
                    </w:rPr>
                  </w:pPr>
                </w:p>
              </w:tc>
            </w:tr>
            <w:tr w:rsidR="00E12F72" w14:paraId="49BC00AB" w14:textId="77777777" w:rsidTr="00E12F72">
              <w:trPr>
                <w:trHeight w:val="340"/>
              </w:trPr>
              <w:tc>
                <w:tcPr>
                  <w:tcW w:w="251" w:type="dxa"/>
                  <w:tcBorders>
                    <w:top w:val="single" w:sz="8" w:space="0" w:color="000000"/>
                    <w:left w:val="single" w:sz="8" w:space="0" w:color="000000"/>
                    <w:bottom w:val="single" w:sz="8" w:space="0" w:color="000000"/>
                  </w:tcBorders>
                  <w:shd w:val="clear" w:color="auto" w:fill="95B3D7"/>
                  <w:vAlign w:val="center"/>
                </w:tcPr>
                <w:p w14:paraId="5DD58351" w14:textId="77777777" w:rsidR="00E12F72" w:rsidRPr="0045151D" w:rsidRDefault="00E12F72">
                  <w:pPr>
                    <w:jc w:val="center"/>
                    <w:rPr>
                      <w:rFonts w:ascii="Calibri" w:eastAsia="Calibri" w:hAnsi="Calibri" w:cs="Calibri"/>
                      <w:b/>
                      <w:lang w:val="en-GB"/>
                    </w:rPr>
                  </w:pPr>
                </w:p>
              </w:tc>
              <w:tc>
                <w:tcPr>
                  <w:tcW w:w="6552" w:type="dxa"/>
                  <w:gridSpan w:val="5"/>
                  <w:tcBorders>
                    <w:top w:val="single" w:sz="8" w:space="0" w:color="000000"/>
                    <w:bottom w:val="single" w:sz="8" w:space="0" w:color="000000"/>
                  </w:tcBorders>
                  <w:shd w:val="clear" w:color="auto" w:fill="95B3D7"/>
                  <w:vAlign w:val="center"/>
                </w:tcPr>
                <w:p w14:paraId="085039D1" w14:textId="1FD87DB7" w:rsidR="00E12F72" w:rsidRDefault="00E12F72">
                  <w:pPr>
                    <w:jc w:val="center"/>
                    <w:rPr>
                      <w:rFonts w:ascii="Calibri" w:eastAsia="Calibri" w:hAnsi="Calibri" w:cs="Calibri"/>
                    </w:rPr>
                  </w:pPr>
                  <w:proofErr w:type="spellStart"/>
                  <w:r>
                    <w:rPr>
                      <w:rFonts w:ascii="Calibri" w:eastAsia="Calibri" w:hAnsi="Calibri" w:cs="Calibri"/>
                      <w:b/>
                      <w:sz w:val="22"/>
                      <w:szCs w:val="22"/>
                    </w:rPr>
                    <w:t>Phase</w:t>
                  </w:r>
                  <w:proofErr w:type="spellEnd"/>
                  <w:r>
                    <w:rPr>
                      <w:rFonts w:ascii="Calibri" w:eastAsia="Calibri" w:hAnsi="Calibri" w:cs="Calibri"/>
                      <w:b/>
                      <w:sz w:val="22"/>
                      <w:szCs w:val="22"/>
                    </w:rPr>
                    <w:t xml:space="preserve"> III</w:t>
                  </w:r>
                </w:p>
              </w:tc>
              <w:tc>
                <w:tcPr>
                  <w:tcW w:w="250" w:type="dxa"/>
                  <w:tcBorders>
                    <w:top w:val="single" w:sz="8" w:space="0" w:color="000000"/>
                    <w:bottom w:val="single" w:sz="8" w:space="0" w:color="000000"/>
                    <w:right w:val="single" w:sz="8" w:space="0" w:color="000000"/>
                  </w:tcBorders>
                  <w:shd w:val="clear" w:color="auto" w:fill="95B3D7"/>
                  <w:vAlign w:val="center"/>
                </w:tcPr>
                <w:p w14:paraId="08C6B28A" w14:textId="77777777" w:rsidR="00E12F72" w:rsidRDefault="00E12F72">
                  <w:pPr>
                    <w:jc w:val="center"/>
                    <w:rPr>
                      <w:rFonts w:ascii="Calibri" w:eastAsia="Calibri" w:hAnsi="Calibri" w:cs="Calibri"/>
                    </w:rPr>
                  </w:pPr>
                </w:p>
              </w:tc>
            </w:tr>
            <w:tr w:rsidR="00600DEE" w14:paraId="7F5D82EB" w14:textId="77777777" w:rsidTr="00E12F72">
              <w:trPr>
                <w:trHeight w:val="63"/>
              </w:trPr>
              <w:tc>
                <w:tcPr>
                  <w:tcW w:w="251" w:type="dxa"/>
                  <w:tcBorders>
                    <w:top w:val="single" w:sz="8" w:space="0" w:color="000000"/>
                  </w:tcBorders>
                </w:tcPr>
                <w:p w14:paraId="4C72843A" w14:textId="77777777" w:rsidR="00600DEE" w:rsidRDefault="00600DEE">
                  <w:pPr>
                    <w:rPr>
                      <w:rFonts w:ascii="Calibri" w:eastAsia="Calibri" w:hAnsi="Calibri" w:cs="Calibri"/>
                      <w:b/>
                    </w:rPr>
                  </w:pPr>
                </w:p>
              </w:tc>
              <w:tc>
                <w:tcPr>
                  <w:tcW w:w="1425" w:type="dxa"/>
                  <w:tcBorders>
                    <w:top w:val="single" w:sz="8" w:space="0" w:color="000000"/>
                  </w:tcBorders>
                </w:tcPr>
                <w:p w14:paraId="60477252" w14:textId="77777777" w:rsidR="00600DEE" w:rsidRDefault="00600DEE">
                  <w:pPr>
                    <w:rPr>
                      <w:rFonts w:ascii="Calibri" w:eastAsia="Calibri" w:hAnsi="Calibri" w:cs="Calibri"/>
                      <w:b/>
                    </w:rPr>
                  </w:pPr>
                </w:p>
              </w:tc>
              <w:tc>
                <w:tcPr>
                  <w:tcW w:w="555" w:type="dxa"/>
                  <w:tcBorders>
                    <w:top w:val="single" w:sz="8" w:space="0" w:color="000000"/>
                  </w:tcBorders>
                </w:tcPr>
                <w:p w14:paraId="2FF9980B" w14:textId="77777777" w:rsidR="00600DEE" w:rsidRDefault="00600DEE">
                  <w:pPr>
                    <w:rPr>
                      <w:rFonts w:ascii="Calibri" w:eastAsia="Calibri" w:hAnsi="Calibri" w:cs="Calibri"/>
                    </w:rPr>
                  </w:pPr>
                </w:p>
              </w:tc>
              <w:tc>
                <w:tcPr>
                  <w:tcW w:w="2308" w:type="dxa"/>
                  <w:tcBorders>
                    <w:top w:val="single" w:sz="8" w:space="0" w:color="000000"/>
                  </w:tcBorders>
                </w:tcPr>
                <w:p w14:paraId="154AB930" w14:textId="77777777" w:rsidR="00600DEE" w:rsidRDefault="00600DEE">
                  <w:pPr>
                    <w:rPr>
                      <w:rFonts w:ascii="Calibri" w:eastAsia="Calibri" w:hAnsi="Calibri" w:cs="Calibri"/>
                    </w:rPr>
                  </w:pPr>
                </w:p>
              </w:tc>
              <w:tc>
                <w:tcPr>
                  <w:tcW w:w="566" w:type="dxa"/>
                  <w:tcBorders>
                    <w:top w:val="single" w:sz="8" w:space="0" w:color="000000"/>
                  </w:tcBorders>
                </w:tcPr>
                <w:p w14:paraId="6EAF1C15" w14:textId="77777777" w:rsidR="00600DEE" w:rsidRDefault="00600DEE">
                  <w:pPr>
                    <w:rPr>
                      <w:rFonts w:ascii="Calibri" w:eastAsia="Calibri" w:hAnsi="Calibri" w:cs="Calibri"/>
                    </w:rPr>
                  </w:pPr>
                </w:p>
              </w:tc>
              <w:tc>
                <w:tcPr>
                  <w:tcW w:w="1698" w:type="dxa"/>
                  <w:tcBorders>
                    <w:top w:val="single" w:sz="8" w:space="0" w:color="000000"/>
                  </w:tcBorders>
                </w:tcPr>
                <w:p w14:paraId="4ED553EE" w14:textId="77777777" w:rsidR="00600DEE" w:rsidRDefault="00600DEE">
                  <w:pPr>
                    <w:rPr>
                      <w:rFonts w:ascii="Calibri" w:eastAsia="Calibri" w:hAnsi="Calibri" w:cs="Calibri"/>
                    </w:rPr>
                  </w:pPr>
                </w:p>
              </w:tc>
              <w:tc>
                <w:tcPr>
                  <w:tcW w:w="250" w:type="dxa"/>
                  <w:tcBorders>
                    <w:top w:val="single" w:sz="8" w:space="0" w:color="000000"/>
                  </w:tcBorders>
                </w:tcPr>
                <w:p w14:paraId="6901A681" w14:textId="77777777" w:rsidR="00600DEE" w:rsidRDefault="00600DEE">
                  <w:pPr>
                    <w:rPr>
                      <w:rFonts w:ascii="Calibri" w:eastAsia="Calibri" w:hAnsi="Calibri" w:cs="Calibri"/>
                    </w:rPr>
                  </w:pPr>
                </w:p>
              </w:tc>
            </w:tr>
            <w:tr w:rsidR="00600DEE" w:rsidRPr="008C4407" w14:paraId="138BEB36" w14:textId="77777777" w:rsidTr="00E12F72">
              <w:trPr>
                <w:trHeight w:hRule="exact" w:val="1134"/>
              </w:trPr>
              <w:tc>
                <w:tcPr>
                  <w:tcW w:w="251" w:type="dxa"/>
                </w:tcPr>
                <w:p w14:paraId="41746C54" w14:textId="77777777" w:rsidR="00600DEE" w:rsidRDefault="00600DEE">
                  <w:pPr>
                    <w:rPr>
                      <w:rFonts w:ascii="Calibri" w:eastAsia="Calibri" w:hAnsi="Calibri" w:cs="Calibri"/>
                      <w:b/>
                    </w:rPr>
                  </w:pPr>
                </w:p>
              </w:tc>
              <w:tc>
                <w:tcPr>
                  <w:tcW w:w="1425" w:type="dxa"/>
                  <w:shd w:val="clear" w:color="auto" w:fill="F2F2F2"/>
                  <w:vAlign w:val="center"/>
                </w:tcPr>
                <w:p w14:paraId="2A6CAF34" w14:textId="77777777" w:rsidR="00600DEE" w:rsidRDefault="00641FB5">
                  <w:pPr>
                    <w:ind w:right="170"/>
                    <w:rPr>
                      <w:rFonts w:ascii="Calibri" w:eastAsia="Calibri" w:hAnsi="Calibri" w:cs="Calibri"/>
                      <w:b/>
                    </w:rPr>
                  </w:pPr>
                  <w:r>
                    <w:rPr>
                      <w:rFonts w:ascii="Calibri" w:eastAsia="Calibri" w:hAnsi="Calibri" w:cs="Calibri"/>
                      <w:b/>
                      <w:sz w:val="16"/>
                      <w:szCs w:val="16"/>
                    </w:rPr>
                    <w:t>Financial Analysis</w:t>
                  </w:r>
                </w:p>
              </w:tc>
              <w:tc>
                <w:tcPr>
                  <w:tcW w:w="555" w:type="dxa"/>
                </w:tcPr>
                <w:p w14:paraId="268A2BD1"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21728" behindDoc="0" locked="0" layoutInCell="1" hidden="0" allowOverlap="1" wp14:anchorId="0422DDF5" wp14:editId="48A9BA13">
                            <wp:simplePos x="0" y="0"/>
                            <wp:positionH relativeFrom="column">
                              <wp:posOffset>-12699</wp:posOffset>
                            </wp:positionH>
                            <wp:positionV relativeFrom="paragraph">
                              <wp:posOffset>165100</wp:posOffset>
                            </wp:positionV>
                            <wp:extent cx="263000" cy="248600"/>
                            <wp:effectExtent l="0" t="0" r="0" b="0"/>
                            <wp:wrapNone/>
                            <wp:docPr id="526" name="Strzałka: w prawo 526"/>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1C2CAEC7"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0422DDF5" id="Strzałka: w prawo 526" o:spid="_x0000_s1062" type="#_x0000_t13" style="position:absolute;margin-left:-1pt;margin-top:13pt;width:20.7pt;height:19.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" adj="11455" fillcolor="#538cd5" strokecolor="#366092" strokeweight="2pt">
                            <v:stroke startarrowwidth="narrow" startarrowlength="short" endarrowwidth="narrow" endarrowlength="short" joinstyle="round"/>
                            <v:textbox inset="2.53958mm,2.53958mm,2.53958mm,2.53958mm">
                              <w:txbxContent>
                                <w:p w14:paraId="1C2CAEC7" w14:textId="77777777" w:rsidR="007463B9" w:rsidRDefault="007463B9">
                                  <w:pPr>
                                    <w:textDirection w:val="btLr"/>
                                  </w:pPr>
                                </w:p>
                              </w:txbxContent>
                            </v:textbox>
                          </v:shape>
                        </w:pict>
                      </mc:Fallback>
                    </mc:AlternateContent>
                  </w:r>
                  <w:r>
                    <w:rPr>
                      <w:noProof/>
                      <w:lang w:val="en-GB" w:eastAsia="en-GB"/>
                    </w:rPr>
                    <mc:AlternateContent>
                      <mc:Choice Requires="wps">
                        <w:drawing>
                          <wp:anchor distT="0" distB="0" distL="114300" distR="114300" simplePos="0" relativeHeight="251722752" behindDoc="0" locked="0" layoutInCell="1" hidden="0" allowOverlap="1" wp14:anchorId="32543BFA" wp14:editId="648DADD3">
                            <wp:simplePos x="0" y="0"/>
                            <wp:positionH relativeFrom="column">
                              <wp:posOffset>1689100</wp:posOffset>
                            </wp:positionH>
                            <wp:positionV relativeFrom="paragraph">
                              <wp:posOffset>165100</wp:posOffset>
                            </wp:positionV>
                            <wp:extent cx="262586" cy="248036"/>
                            <wp:effectExtent l="0" t="0" r="0" b="0"/>
                            <wp:wrapNone/>
                            <wp:docPr id="479" name="Strzałka: w prawo 479"/>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3AD638D8"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32543BFA" id="Strzałka: w prawo 479" o:spid="_x0000_s1063" type="#_x0000_t13" style="position:absolute;margin-left:133pt;margin-top:13pt;width:20.7pt;height:19.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" adj="11463" fillcolor="#538cd5" strokecolor="#366092" strokeweight="2pt">
                            <v:stroke startarrowwidth="narrow" startarrowlength="short" endarrowwidth="narrow" endarrowlength="short" joinstyle="round"/>
                            <v:textbox inset="2.53958mm,2.53958mm,2.53958mm,2.53958mm">
                              <w:txbxContent>
                                <w:p w14:paraId="3AD638D8" w14:textId="77777777" w:rsidR="007463B9" w:rsidRDefault="007463B9">
                                  <w:pPr>
                                    <w:textDirection w:val="btLr"/>
                                  </w:pPr>
                                </w:p>
                              </w:txbxContent>
                            </v:textbox>
                          </v:shape>
                        </w:pict>
                      </mc:Fallback>
                    </mc:AlternateContent>
                  </w:r>
                </w:p>
              </w:tc>
              <w:tc>
                <w:tcPr>
                  <w:tcW w:w="2308" w:type="dxa"/>
                  <w:vAlign w:val="center"/>
                </w:tcPr>
                <w:p w14:paraId="1DBFC72C" w14:textId="77777777" w:rsidR="00600DEE" w:rsidRPr="0045151D" w:rsidRDefault="00641FB5">
                  <w:pPr>
                    <w:spacing w:before="42"/>
                    <w:ind w:right="-20"/>
                    <w:rPr>
                      <w:rFonts w:ascii="Calibri" w:eastAsia="Calibri" w:hAnsi="Calibri" w:cs="Calibri"/>
                      <w:sz w:val="13"/>
                      <w:szCs w:val="13"/>
                      <w:lang w:val="en-GB"/>
                    </w:rPr>
                  </w:pPr>
                  <w:r w:rsidRPr="0045151D">
                    <w:rPr>
                      <w:rFonts w:ascii="Calibri" w:eastAsia="Calibri" w:hAnsi="Calibri" w:cs="Calibri"/>
                      <w:sz w:val="13"/>
                      <w:szCs w:val="13"/>
                      <w:lang w:val="en-GB"/>
                    </w:rPr>
                    <w:t>- Definition of assumptions</w:t>
                  </w:r>
                </w:p>
                <w:p w14:paraId="61489915" w14:textId="77777777" w:rsidR="00600DEE" w:rsidRPr="0045151D" w:rsidRDefault="00641FB5">
                  <w:pPr>
                    <w:spacing w:line="158" w:lineRule="auto"/>
                    <w:ind w:right="-20"/>
                    <w:rPr>
                      <w:rFonts w:ascii="Calibri" w:eastAsia="Calibri" w:hAnsi="Calibri" w:cs="Calibri"/>
                      <w:sz w:val="13"/>
                      <w:szCs w:val="13"/>
                      <w:lang w:val="en-GB"/>
                    </w:rPr>
                  </w:pPr>
                  <w:r w:rsidRPr="0045151D">
                    <w:rPr>
                      <w:rFonts w:ascii="Calibri" w:eastAsia="Calibri" w:hAnsi="Calibri" w:cs="Calibri"/>
                      <w:sz w:val="13"/>
                      <w:szCs w:val="13"/>
                      <w:lang w:val="en-GB"/>
                    </w:rPr>
                    <w:t xml:space="preserve">- Determination of cash flows    </w:t>
                  </w:r>
                </w:p>
                <w:p w14:paraId="39259A03" w14:textId="77777777" w:rsidR="00600DEE" w:rsidRDefault="00641FB5">
                  <w:pPr>
                    <w:ind w:right="-20"/>
                    <w:rPr>
                      <w:rFonts w:ascii="Calibri" w:eastAsia="Calibri" w:hAnsi="Calibri" w:cs="Calibri"/>
                      <w:sz w:val="13"/>
                      <w:szCs w:val="13"/>
                    </w:rPr>
                  </w:pPr>
                  <w:r>
                    <w:rPr>
                      <w:rFonts w:ascii="Calibri" w:eastAsia="Calibri" w:hAnsi="Calibri" w:cs="Calibri"/>
                      <w:sz w:val="13"/>
                      <w:szCs w:val="13"/>
                    </w:rPr>
                    <w:t xml:space="preserve">- </w:t>
                  </w:r>
                  <w:proofErr w:type="spellStart"/>
                  <w:r>
                    <w:rPr>
                      <w:rFonts w:ascii="Calibri" w:eastAsia="Calibri" w:hAnsi="Calibri" w:cs="Calibri"/>
                      <w:sz w:val="13"/>
                      <w:szCs w:val="13"/>
                    </w:rPr>
                    <w:t>Project’s</w:t>
                  </w:r>
                  <w:proofErr w:type="spellEnd"/>
                  <w:r>
                    <w:rPr>
                      <w:rFonts w:ascii="Calibri" w:eastAsia="Calibri" w:hAnsi="Calibri" w:cs="Calibri"/>
                      <w:sz w:val="13"/>
                      <w:szCs w:val="13"/>
                    </w:rPr>
                    <w:t xml:space="preserve"> </w:t>
                  </w:r>
                  <w:proofErr w:type="spellStart"/>
                  <w:r>
                    <w:rPr>
                      <w:rFonts w:ascii="Calibri" w:eastAsia="Calibri" w:hAnsi="Calibri" w:cs="Calibri"/>
                      <w:sz w:val="13"/>
                      <w:szCs w:val="13"/>
                    </w:rPr>
                    <w:t>financial</w:t>
                  </w:r>
                  <w:proofErr w:type="spellEnd"/>
                  <w:r>
                    <w:rPr>
                      <w:rFonts w:ascii="Calibri" w:eastAsia="Calibri" w:hAnsi="Calibri" w:cs="Calibri"/>
                      <w:sz w:val="13"/>
                      <w:szCs w:val="13"/>
                    </w:rPr>
                    <w:t xml:space="preserve"> </w:t>
                  </w:r>
                  <w:proofErr w:type="spellStart"/>
                  <w:r>
                    <w:rPr>
                      <w:rFonts w:ascii="Calibri" w:eastAsia="Calibri" w:hAnsi="Calibri" w:cs="Calibri"/>
                      <w:sz w:val="13"/>
                      <w:szCs w:val="13"/>
                    </w:rPr>
                    <w:t>profitability</w:t>
                  </w:r>
                  <w:proofErr w:type="spellEnd"/>
                </w:p>
                <w:p w14:paraId="729247B1" w14:textId="77777777" w:rsidR="00600DEE" w:rsidRDefault="00641FB5">
                  <w:pPr>
                    <w:ind w:right="-61"/>
                    <w:rPr>
                      <w:rFonts w:ascii="Calibri" w:eastAsia="Calibri" w:hAnsi="Calibri" w:cs="Calibri"/>
                      <w:sz w:val="13"/>
                      <w:szCs w:val="13"/>
                    </w:rPr>
                  </w:pPr>
                  <w:r>
                    <w:rPr>
                      <w:rFonts w:ascii="Calibri" w:eastAsia="Calibri" w:hAnsi="Calibri" w:cs="Calibri"/>
                      <w:sz w:val="13"/>
                      <w:szCs w:val="13"/>
                    </w:rPr>
                    <w:t xml:space="preserve">- </w:t>
                  </w:r>
                  <w:proofErr w:type="spellStart"/>
                  <w:r>
                    <w:rPr>
                      <w:rFonts w:ascii="Calibri" w:eastAsia="Calibri" w:hAnsi="Calibri" w:cs="Calibri"/>
                      <w:sz w:val="13"/>
                      <w:szCs w:val="13"/>
                    </w:rPr>
                    <w:t>Project’s</w:t>
                  </w:r>
                  <w:proofErr w:type="spellEnd"/>
                  <w:r>
                    <w:rPr>
                      <w:rFonts w:ascii="Calibri" w:eastAsia="Calibri" w:hAnsi="Calibri" w:cs="Calibri"/>
                      <w:sz w:val="13"/>
                      <w:szCs w:val="13"/>
                    </w:rPr>
                    <w:t xml:space="preserve"> </w:t>
                  </w:r>
                  <w:proofErr w:type="spellStart"/>
                  <w:r>
                    <w:rPr>
                      <w:rFonts w:ascii="Calibri" w:eastAsia="Calibri" w:hAnsi="Calibri" w:cs="Calibri"/>
                      <w:sz w:val="13"/>
                      <w:szCs w:val="13"/>
                    </w:rPr>
                    <w:t>financial</w:t>
                  </w:r>
                  <w:proofErr w:type="spellEnd"/>
                  <w:r>
                    <w:rPr>
                      <w:rFonts w:ascii="Calibri" w:eastAsia="Calibri" w:hAnsi="Calibri" w:cs="Calibri"/>
                      <w:sz w:val="13"/>
                      <w:szCs w:val="13"/>
                    </w:rPr>
                    <w:t xml:space="preserve"> </w:t>
                  </w:r>
                  <w:proofErr w:type="spellStart"/>
                  <w:r>
                    <w:rPr>
                      <w:rFonts w:ascii="Calibri" w:eastAsia="Calibri" w:hAnsi="Calibri" w:cs="Calibri"/>
                      <w:sz w:val="13"/>
                      <w:szCs w:val="13"/>
                    </w:rPr>
                    <w:t>sustainability</w:t>
                  </w:r>
                  <w:proofErr w:type="spellEnd"/>
                </w:p>
                <w:p w14:paraId="70D55300" w14:textId="77777777" w:rsidR="00600DEE" w:rsidRDefault="00641FB5">
                  <w:pPr>
                    <w:ind w:right="-61"/>
                    <w:rPr>
                      <w:rFonts w:ascii="Calibri" w:eastAsia="Calibri" w:hAnsi="Calibri" w:cs="Calibri"/>
                      <w:sz w:val="13"/>
                      <w:szCs w:val="13"/>
                    </w:rPr>
                  </w:pPr>
                  <w:r>
                    <w:rPr>
                      <w:rFonts w:ascii="Calibri" w:eastAsia="Calibri" w:hAnsi="Calibri" w:cs="Calibri"/>
                      <w:sz w:val="13"/>
                      <w:szCs w:val="13"/>
                    </w:rPr>
                    <w:t xml:space="preserve">- </w:t>
                  </w:r>
                  <w:proofErr w:type="spellStart"/>
                  <w:r>
                    <w:rPr>
                      <w:rFonts w:ascii="Calibri" w:eastAsia="Calibri" w:hAnsi="Calibri" w:cs="Calibri"/>
                      <w:sz w:val="13"/>
                      <w:szCs w:val="13"/>
                    </w:rPr>
                    <w:t>Determination</w:t>
                  </w:r>
                  <w:proofErr w:type="spellEnd"/>
                  <w:r>
                    <w:rPr>
                      <w:rFonts w:ascii="Calibri" w:eastAsia="Calibri" w:hAnsi="Calibri" w:cs="Calibri"/>
                      <w:sz w:val="13"/>
                      <w:szCs w:val="13"/>
                    </w:rPr>
                    <w:t xml:space="preserve"> of EU </w:t>
                  </w:r>
                  <w:proofErr w:type="spellStart"/>
                  <w:r>
                    <w:rPr>
                      <w:rFonts w:ascii="Calibri" w:eastAsia="Calibri" w:hAnsi="Calibri" w:cs="Calibri"/>
                      <w:sz w:val="13"/>
                      <w:szCs w:val="13"/>
                    </w:rPr>
                    <w:t>contribution</w:t>
                  </w:r>
                  <w:proofErr w:type="spellEnd"/>
                </w:p>
                <w:p w14:paraId="42DE1106" w14:textId="77777777" w:rsidR="00600DEE" w:rsidRDefault="00641FB5">
                  <w:pPr>
                    <w:ind w:right="170"/>
                    <w:rPr>
                      <w:rFonts w:ascii="Calibri" w:eastAsia="Calibri" w:hAnsi="Calibri" w:cs="Calibri"/>
                    </w:rPr>
                  </w:pPr>
                  <w:r>
                    <w:rPr>
                      <w:rFonts w:ascii="Calibri" w:eastAsia="Calibri" w:hAnsi="Calibri" w:cs="Calibri"/>
                      <w:sz w:val="14"/>
                      <w:szCs w:val="14"/>
                    </w:rPr>
                    <w:t xml:space="preserve">   </w:t>
                  </w:r>
                </w:p>
              </w:tc>
              <w:tc>
                <w:tcPr>
                  <w:tcW w:w="566" w:type="dxa"/>
                </w:tcPr>
                <w:p w14:paraId="5C3FEDEB" w14:textId="77777777" w:rsidR="00600DEE" w:rsidRDefault="00600DEE">
                  <w:pPr>
                    <w:rPr>
                      <w:rFonts w:ascii="Calibri" w:eastAsia="Calibri" w:hAnsi="Calibri" w:cs="Calibri"/>
                    </w:rPr>
                  </w:pPr>
                </w:p>
              </w:tc>
              <w:tc>
                <w:tcPr>
                  <w:tcW w:w="1698" w:type="dxa"/>
                  <w:shd w:val="clear" w:color="auto" w:fill="A6A6A6"/>
                  <w:vAlign w:val="center"/>
                </w:tcPr>
                <w:p w14:paraId="1B9728F0"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Justification that the investment needs co-financing</w:t>
                  </w:r>
                </w:p>
                <w:p w14:paraId="110A4D7E" w14:textId="77777777" w:rsidR="00600DEE" w:rsidRPr="0045151D" w:rsidRDefault="00641FB5">
                  <w:pPr>
                    <w:ind w:right="170"/>
                    <w:rPr>
                      <w:rFonts w:ascii="Calibri" w:eastAsia="Calibri" w:hAnsi="Calibri" w:cs="Calibri"/>
                      <w:sz w:val="16"/>
                      <w:szCs w:val="16"/>
                      <w:lang w:val="en-GB"/>
                    </w:rPr>
                  </w:pPr>
                  <w:r w:rsidRPr="0045151D">
                    <w:rPr>
                      <w:rFonts w:ascii="Calibri" w:eastAsia="Calibri" w:hAnsi="Calibri" w:cs="Calibri"/>
                      <w:sz w:val="13"/>
                      <w:szCs w:val="13"/>
                      <w:lang w:val="en-GB"/>
                    </w:rPr>
                    <w:t>- Calculation of EU grant amount</w:t>
                  </w:r>
                </w:p>
              </w:tc>
              <w:tc>
                <w:tcPr>
                  <w:tcW w:w="250" w:type="dxa"/>
                </w:tcPr>
                <w:p w14:paraId="534B8721" w14:textId="77777777" w:rsidR="00600DEE" w:rsidRPr="0045151D" w:rsidRDefault="00600DEE">
                  <w:pPr>
                    <w:rPr>
                      <w:rFonts w:ascii="Calibri" w:eastAsia="Calibri" w:hAnsi="Calibri" w:cs="Calibri"/>
                      <w:lang w:val="en-GB"/>
                    </w:rPr>
                  </w:pPr>
                </w:p>
              </w:tc>
            </w:tr>
            <w:tr w:rsidR="00600DEE" w:rsidRPr="008C4407" w14:paraId="34DEAA1F" w14:textId="77777777" w:rsidTr="00E12F72">
              <w:trPr>
                <w:trHeight w:val="165"/>
              </w:trPr>
              <w:tc>
                <w:tcPr>
                  <w:tcW w:w="251" w:type="dxa"/>
                  <w:tcBorders>
                    <w:bottom w:val="single" w:sz="8" w:space="0" w:color="000000"/>
                  </w:tcBorders>
                </w:tcPr>
                <w:p w14:paraId="79CB3182" w14:textId="77777777" w:rsidR="00600DEE" w:rsidRPr="0045151D" w:rsidRDefault="00600DEE">
                  <w:pPr>
                    <w:rPr>
                      <w:rFonts w:ascii="Calibri" w:eastAsia="Calibri" w:hAnsi="Calibri" w:cs="Calibri"/>
                      <w:b/>
                      <w:lang w:val="en-GB"/>
                    </w:rPr>
                  </w:pPr>
                </w:p>
              </w:tc>
              <w:tc>
                <w:tcPr>
                  <w:tcW w:w="1425" w:type="dxa"/>
                  <w:tcBorders>
                    <w:bottom w:val="single" w:sz="8" w:space="0" w:color="000000"/>
                  </w:tcBorders>
                </w:tcPr>
                <w:p w14:paraId="03373F97" w14:textId="77777777" w:rsidR="00600DEE" w:rsidRPr="0045151D" w:rsidRDefault="00600DEE">
                  <w:pPr>
                    <w:rPr>
                      <w:rFonts w:ascii="Calibri" w:eastAsia="Calibri" w:hAnsi="Calibri" w:cs="Calibri"/>
                      <w:b/>
                      <w:lang w:val="en-GB"/>
                    </w:rPr>
                  </w:pPr>
                </w:p>
              </w:tc>
              <w:tc>
                <w:tcPr>
                  <w:tcW w:w="555" w:type="dxa"/>
                  <w:tcBorders>
                    <w:bottom w:val="single" w:sz="8" w:space="0" w:color="000000"/>
                  </w:tcBorders>
                </w:tcPr>
                <w:p w14:paraId="798F44F7" w14:textId="77777777" w:rsidR="00600DEE" w:rsidRPr="0045151D" w:rsidRDefault="00600DEE">
                  <w:pPr>
                    <w:rPr>
                      <w:rFonts w:ascii="Calibri" w:eastAsia="Calibri" w:hAnsi="Calibri" w:cs="Calibri"/>
                      <w:lang w:val="en-GB"/>
                    </w:rPr>
                  </w:pPr>
                </w:p>
              </w:tc>
              <w:tc>
                <w:tcPr>
                  <w:tcW w:w="2308" w:type="dxa"/>
                  <w:tcBorders>
                    <w:bottom w:val="single" w:sz="8" w:space="0" w:color="000000"/>
                  </w:tcBorders>
                </w:tcPr>
                <w:p w14:paraId="0855B205" w14:textId="699D519C" w:rsidR="00E12F72" w:rsidRPr="0045151D" w:rsidRDefault="00E12F72">
                  <w:pPr>
                    <w:rPr>
                      <w:rFonts w:ascii="Calibri" w:eastAsia="Calibri" w:hAnsi="Calibri" w:cs="Calibri"/>
                      <w:lang w:val="en-GB"/>
                    </w:rPr>
                  </w:pPr>
                </w:p>
              </w:tc>
              <w:tc>
                <w:tcPr>
                  <w:tcW w:w="566" w:type="dxa"/>
                  <w:tcBorders>
                    <w:bottom w:val="single" w:sz="8" w:space="0" w:color="000000"/>
                  </w:tcBorders>
                </w:tcPr>
                <w:p w14:paraId="5A9B1ECA" w14:textId="77777777" w:rsidR="00600DEE" w:rsidRPr="0045151D" w:rsidRDefault="00600DEE">
                  <w:pPr>
                    <w:rPr>
                      <w:rFonts w:ascii="Calibri" w:eastAsia="Calibri" w:hAnsi="Calibri" w:cs="Calibri"/>
                      <w:lang w:val="en-GB"/>
                    </w:rPr>
                  </w:pPr>
                </w:p>
              </w:tc>
              <w:tc>
                <w:tcPr>
                  <w:tcW w:w="1698" w:type="dxa"/>
                  <w:tcBorders>
                    <w:bottom w:val="single" w:sz="8" w:space="0" w:color="000000"/>
                  </w:tcBorders>
                </w:tcPr>
                <w:p w14:paraId="0BF91556" w14:textId="77777777" w:rsidR="00600DEE" w:rsidRPr="0045151D" w:rsidRDefault="00600DEE">
                  <w:pPr>
                    <w:rPr>
                      <w:rFonts w:ascii="Calibri" w:eastAsia="Calibri" w:hAnsi="Calibri" w:cs="Calibri"/>
                      <w:lang w:val="en-GB"/>
                    </w:rPr>
                  </w:pPr>
                </w:p>
              </w:tc>
              <w:tc>
                <w:tcPr>
                  <w:tcW w:w="250" w:type="dxa"/>
                  <w:tcBorders>
                    <w:bottom w:val="single" w:sz="8" w:space="0" w:color="000000"/>
                  </w:tcBorders>
                </w:tcPr>
                <w:p w14:paraId="6DB43192" w14:textId="77777777" w:rsidR="00600DEE" w:rsidRPr="0045151D" w:rsidRDefault="00600DEE">
                  <w:pPr>
                    <w:rPr>
                      <w:rFonts w:ascii="Calibri" w:eastAsia="Calibri" w:hAnsi="Calibri" w:cs="Calibri"/>
                      <w:lang w:val="en-GB"/>
                    </w:rPr>
                  </w:pPr>
                </w:p>
              </w:tc>
            </w:tr>
            <w:tr w:rsidR="00600DEE" w14:paraId="6AB90A46" w14:textId="77777777" w:rsidTr="00E12F72">
              <w:trPr>
                <w:trHeight w:hRule="exact" w:val="340"/>
              </w:trPr>
              <w:tc>
                <w:tcPr>
                  <w:tcW w:w="251" w:type="dxa"/>
                  <w:tcBorders>
                    <w:top w:val="single" w:sz="8" w:space="0" w:color="000000"/>
                    <w:left w:val="single" w:sz="8" w:space="0" w:color="000000"/>
                    <w:bottom w:val="single" w:sz="8" w:space="0" w:color="000000"/>
                  </w:tcBorders>
                  <w:shd w:val="clear" w:color="auto" w:fill="366091"/>
                  <w:vAlign w:val="center"/>
                </w:tcPr>
                <w:p w14:paraId="5D31394F" w14:textId="77777777" w:rsidR="00600DEE" w:rsidRPr="0045151D" w:rsidRDefault="00600DEE">
                  <w:pPr>
                    <w:jc w:val="center"/>
                    <w:rPr>
                      <w:rFonts w:ascii="Calibri" w:eastAsia="Calibri" w:hAnsi="Calibri" w:cs="Calibri"/>
                      <w:b/>
                      <w:lang w:val="en-GB"/>
                    </w:rPr>
                  </w:pPr>
                </w:p>
              </w:tc>
              <w:tc>
                <w:tcPr>
                  <w:tcW w:w="1425" w:type="dxa"/>
                  <w:tcBorders>
                    <w:top w:val="single" w:sz="8" w:space="0" w:color="000000"/>
                    <w:bottom w:val="single" w:sz="8" w:space="0" w:color="000000"/>
                  </w:tcBorders>
                  <w:shd w:val="clear" w:color="auto" w:fill="366091"/>
                  <w:vAlign w:val="center"/>
                </w:tcPr>
                <w:p w14:paraId="44706191" w14:textId="77777777" w:rsidR="00600DEE" w:rsidRPr="0045151D" w:rsidRDefault="00600DEE">
                  <w:pPr>
                    <w:jc w:val="center"/>
                    <w:rPr>
                      <w:rFonts w:ascii="Calibri" w:eastAsia="Calibri" w:hAnsi="Calibri" w:cs="Calibri"/>
                      <w:b/>
                      <w:lang w:val="en-GB"/>
                    </w:rPr>
                  </w:pPr>
                </w:p>
              </w:tc>
              <w:tc>
                <w:tcPr>
                  <w:tcW w:w="555" w:type="dxa"/>
                  <w:tcBorders>
                    <w:top w:val="single" w:sz="8" w:space="0" w:color="000000"/>
                    <w:bottom w:val="single" w:sz="8" w:space="0" w:color="000000"/>
                  </w:tcBorders>
                  <w:shd w:val="clear" w:color="auto" w:fill="366091"/>
                  <w:vAlign w:val="center"/>
                </w:tcPr>
                <w:p w14:paraId="265BD7A9" w14:textId="77777777" w:rsidR="00600DEE" w:rsidRPr="0045151D" w:rsidRDefault="00600DEE">
                  <w:pPr>
                    <w:jc w:val="center"/>
                    <w:rPr>
                      <w:rFonts w:ascii="Calibri" w:eastAsia="Calibri" w:hAnsi="Calibri" w:cs="Calibri"/>
                      <w:lang w:val="en-GB"/>
                    </w:rPr>
                  </w:pPr>
                </w:p>
              </w:tc>
              <w:tc>
                <w:tcPr>
                  <w:tcW w:w="2308" w:type="dxa"/>
                  <w:tcBorders>
                    <w:top w:val="single" w:sz="8" w:space="0" w:color="000000"/>
                    <w:bottom w:val="single" w:sz="8" w:space="0" w:color="000000"/>
                  </w:tcBorders>
                  <w:shd w:val="clear" w:color="auto" w:fill="366091"/>
                  <w:vAlign w:val="center"/>
                </w:tcPr>
                <w:p w14:paraId="2C6D3C06" w14:textId="77777777" w:rsidR="00600DEE" w:rsidRDefault="00641FB5">
                  <w:pPr>
                    <w:jc w:val="center"/>
                    <w:rPr>
                      <w:rFonts w:ascii="Calibri" w:eastAsia="Calibri" w:hAnsi="Calibri" w:cs="Calibri"/>
                      <w:b/>
                      <w:sz w:val="22"/>
                      <w:szCs w:val="22"/>
                    </w:rPr>
                  </w:pPr>
                  <w:proofErr w:type="spellStart"/>
                  <w:r>
                    <w:rPr>
                      <w:rFonts w:ascii="Calibri" w:eastAsia="Calibri" w:hAnsi="Calibri" w:cs="Calibri"/>
                      <w:b/>
                      <w:color w:val="FFFFFF"/>
                      <w:sz w:val="22"/>
                      <w:szCs w:val="22"/>
                    </w:rPr>
                    <w:t>Phase</w:t>
                  </w:r>
                  <w:proofErr w:type="spellEnd"/>
                  <w:r>
                    <w:rPr>
                      <w:rFonts w:ascii="Calibri" w:eastAsia="Calibri" w:hAnsi="Calibri" w:cs="Calibri"/>
                      <w:b/>
                      <w:color w:val="FFFFFF"/>
                      <w:sz w:val="22"/>
                      <w:szCs w:val="22"/>
                    </w:rPr>
                    <w:t xml:space="preserve"> IV</w:t>
                  </w:r>
                </w:p>
              </w:tc>
              <w:tc>
                <w:tcPr>
                  <w:tcW w:w="566" w:type="dxa"/>
                  <w:tcBorders>
                    <w:top w:val="single" w:sz="8" w:space="0" w:color="000000"/>
                    <w:bottom w:val="single" w:sz="8" w:space="0" w:color="000000"/>
                  </w:tcBorders>
                  <w:shd w:val="clear" w:color="auto" w:fill="366091"/>
                  <w:vAlign w:val="center"/>
                </w:tcPr>
                <w:p w14:paraId="75A46C8C" w14:textId="77777777" w:rsidR="00600DEE" w:rsidRDefault="00600DEE">
                  <w:pPr>
                    <w:jc w:val="center"/>
                    <w:rPr>
                      <w:rFonts w:ascii="Calibri" w:eastAsia="Calibri" w:hAnsi="Calibri" w:cs="Calibri"/>
                    </w:rPr>
                  </w:pPr>
                </w:p>
              </w:tc>
              <w:tc>
                <w:tcPr>
                  <w:tcW w:w="1698" w:type="dxa"/>
                  <w:tcBorders>
                    <w:top w:val="single" w:sz="8" w:space="0" w:color="000000"/>
                    <w:bottom w:val="single" w:sz="8" w:space="0" w:color="000000"/>
                  </w:tcBorders>
                  <w:shd w:val="clear" w:color="auto" w:fill="366091"/>
                  <w:vAlign w:val="center"/>
                </w:tcPr>
                <w:p w14:paraId="3FE523CE" w14:textId="77777777" w:rsidR="00600DEE" w:rsidRDefault="00600DEE">
                  <w:pPr>
                    <w:jc w:val="center"/>
                    <w:rPr>
                      <w:rFonts w:ascii="Calibri" w:eastAsia="Calibri" w:hAnsi="Calibri" w:cs="Calibri"/>
                    </w:rPr>
                  </w:pPr>
                </w:p>
              </w:tc>
              <w:tc>
                <w:tcPr>
                  <w:tcW w:w="250" w:type="dxa"/>
                  <w:tcBorders>
                    <w:top w:val="single" w:sz="8" w:space="0" w:color="000000"/>
                    <w:bottom w:val="single" w:sz="8" w:space="0" w:color="000000"/>
                    <w:right w:val="single" w:sz="8" w:space="0" w:color="000000"/>
                  </w:tcBorders>
                  <w:shd w:val="clear" w:color="auto" w:fill="366091"/>
                  <w:vAlign w:val="center"/>
                </w:tcPr>
                <w:p w14:paraId="549B73DF" w14:textId="77777777" w:rsidR="00600DEE" w:rsidRDefault="00600DEE">
                  <w:pPr>
                    <w:jc w:val="center"/>
                    <w:rPr>
                      <w:rFonts w:ascii="Calibri" w:eastAsia="Calibri" w:hAnsi="Calibri" w:cs="Calibri"/>
                    </w:rPr>
                  </w:pPr>
                </w:p>
              </w:tc>
            </w:tr>
            <w:tr w:rsidR="00600DEE" w14:paraId="37086B0F" w14:textId="77777777" w:rsidTr="00E12F72">
              <w:trPr>
                <w:trHeight w:val="63"/>
              </w:trPr>
              <w:tc>
                <w:tcPr>
                  <w:tcW w:w="251" w:type="dxa"/>
                  <w:tcBorders>
                    <w:top w:val="single" w:sz="8" w:space="0" w:color="000000"/>
                  </w:tcBorders>
                </w:tcPr>
                <w:p w14:paraId="57CC1E95" w14:textId="77777777" w:rsidR="00600DEE" w:rsidRDefault="00600DEE">
                  <w:pPr>
                    <w:rPr>
                      <w:rFonts w:ascii="Calibri" w:eastAsia="Calibri" w:hAnsi="Calibri" w:cs="Calibri"/>
                      <w:b/>
                    </w:rPr>
                  </w:pPr>
                </w:p>
              </w:tc>
              <w:tc>
                <w:tcPr>
                  <w:tcW w:w="1425" w:type="dxa"/>
                  <w:tcBorders>
                    <w:top w:val="single" w:sz="8" w:space="0" w:color="000000"/>
                  </w:tcBorders>
                </w:tcPr>
                <w:p w14:paraId="4CBE1D55" w14:textId="77777777" w:rsidR="00600DEE" w:rsidRDefault="00600DEE">
                  <w:pPr>
                    <w:rPr>
                      <w:rFonts w:ascii="Calibri" w:eastAsia="Calibri" w:hAnsi="Calibri" w:cs="Calibri"/>
                      <w:b/>
                    </w:rPr>
                  </w:pPr>
                </w:p>
              </w:tc>
              <w:tc>
                <w:tcPr>
                  <w:tcW w:w="555" w:type="dxa"/>
                  <w:tcBorders>
                    <w:top w:val="single" w:sz="8" w:space="0" w:color="000000"/>
                  </w:tcBorders>
                </w:tcPr>
                <w:p w14:paraId="3478329A" w14:textId="77777777" w:rsidR="00600DEE" w:rsidRDefault="00600DEE">
                  <w:pPr>
                    <w:rPr>
                      <w:rFonts w:ascii="Calibri" w:eastAsia="Calibri" w:hAnsi="Calibri" w:cs="Calibri"/>
                    </w:rPr>
                  </w:pPr>
                </w:p>
              </w:tc>
              <w:tc>
                <w:tcPr>
                  <w:tcW w:w="2308" w:type="dxa"/>
                  <w:tcBorders>
                    <w:top w:val="single" w:sz="8" w:space="0" w:color="000000"/>
                  </w:tcBorders>
                </w:tcPr>
                <w:p w14:paraId="023A06EE" w14:textId="77777777" w:rsidR="00600DEE" w:rsidRDefault="00600DEE">
                  <w:pPr>
                    <w:rPr>
                      <w:rFonts w:ascii="Calibri" w:eastAsia="Calibri" w:hAnsi="Calibri" w:cs="Calibri"/>
                    </w:rPr>
                  </w:pPr>
                </w:p>
              </w:tc>
              <w:tc>
                <w:tcPr>
                  <w:tcW w:w="566" w:type="dxa"/>
                  <w:tcBorders>
                    <w:top w:val="single" w:sz="8" w:space="0" w:color="000000"/>
                  </w:tcBorders>
                </w:tcPr>
                <w:p w14:paraId="072888CB" w14:textId="77777777" w:rsidR="00600DEE" w:rsidRDefault="00600DEE">
                  <w:pPr>
                    <w:rPr>
                      <w:rFonts w:ascii="Calibri" w:eastAsia="Calibri" w:hAnsi="Calibri" w:cs="Calibri"/>
                    </w:rPr>
                  </w:pPr>
                </w:p>
              </w:tc>
              <w:tc>
                <w:tcPr>
                  <w:tcW w:w="1698" w:type="dxa"/>
                  <w:tcBorders>
                    <w:top w:val="single" w:sz="8" w:space="0" w:color="000000"/>
                  </w:tcBorders>
                </w:tcPr>
                <w:p w14:paraId="39148D4B" w14:textId="77777777" w:rsidR="00600DEE" w:rsidRDefault="00600DEE">
                  <w:pPr>
                    <w:rPr>
                      <w:rFonts w:ascii="Calibri" w:eastAsia="Calibri" w:hAnsi="Calibri" w:cs="Calibri"/>
                    </w:rPr>
                  </w:pPr>
                </w:p>
              </w:tc>
              <w:tc>
                <w:tcPr>
                  <w:tcW w:w="250" w:type="dxa"/>
                  <w:tcBorders>
                    <w:top w:val="single" w:sz="8" w:space="0" w:color="000000"/>
                  </w:tcBorders>
                </w:tcPr>
                <w:p w14:paraId="647D53E5" w14:textId="77777777" w:rsidR="00600DEE" w:rsidRDefault="00600DEE">
                  <w:pPr>
                    <w:rPr>
                      <w:rFonts w:ascii="Calibri" w:eastAsia="Calibri" w:hAnsi="Calibri" w:cs="Calibri"/>
                    </w:rPr>
                  </w:pPr>
                </w:p>
              </w:tc>
            </w:tr>
            <w:tr w:rsidR="00600DEE" w:rsidRPr="008C4407" w14:paraId="0567B853" w14:textId="77777777" w:rsidTr="00E12F72">
              <w:trPr>
                <w:trHeight w:hRule="exact" w:val="1531"/>
              </w:trPr>
              <w:tc>
                <w:tcPr>
                  <w:tcW w:w="251" w:type="dxa"/>
                </w:tcPr>
                <w:p w14:paraId="58FFE362" w14:textId="77777777" w:rsidR="00600DEE" w:rsidRDefault="00600DEE">
                  <w:pPr>
                    <w:rPr>
                      <w:rFonts w:ascii="Calibri" w:eastAsia="Calibri" w:hAnsi="Calibri" w:cs="Calibri"/>
                      <w:b/>
                    </w:rPr>
                  </w:pPr>
                </w:p>
              </w:tc>
              <w:tc>
                <w:tcPr>
                  <w:tcW w:w="1425" w:type="dxa"/>
                  <w:shd w:val="clear" w:color="auto" w:fill="F2F2F2"/>
                  <w:vAlign w:val="center"/>
                </w:tcPr>
                <w:p w14:paraId="6BC304A2" w14:textId="77777777" w:rsidR="00600DEE" w:rsidRDefault="00641FB5">
                  <w:pPr>
                    <w:ind w:right="170"/>
                    <w:rPr>
                      <w:rFonts w:ascii="Calibri" w:eastAsia="Calibri" w:hAnsi="Calibri" w:cs="Calibri"/>
                      <w:b/>
                      <w:sz w:val="16"/>
                      <w:szCs w:val="16"/>
                    </w:rPr>
                  </w:pPr>
                  <w:proofErr w:type="spellStart"/>
                  <w:r>
                    <w:rPr>
                      <w:rFonts w:ascii="Calibri" w:eastAsia="Calibri" w:hAnsi="Calibri" w:cs="Calibri"/>
                      <w:b/>
                      <w:sz w:val="16"/>
                      <w:szCs w:val="16"/>
                    </w:rPr>
                    <w:t>Risk</w:t>
                  </w:r>
                  <w:proofErr w:type="spellEnd"/>
                </w:p>
                <w:p w14:paraId="3395B97B" w14:textId="77777777" w:rsidR="00600DEE" w:rsidRDefault="00641FB5">
                  <w:pPr>
                    <w:ind w:right="170"/>
                    <w:rPr>
                      <w:rFonts w:ascii="Calibri" w:eastAsia="Calibri" w:hAnsi="Calibri" w:cs="Calibri"/>
                      <w:b/>
                    </w:rPr>
                  </w:pPr>
                  <w:proofErr w:type="spellStart"/>
                  <w:r>
                    <w:rPr>
                      <w:rFonts w:ascii="Calibri" w:eastAsia="Calibri" w:hAnsi="Calibri" w:cs="Calibri"/>
                      <w:b/>
                      <w:sz w:val="16"/>
                      <w:szCs w:val="16"/>
                    </w:rPr>
                    <w:t>Assessment</w:t>
                  </w:r>
                  <w:proofErr w:type="spellEnd"/>
                </w:p>
              </w:tc>
              <w:tc>
                <w:tcPr>
                  <w:tcW w:w="555" w:type="dxa"/>
                </w:tcPr>
                <w:p w14:paraId="11F97CA0" w14:textId="77777777" w:rsidR="00600DEE" w:rsidRDefault="00641FB5">
                  <w:pPr>
                    <w:rPr>
                      <w:rFonts w:ascii="Calibri" w:eastAsia="Calibri" w:hAnsi="Calibri" w:cs="Calibri"/>
                    </w:rPr>
                  </w:pPr>
                  <w:r>
                    <w:rPr>
                      <w:noProof/>
                      <w:lang w:val="en-GB" w:eastAsia="en-GB"/>
                    </w:rPr>
                    <mc:AlternateContent>
                      <mc:Choice Requires="wps">
                        <w:drawing>
                          <wp:anchor distT="0" distB="0" distL="114300" distR="114300" simplePos="0" relativeHeight="251723776" behindDoc="0" locked="0" layoutInCell="1" hidden="0" allowOverlap="1" wp14:anchorId="2A5266D9" wp14:editId="36405B97">
                            <wp:simplePos x="0" y="0"/>
                            <wp:positionH relativeFrom="column">
                              <wp:posOffset>-12699</wp:posOffset>
                            </wp:positionH>
                            <wp:positionV relativeFrom="paragraph">
                              <wp:posOffset>266700</wp:posOffset>
                            </wp:positionV>
                            <wp:extent cx="263000" cy="248600"/>
                            <wp:effectExtent l="0" t="0" r="0" b="0"/>
                            <wp:wrapNone/>
                            <wp:docPr id="492" name="Strzałka: w prawo 492"/>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5403A57D"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2A5266D9" id="Strzałka: w prawo 492" o:spid="_x0000_s1064" type="#_x0000_t13" style="position:absolute;margin-left:-1pt;margin-top:21pt;width:20.7pt;height:19.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" adj="11455" fillcolor="#366092" strokecolor="#17365d" strokeweight="2pt">
                            <v:stroke startarrowwidth="narrow" startarrowlength="short" endarrowwidth="narrow" endarrowlength="short" joinstyle="round"/>
                            <v:textbox inset="2.53958mm,2.53958mm,2.53958mm,2.53958mm">
                              <w:txbxContent>
                                <w:p w14:paraId="5403A57D" w14:textId="77777777" w:rsidR="007463B9" w:rsidRDefault="007463B9">
                                  <w:pPr>
                                    <w:textDirection w:val="btLr"/>
                                  </w:pPr>
                                </w:p>
                              </w:txbxContent>
                            </v:textbox>
                          </v:shape>
                        </w:pict>
                      </mc:Fallback>
                    </mc:AlternateContent>
                  </w:r>
                  <w:r>
                    <w:rPr>
                      <w:noProof/>
                      <w:lang w:val="en-GB" w:eastAsia="en-GB"/>
                    </w:rPr>
                    <mc:AlternateContent>
                      <mc:Choice Requires="wps">
                        <w:drawing>
                          <wp:anchor distT="0" distB="0" distL="114300" distR="114300" simplePos="0" relativeHeight="251724800" behindDoc="0" locked="0" layoutInCell="1" hidden="0" allowOverlap="1" wp14:anchorId="5E0671A4" wp14:editId="38428CDA">
                            <wp:simplePos x="0" y="0"/>
                            <wp:positionH relativeFrom="column">
                              <wp:posOffset>1689100</wp:posOffset>
                            </wp:positionH>
                            <wp:positionV relativeFrom="paragraph">
                              <wp:posOffset>266700</wp:posOffset>
                            </wp:positionV>
                            <wp:extent cx="262586" cy="248036"/>
                            <wp:effectExtent l="0" t="0" r="0" b="0"/>
                            <wp:wrapNone/>
                            <wp:docPr id="506" name="Strzałka: w prawo 506"/>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6A1B82BF"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w:pict>
                          <v:shape w14:anchorId="5E0671A4" id="Strzałka: w prawo 506" o:spid="_x0000_s1065" type="#_x0000_t13" style="position:absolute;margin-left:133pt;margin-top:21pt;width:20.7pt;height:19.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" adj="11463" fillcolor="#366092" strokecolor="#17365d" strokeweight="2pt">
                            <v:stroke startarrowwidth="narrow" startarrowlength="short" endarrowwidth="narrow" endarrowlength="short" joinstyle="round"/>
                            <v:textbox inset="2.53958mm,2.53958mm,2.53958mm,2.53958mm">
                              <w:txbxContent>
                                <w:p w14:paraId="6A1B82BF" w14:textId="77777777" w:rsidR="007463B9" w:rsidRDefault="007463B9">
                                  <w:pPr>
                                    <w:textDirection w:val="btLr"/>
                                  </w:pPr>
                                </w:p>
                              </w:txbxContent>
                            </v:textbox>
                          </v:shape>
                        </w:pict>
                      </mc:Fallback>
                    </mc:AlternateContent>
                  </w:r>
                </w:p>
              </w:tc>
              <w:tc>
                <w:tcPr>
                  <w:tcW w:w="2308" w:type="dxa"/>
                  <w:vAlign w:val="center"/>
                </w:tcPr>
                <w:p w14:paraId="2B2ED0E8"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xml:space="preserve">- </w:t>
                  </w:r>
                  <w:proofErr w:type="spellStart"/>
                  <w:r>
                    <w:rPr>
                      <w:rFonts w:ascii="Calibri" w:eastAsia="Calibri" w:hAnsi="Calibri" w:cs="Calibri"/>
                      <w:sz w:val="14"/>
                      <w:szCs w:val="14"/>
                    </w:rPr>
                    <w:t>Sensitivity</w:t>
                  </w:r>
                  <w:proofErr w:type="spellEnd"/>
                  <w:r>
                    <w:rPr>
                      <w:rFonts w:ascii="Calibri" w:eastAsia="Calibri" w:hAnsi="Calibri" w:cs="Calibri"/>
                      <w:sz w:val="14"/>
                      <w:szCs w:val="14"/>
                    </w:rPr>
                    <w:t xml:space="preserve"> </w:t>
                  </w:r>
                  <w:proofErr w:type="spellStart"/>
                  <w:r>
                    <w:rPr>
                      <w:rFonts w:ascii="Calibri" w:eastAsia="Calibri" w:hAnsi="Calibri" w:cs="Calibri"/>
                      <w:sz w:val="14"/>
                      <w:szCs w:val="14"/>
                    </w:rPr>
                    <w:t>analysis</w:t>
                  </w:r>
                  <w:proofErr w:type="spellEnd"/>
                </w:p>
                <w:p w14:paraId="3E111266"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xml:space="preserve">- </w:t>
                  </w:r>
                  <w:proofErr w:type="spellStart"/>
                  <w:r>
                    <w:rPr>
                      <w:rFonts w:ascii="Calibri" w:eastAsia="Calibri" w:hAnsi="Calibri" w:cs="Calibri"/>
                      <w:sz w:val="14"/>
                      <w:szCs w:val="14"/>
                    </w:rPr>
                    <w:t>Risk</w:t>
                  </w:r>
                  <w:proofErr w:type="spellEnd"/>
                  <w:r>
                    <w:rPr>
                      <w:rFonts w:ascii="Calibri" w:eastAsia="Calibri" w:hAnsi="Calibri" w:cs="Calibri"/>
                      <w:sz w:val="14"/>
                      <w:szCs w:val="14"/>
                    </w:rPr>
                    <w:t xml:space="preserve"> </w:t>
                  </w:r>
                  <w:proofErr w:type="spellStart"/>
                  <w:r>
                    <w:rPr>
                      <w:rFonts w:ascii="Calibri" w:eastAsia="Calibri" w:hAnsi="Calibri" w:cs="Calibri"/>
                      <w:sz w:val="14"/>
                      <w:szCs w:val="14"/>
                    </w:rPr>
                    <w:t>analysis</w:t>
                  </w:r>
                  <w:proofErr w:type="spellEnd"/>
                </w:p>
              </w:tc>
              <w:tc>
                <w:tcPr>
                  <w:tcW w:w="566" w:type="dxa"/>
                </w:tcPr>
                <w:p w14:paraId="2FFB9CC9" w14:textId="77777777" w:rsidR="00600DEE" w:rsidRDefault="00600DEE">
                  <w:pPr>
                    <w:rPr>
                      <w:rFonts w:ascii="Calibri" w:eastAsia="Calibri" w:hAnsi="Calibri" w:cs="Calibri"/>
                    </w:rPr>
                  </w:pPr>
                </w:p>
              </w:tc>
              <w:tc>
                <w:tcPr>
                  <w:tcW w:w="1698" w:type="dxa"/>
                  <w:shd w:val="clear" w:color="auto" w:fill="A6A6A6"/>
                  <w:vAlign w:val="center"/>
                </w:tcPr>
                <w:p w14:paraId="62BA9AAB"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xml:space="preserve">- Evaluation of sensitivity of project results to changes in key variables and identification of critical variables </w:t>
                  </w:r>
                  <w:proofErr w:type="spellStart"/>
                  <w:r w:rsidRPr="0045151D">
                    <w:rPr>
                      <w:rFonts w:ascii="Calibri" w:eastAsia="Calibri" w:hAnsi="Calibri" w:cs="Calibri"/>
                      <w:sz w:val="13"/>
                      <w:szCs w:val="13"/>
                      <w:lang w:val="en-GB"/>
                    </w:rPr>
                    <w:t>incuding</w:t>
                  </w:r>
                  <w:proofErr w:type="spellEnd"/>
                  <w:r w:rsidRPr="0045151D">
                    <w:rPr>
                      <w:rFonts w:ascii="Calibri" w:eastAsia="Calibri" w:hAnsi="Calibri" w:cs="Calibri"/>
                      <w:sz w:val="13"/>
                      <w:szCs w:val="13"/>
                      <w:lang w:val="en-GB"/>
                    </w:rPr>
                    <w:t xml:space="preserve"> switching values</w:t>
                  </w:r>
                </w:p>
                <w:p w14:paraId="2BCC6F2F" w14:textId="77777777" w:rsidR="00600DEE" w:rsidRPr="0045151D" w:rsidRDefault="00641FB5">
                  <w:pPr>
                    <w:ind w:right="170"/>
                    <w:rPr>
                      <w:rFonts w:ascii="Calibri" w:eastAsia="Calibri" w:hAnsi="Calibri" w:cs="Calibri"/>
                      <w:sz w:val="16"/>
                      <w:szCs w:val="16"/>
                      <w:lang w:val="en-GB"/>
                    </w:rPr>
                  </w:pPr>
                  <w:r w:rsidRPr="0045151D">
                    <w:rPr>
                      <w:rFonts w:ascii="Calibri" w:eastAsia="Calibri" w:hAnsi="Calibri" w:cs="Calibri"/>
                      <w:sz w:val="13"/>
                      <w:szCs w:val="13"/>
                      <w:lang w:val="en-GB"/>
                    </w:rPr>
                    <w:t>- Discussion of areas of  risks associated with the project</w:t>
                  </w:r>
                </w:p>
              </w:tc>
              <w:tc>
                <w:tcPr>
                  <w:tcW w:w="250" w:type="dxa"/>
                </w:tcPr>
                <w:p w14:paraId="5CD2287A" w14:textId="77777777" w:rsidR="00600DEE" w:rsidRPr="0045151D" w:rsidRDefault="00600DEE">
                  <w:pPr>
                    <w:rPr>
                      <w:rFonts w:ascii="Calibri" w:eastAsia="Calibri" w:hAnsi="Calibri" w:cs="Calibri"/>
                      <w:lang w:val="en-GB"/>
                    </w:rPr>
                  </w:pPr>
                </w:p>
              </w:tc>
            </w:tr>
            <w:tr w:rsidR="00600DEE" w:rsidRPr="008C4407" w14:paraId="78728DCF" w14:textId="77777777" w:rsidTr="00E12F72">
              <w:trPr>
                <w:trHeight w:val="243"/>
              </w:trPr>
              <w:tc>
                <w:tcPr>
                  <w:tcW w:w="251" w:type="dxa"/>
                </w:tcPr>
                <w:p w14:paraId="7717001F" w14:textId="77777777" w:rsidR="00600DEE" w:rsidRPr="0045151D" w:rsidRDefault="00600DEE">
                  <w:pPr>
                    <w:rPr>
                      <w:rFonts w:ascii="Calibri" w:eastAsia="Calibri" w:hAnsi="Calibri" w:cs="Calibri"/>
                      <w:lang w:val="en-GB"/>
                    </w:rPr>
                  </w:pPr>
                </w:p>
              </w:tc>
              <w:tc>
                <w:tcPr>
                  <w:tcW w:w="1425" w:type="dxa"/>
                </w:tcPr>
                <w:p w14:paraId="486C9967" w14:textId="77777777" w:rsidR="00600DEE" w:rsidRPr="0045151D" w:rsidRDefault="00600DEE">
                  <w:pPr>
                    <w:rPr>
                      <w:rFonts w:ascii="Calibri" w:eastAsia="Calibri" w:hAnsi="Calibri" w:cs="Calibri"/>
                      <w:lang w:val="en-GB"/>
                    </w:rPr>
                  </w:pPr>
                </w:p>
              </w:tc>
              <w:tc>
                <w:tcPr>
                  <w:tcW w:w="555" w:type="dxa"/>
                </w:tcPr>
                <w:p w14:paraId="0945CCE1" w14:textId="77777777" w:rsidR="00600DEE" w:rsidRPr="0045151D" w:rsidRDefault="00600DEE">
                  <w:pPr>
                    <w:rPr>
                      <w:rFonts w:ascii="Calibri" w:eastAsia="Calibri" w:hAnsi="Calibri" w:cs="Calibri"/>
                      <w:lang w:val="en-GB"/>
                    </w:rPr>
                  </w:pPr>
                </w:p>
              </w:tc>
              <w:tc>
                <w:tcPr>
                  <w:tcW w:w="2308" w:type="dxa"/>
                </w:tcPr>
                <w:p w14:paraId="55D179A7" w14:textId="77777777" w:rsidR="00600DEE" w:rsidRPr="0045151D" w:rsidRDefault="00600DEE">
                  <w:pPr>
                    <w:rPr>
                      <w:rFonts w:ascii="Calibri" w:eastAsia="Calibri" w:hAnsi="Calibri" w:cs="Calibri"/>
                      <w:lang w:val="en-GB"/>
                    </w:rPr>
                  </w:pPr>
                </w:p>
              </w:tc>
              <w:tc>
                <w:tcPr>
                  <w:tcW w:w="566" w:type="dxa"/>
                </w:tcPr>
                <w:p w14:paraId="6034D20F" w14:textId="77777777" w:rsidR="00600DEE" w:rsidRPr="0045151D" w:rsidRDefault="00600DEE">
                  <w:pPr>
                    <w:rPr>
                      <w:rFonts w:ascii="Calibri" w:eastAsia="Calibri" w:hAnsi="Calibri" w:cs="Calibri"/>
                      <w:lang w:val="en-GB"/>
                    </w:rPr>
                  </w:pPr>
                </w:p>
              </w:tc>
              <w:tc>
                <w:tcPr>
                  <w:tcW w:w="1698" w:type="dxa"/>
                </w:tcPr>
                <w:p w14:paraId="656B73D8" w14:textId="77777777" w:rsidR="00600DEE" w:rsidRPr="0045151D" w:rsidRDefault="00600DEE">
                  <w:pPr>
                    <w:rPr>
                      <w:rFonts w:ascii="Calibri" w:eastAsia="Calibri" w:hAnsi="Calibri" w:cs="Calibri"/>
                      <w:lang w:val="en-GB"/>
                    </w:rPr>
                  </w:pPr>
                </w:p>
              </w:tc>
              <w:tc>
                <w:tcPr>
                  <w:tcW w:w="250" w:type="dxa"/>
                </w:tcPr>
                <w:p w14:paraId="664822F9" w14:textId="77777777" w:rsidR="00600DEE" w:rsidRPr="0045151D" w:rsidRDefault="00600DEE">
                  <w:pPr>
                    <w:rPr>
                      <w:rFonts w:ascii="Calibri" w:eastAsia="Calibri" w:hAnsi="Calibri" w:cs="Calibri"/>
                      <w:lang w:val="en-GB"/>
                    </w:rPr>
                  </w:pPr>
                </w:p>
              </w:tc>
            </w:tr>
            <w:tr w:rsidR="00600DEE" w:rsidRPr="008C4407" w14:paraId="1146D8B4" w14:textId="77777777" w:rsidTr="00E12F72">
              <w:trPr>
                <w:trHeight w:hRule="exact" w:val="340"/>
              </w:trPr>
              <w:tc>
                <w:tcPr>
                  <w:tcW w:w="251" w:type="dxa"/>
                  <w:tcBorders>
                    <w:top w:val="nil"/>
                    <w:left w:val="nil"/>
                    <w:bottom w:val="nil"/>
                    <w:right w:val="nil"/>
                  </w:tcBorders>
                  <w:shd w:val="clear" w:color="auto" w:fill="999999"/>
                </w:tcPr>
                <w:p w14:paraId="5DB738DB" w14:textId="77777777" w:rsidR="00600DEE" w:rsidRPr="0045151D" w:rsidRDefault="00600DEE">
                  <w:pPr>
                    <w:rPr>
                      <w:rFonts w:ascii="Calibri" w:eastAsia="Calibri" w:hAnsi="Calibri" w:cs="Calibri"/>
                      <w:lang w:val="en-GB"/>
                    </w:rPr>
                  </w:pPr>
                </w:p>
              </w:tc>
              <w:tc>
                <w:tcPr>
                  <w:tcW w:w="1425" w:type="dxa"/>
                  <w:tcBorders>
                    <w:top w:val="nil"/>
                    <w:left w:val="nil"/>
                    <w:bottom w:val="nil"/>
                    <w:right w:val="nil"/>
                  </w:tcBorders>
                  <w:shd w:val="clear" w:color="auto" w:fill="999999"/>
                </w:tcPr>
                <w:p w14:paraId="590D10BC" w14:textId="77777777" w:rsidR="00600DEE" w:rsidRPr="0045151D" w:rsidRDefault="00600DEE">
                  <w:pPr>
                    <w:rPr>
                      <w:rFonts w:ascii="Calibri" w:eastAsia="Calibri" w:hAnsi="Calibri" w:cs="Calibri"/>
                      <w:lang w:val="en-GB"/>
                    </w:rPr>
                  </w:pPr>
                </w:p>
              </w:tc>
              <w:tc>
                <w:tcPr>
                  <w:tcW w:w="555" w:type="dxa"/>
                  <w:tcBorders>
                    <w:top w:val="nil"/>
                    <w:left w:val="nil"/>
                    <w:bottom w:val="nil"/>
                    <w:right w:val="nil"/>
                  </w:tcBorders>
                  <w:shd w:val="clear" w:color="auto" w:fill="999999"/>
                </w:tcPr>
                <w:p w14:paraId="6547DAB4" w14:textId="77777777" w:rsidR="00600DEE" w:rsidRPr="0045151D" w:rsidRDefault="00600DEE">
                  <w:pPr>
                    <w:rPr>
                      <w:rFonts w:ascii="Calibri" w:eastAsia="Calibri" w:hAnsi="Calibri" w:cs="Calibri"/>
                      <w:lang w:val="en-GB"/>
                    </w:rPr>
                  </w:pPr>
                </w:p>
              </w:tc>
              <w:tc>
                <w:tcPr>
                  <w:tcW w:w="2308" w:type="dxa"/>
                  <w:tcBorders>
                    <w:top w:val="nil"/>
                    <w:left w:val="nil"/>
                    <w:bottom w:val="nil"/>
                    <w:right w:val="nil"/>
                  </w:tcBorders>
                  <w:shd w:val="clear" w:color="auto" w:fill="999999"/>
                </w:tcPr>
                <w:p w14:paraId="109E2680" w14:textId="77777777" w:rsidR="00600DEE" w:rsidRPr="0045151D" w:rsidRDefault="00600DEE">
                  <w:pPr>
                    <w:rPr>
                      <w:rFonts w:ascii="Calibri" w:eastAsia="Calibri" w:hAnsi="Calibri" w:cs="Calibri"/>
                      <w:lang w:val="en-GB"/>
                    </w:rPr>
                  </w:pPr>
                </w:p>
              </w:tc>
              <w:tc>
                <w:tcPr>
                  <w:tcW w:w="566" w:type="dxa"/>
                  <w:tcBorders>
                    <w:top w:val="nil"/>
                    <w:left w:val="nil"/>
                    <w:bottom w:val="nil"/>
                    <w:right w:val="nil"/>
                  </w:tcBorders>
                  <w:shd w:val="clear" w:color="auto" w:fill="999999"/>
                </w:tcPr>
                <w:p w14:paraId="1E37C0B0" w14:textId="77777777" w:rsidR="00600DEE" w:rsidRPr="0045151D" w:rsidRDefault="00600DEE">
                  <w:pPr>
                    <w:rPr>
                      <w:rFonts w:ascii="Calibri" w:eastAsia="Calibri" w:hAnsi="Calibri" w:cs="Calibri"/>
                      <w:lang w:val="en-GB"/>
                    </w:rPr>
                  </w:pPr>
                </w:p>
              </w:tc>
              <w:tc>
                <w:tcPr>
                  <w:tcW w:w="1698" w:type="dxa"/>
                  <w:tcBorders>
                    <w:top w:val="nil"/>
                    <w:left w:val="nil"/>
                    <w:bottom w:val="nil"/>
                    <w:right w:val="nil"/>
                  </w:tcBorders>
                  <w:shd w:val="clear" w:color="auto" w:fill="999999"/>
                </w:tcPr>
                <w:p w14:paraId="5BE7DEA7" w14:textId="77777777" w:rsidR="00600DEE" w:rsidRPr="0045151D" w:rsidRDefault="00600DEE">
                  <w:pPr>
                    <w:rPr>
                      <w:rFonts w:ascii="Calibri" w:eastAsia="Calibri" w:hAnsi="Calibri" w:cs="Calibri"/>
                      <w:lang w:val="en-GB"/>
                    </w:rPr>
                  </w:pPr>
                </w:p>
              </w:tc>
              <w:tc>
                <w:tcPr>
                  <w:tcW w:w="250" w:type="dxa"/>
                  <w:tcBorders>
                    <w:top w:val="nil"/>
                    <w:left w:val="nil"/>
                    <w:bottom w:val="nil"/>
                    <w:right w:val="nil"/>
                  </w:tcBorders>
                  <w:shd w:val="clear" w:color="auto" w:fill="999999"/>
                </w:tcPr>
                <w:p w14:paraId="695587C7" w14:textId="77777777" w:rsidR="00600DEE" w:rsidRPr="0045151D" w:rsidRDefault="00600DEE">
                  <w:pPr>
                    <w:rPr>
                      <w:rFonts w:ascii="Calibri" w:eastAsia="Calibri" w:hAnsi="Calibri" w:cs="Calibri"/>
                      <w:lang w:val="en-GB"/>
                    </w:rPr>
                  </w:pPr>
                </w:p>
              </w:tc>
            </w:tr>
          </w:tbl>
          <w:p w14:paraId="65F42B15" w14:textId="77777777" w:rsidR="00600DEE" w:rsidRPr="0045151D" w:rsidRDefault="00641FB5">
            <w:pPr>
              <w:spacing w:before="120" w:after="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proprietary work.</w:t>
            </w:r>
          </w:p>
          <w:p w14:paraId="6325BF96" w14:textId="77777777" w:rsidR="00600DEE" w:rsidRPr="0045151D" w:rsidRDefault="00641FB5">
            <w:pPr>
              <w:pBdr>
                <w:top w:val="nil"/>
                <w:left w:val="nil"/>
                <w:bottom w:val="nil"/>
                <w:right w:val="nil"/>
                <w:between w:val="nil"/>
              </w:pBdr>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NB:</w:t>
            </w:r>
            <w:r w:rsidRPr="0045151D">
              <w:rPr>
                <w:rFonts w:ascii="Calibri" w:eastAsia="Calibri" w:hAnsi="Calibri" w:cs="Calibri"/>
                <w:color w:val="000000"/>
                <w:sz w:val="20"/>
                <w:szCs w:val="20"/>
                <w:lang w:val="en-GB"/>
              </w:rPr>
              <w:t xml:space="preserve"> The provisions of the ‘’Public Transport Blue Book’’ (in particular in respect to the traffic forecasting and modelling methods) may apply to road projects in cities, in the case that the road project is expected to change the distribution of traffic to the network and have an impact on modal split in the public transport.</w:t>
            </w:r>
          </w:p>
        </w:tc>
      </w:tr>
    </w:tbl>
    <w:p w14:paraId="6D7764C3" w14:textId="6534D8EF" w:rsidR="00600DEE" w:rsidRPr="00343533" w:rsidRDefault="00641FB5" w:rsidP="00343533">
      <w:pPr>
        <w:pStyle w:val="Nagwek3"/>
        <w:rPr>
          <w:rFonts w:eastAsia="Calibri"/>
          <w:i/>
          <w:lang w:val="en-GB"/>
        </w:rPr>
      </w:pPr>
      <w:bookmarkStart w:id="13" w:name="_Toc95377962"/>
      <w:proofErr w:type="spellStart"/>
      <w:r w:rsidRPr="00343533">
        <w:rPr>
          <w:rFonts w:eastAsia="Calibri"/>
          <w:lang w:val="en-GB"/>
        </w:rPr>
        <w:lastRenderedPageBreak/>
        <w:t>Zawartość</w:t>
      </w:r>
      <w:proofErr w:type="spellEnd"/>
      <w:r w:rsidRPr="00343533">
        <w:rPr>
          <w:rFonts w:eastAsia="Calibri"/>
          <w:lang w:val="en-GB"/>
        </w:rPr>
        <w:t xml:space="preserve"> </w:t>
      </w:r>
      <w:proofErr w:type="spellStart"/>
      <w:r w:rsidRPr="00343533">
        <w:rPr>
          <w:rFonts w:eastAsia="Calibri"/>
          <w:lang w:val="en-GB"/>
        </w:rPr>
        <w:t>i</w:t>
      </w:r>
      <w:proofErr w:type="spellEnd"/>
      <w:r w:rsidRPr="00343533">
        <w:rPr>
          <w:rFonts w:eastAsia="Calibri"/>
          <w:lang w:val="en-GB"/>
        </w:rPr>
        <w:t> </w:t>
      </w:r>
      <w:proofErr w:type="spellStart"/>
      <w:r w:rsidRPr="00343533">
        <w:rPr>
          <w:rFonts w:eastAsia="Calibri"/>
          <w:lang w:val="en-GB"/>
        </w:rPr>
        <w:t>zakres</w:t>
      </w:r>
      <w:proofErr w:type="spellEnd"/>
      <w:r w:rsidRPr="00343533">
        <w:rPr>
          <w:rFonts w:eastAsia="Calibri"/>
          <w:lang w:val="en-GB"/>
        </w:rPr>
        <w:t xml:space="preserve"> </w:t>
      </w:r>
      <w:proofErr w:type="spellStart"/>
      <w:r w:rsidRPr="00343533">
        <w:rPr>
          <w:rFonts w:eastAsia="Calibri"/>
          <w:lang w:val="en-GB"/>
        </w:rPr>
        <w:t>analizy</w:t>
      </w:r>
      <w:proofErr w:type="spellEnd"/>
      <w:r w:rsidRPr="00343533">
        <w:rPr>
          <w:rFonts w:eastAsia="Calibri"/>
          <w:lang w:val="en-GB"/>
        </w:rPr>
        <w:t xml:space="preserve"> </w:t>
      </w:r>
      <w:proofErr w:type="spellStart"/>
      <w:r w:rsidRPr="00343533">
        <w:rPr>
          <w:rFonts w:eastAsia="Calibri"/>
          <w:lang w:val="en-GB"/>
        </w:rPr>
        <w:t>kosztów</w:t>
      </w:r>
      <w:proofErr w:type="spellEnd"/>
      <w:r w:rsidRPr="00343533">
        <w:rPr>
          <w:rFonts w:eastAsia="Calibri"/>
          <w:lang w:val="en-GB"/>
        </w:rPr>
        <w:t xml:space="preserve"> </w:t>
      </w:r>
      <w:proofErr w:type="spellStart"/>
      <w:r w:rsidRPr="00343533">
        <w:rPr>
          <w:rFonts w:eastAsia="Calibri"/>
          <w:lang w:val="en-GB"/>
        </w:rPr>
        <w:t>i</w:t>
      </w:r>
      <w:proofErr w:type="spellEnd"/>
      <w:r w:rsidRPr="00343533">
        <w:rPr>
          <w:rFonts w:eastAsia="Calibri"/>
          <w:lang w:val="en-GB"/>
        </w:rPr>
        <w:t> </w:t>
      </w:r>
      <w:proofErr w:type="spellStart"/>
      <w:r w:rsidRPr="00343533">
        <w:rPr>
          <w:rFonts w:eastAsia="Calibri"/>
          <w:lang w:val="en-GB"/>
        </w:rPr>
        <w:t>korzyści</w:t>
      </w:r>
      <w:proofErr w:type="spellEnd"/>
      <w:r w:rsidRPr="00343533">
        <w:rPr>
          <w:rFonts w:eastAsia="Calibri"/>
          <w:lang w:val="en-GB"/>
        </w:rPr>
        <w:t xml:space="preserve"> </w:t>
      </w:r>
      <w:proofErr w:type="spellStart"/>
      <w:r w:rsidRPr="00343533">
        <w:rPr>
          <w:rFonts w:eastAsia="Calibri"/>
          <w:lang w:val="en-GB"/>
        </w:rPr>
        <w:t>oraz</w:t>
      </w:r>
      <w:proofErr w:type="spellEnd"/>
      <w:r w:rsidRPr="00343533">
        <w:rPr>
          <w:rFonts w:eastAsia="Calibri"/>
          <w:lang w:val="en-GB"/>
        </w:rPr>
        <w:t xml:space="preserve"> </w:t>
      </w:r>
      <w:proofErr w:type="spellStart"/>
      <w:r w:rsidRPr="00343533">
        <w:rPr>
          <w:rFonts w:eastAsia="Calibri"/>
          <w:lang w:val="en-GB"/>
        </w:rPr>
        <w:t>jej</w:t>
      </w:r>
      <w:proofErr w:type="spellEnd"/>
      <w:r w:rsidRPr="00343533">
        <w:rPr>
          <w:rFonts w:eastAsia="Calibri"/>
          <w:lang w:val="en-GB"/>
        </w:rPr>
        <w:t xml:space="preserve"> </w:t>
      </w:r>
      <w:proofErr w:type="spellStart"/>
      <w:r w:rsidRPr="00343533">
        <w:rPr>
          <w:rFonts w:eastAsia="Calibri"/>
          <w:lang w:val="en-GB"/>
        </w:rPr>
        <w:t>struktura</w:t>
      </w:r>
      <w:proofErr w:type="spellEnd"/>
      <w:r w:rsidRPr="00343533">
        <w:rPr>
          <w:rFonts w:eastAsia="Calibri"/>
          <w:lang w:val="en-GB"/>
        </w:rPr>
        <w:tab/>
      </w:r>
      <w:r w:rsidR="00343533">
        <w:rPr>
          <w:rFonts w:eastAsia="Calibri"/>
          <w:lang w:val="en-GB"/>
        </w:rPr>
        <w:tab/>
      </w:r>
      <w:r w:rsidR="003E7F50">
        <w:rPr>
          <w:rFonts w:eastAsia="Calibri"/>
          <w:lang w:val="en-GB"/>
        </w:rPr>
        <w:tab/>
      </w:r>
      <w:r w:rsidRPr="00343533">
        <w:rPr>
          <w:rFonts w:eastAsia="Calibri"/>
          <w:i/>
          <w:lang w:val="en-GB"/>
        </w:rPr>
        <w:t>Content and scope of the Cost-Benefit Analysis and its structure</w:t>
      </w:r>
      <w:bookmarkEnd w:id="13"/>
    </w:p>
    <w:tbl>
      <w:tblPr>
        <w:tblStyle w:val="a5"/>
        <w:tblW w:w="14865" w:type="dxa"/>
        <w:tblLayout w:type="fixed"/>
        <w:tblLook w:val="0400" w:firstRow="0" w:lastRow="0" w:firstColumn="0" w:lastColumn="0" w:noHBand="0" w:noVBand="1"/>
      </w:tblPr>
      <w:tblGrid>
        <w:gridCol w:w="7740"/>
        <w:gridCol w:w="7125"/>
      </w:tblGrid>
      <w:tr w:rsidR="00600DEE" w:rsidRPr="008C4407" w14:paraId="64B62836" w14:textId="77777777" w:rsidTr="00D01E87">
        <w:trPr>
          <w:trHeight w:val="340"/>
        </w:trPr>
        <w:tc>
          <w:tcPr>
            <w:tcW w:w="7740" w:type="dxa"/>
            <w:tcBorders>
              <w:right w:val="single" w:sz="4" w:space="0" w:color="000000"/>
            </w:tcBorders>
            <w:tcMar>
              <w:left w:w="284" w:type="dxa"/>
              <w:right w:w="284" w:type="dxa"/>
            </w:tcMar>
          </w:tcPr>
          <w:p w14:paraId="18618D92"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Wynikiem pracy nad analizą kosztów i korzyści (AKK) powinien być dokument odnoszący się do wszystkich kwestii omawianych w niniejszym podręczniku. Poniżej przedstawiono zalecaną zawartość typowej AKK.</w:t>
            </w:r>
          </w:p>
          <w:p w14:paraId="7180CFE9" w14:textId="77777777" w:rsidR="00600DEE" w:rsidRDefault="00600DEE">
            <w:pPr>
              <w:spacing w:after="120"/>
              <w:ind w:right="28"/>
              <w:jc w:val="both"/>
              <w:rPr>
                <w:rFonts w:ascii="Calibri" w:eastAsia="Calibri" w:hAnsi="Calibri" w:cs="Calibri"/>
                <w:sz w:val="20"/>
                <w:szCs w:val="20"/>
              </w:rPr>
            </w:pPr>
          </w:p>
          <w:p w14:paraId="6A962F91" w14:textId="632397B0" w:rsidR="00D01E87" w:rsidRDefault="00641FB5" w:rsidP="00D2339A">
            <w:pPr>
              <w:keepNext/>
              <w:pBdr>
                <w:top w:val="nil"/>
                <w:left w:val="nil"/>
                <w:bottom w:val="nil"/>
                <w:right w:val="nil"/>
                <w:between w:val="nil"/>
              </w:pBdr>
              <w:tabs>
                <w:tab w:val="left" w:pos="720"/>
                <w:tab w:val="left" w:pos="0"/>
              </w:tabs>
              <w:spacing w:before="120" w:after="120"/>
              <w:ind w:right="26"/>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 Analiza kosztów i korzyści – spis treści</w:t>
            </w:r>
          </w:p>
          <w:tbl>
            <w:tblPr>
              <w:tblStyle w:val="a6"/>
              <w:tblW w:w="7083" w:type="dxa"/>
              <w:tblLayout w:type="fixed"/>
              <w:tblLook w:val="0000" w:firstRow="0" w:lastRow="0" w:firstColumn="0" w:lastColumn="0" w:noHBand="0" w:noVBand="0"/>
            </w:tblPr>
            <w:tblGrid>
              <w:gridCol w:w="988"/>
              <w:gridCol w:w="6095"/>
            </w:tblGrid>
            <w:tr w:rsidR="00600DEE" w14:paraId="484FBFF4" w14:textId="77777777">
              <w:trPr>
                <w:trHeight w:val="113"/>
              </w:trPr>
              <w:tc>
                <w:tcPr>
                  <w:tcW w:w="988" w:type="dxa"/>
                  <w:tcBorders>
                    <w:top w:val="single" w:sz="4" w:space="0" w:color="FFFFFF"/>
                    <w:left w:val="single" w:sz="4" w:space="0" w:color="FFFFFF"/>
                    <w:bottom w:val="single" w:sz="4" w:space="0" w:color="FFFFFF"/>
                  </w:tcBorders>
                  <w:shd w:val="clear" w:color="auto" w:fill="A6A6A6"/>
                  <w:vAlign w:val="center"/>
                </w:tcPr>
                <w:p w14:paraId="3DE68F83"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Rozdział</w:t>
                  </w:r>
                </w:p>
              </w:tc>
              <w:tc>
                <w:tcPr>
                  <w:tcW w:w="609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11C5E05" w14:textId="77777777" w:rsidR="00600DEE"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rPr>
                  </w:pPr>
                  <w:r>
                    <w:rPr>
                      <w:rFonts w:ascii="Calibri" w:eastAsia="Calibri" w:hAnsi="Calibri" w:cs="Calibri"/>
                      <w:b/>
                      <w:color w:val="FFFFFF"/>
                      <w:sz w:val="18"/>
                      <w:szCs w:val="18"/>
                    </w:rPr>
                    <w:t>Treść*</w:t>
                  </w:r>
                </w:p>
              </w:tc>
            </w:tr>
            <w:tr w:rsidR="00600DEE" w14:paraId="72207AB1" w14:textId="77777777">
              <w:trPr>
                <w:trHeight w:val="431"/>
              </w:trPr>
              <w:tc>
                <w:tcPr>
                  <w:tcW w:w="988" w:type="dxa"/>
                  <w:tcBorders>
                    <w:left w:val="single" w:sz="4" w:space="0" w:color="FFFFFF"/>
                    <w:bottom w:val="single" w:sz="4" w:space="0" w:color="FFFFFF"/>
                  </w:tcBorders>
                  <w:shd w:val="clear" w:color="auto" w:fill="DBE5F1"/>
                </w:tcPr>
                <w:p w14:paraId="3683E130"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8"/>
                      <w:szCs w:val="18"/>
                    </w:rPr>
                  </w:pPr>
                  <w:r>
                    <w:rPr>
                      <w:rFonts w:ascii="Calibri" w:eastAsia="Calibri" w:hAnsi="Calibri" w:cs="Calibri"/>
                      <w:b/>
                      <w:color w:val="4F81BD"/>
                      <w:sz w:val="18"/>
                      <w:szCs w:val="18"/>
                    </w:rPr>
                    <w:t>Synteza</w:t>
                  </w:r>
                </w:p>
              </w:tc>
              <w:tc>
                <w:tcPr>
                  <w:tcW w:w="6095" w:type="dxa"/>
                  <w:tcBorders>
                    <w:left w:val="single" w:sz="4" w:space="0" w:color="FFFFFF"/>
                    <w:bottom w:val="single" w:sz="4" w:space="0" w:color="FFFFFF"/>
                    <w:right w:val="single" w:sz="4" w:space="0" w:color="FFFFFF"/>
                  </w:tcBorders>
                  <w:shd w:val="clear" w:color="auto" w:fill="DBE5F1"/>
                </w:tcPr>
                <w:p w14:paraId="7C62B757" w14:textId="77777777" w:rsidR="00600DEE" w:rsidRDefault="00641FB5">
                  <w:pPr>
                    <w:pBdr>
                      <w:top w:val="nil"/>
                      <w:left w:val="nil"/>
                      <w:bottom w:val="nil"/>
                      <w:right w:val="nil"/>
                      <w:between w:val="nil"/>
                    </w:pBdr>
                    <w:spacing w:before="120" w:after="120"/>
                    <w:rPr>
                      <w:rFonts w:ascii="Calibri" w:eastAsia="Calibri" w:hAnsi="Calibri" w:cs="Calibri"/>
                      <w:color w:val="4F81BD"/>
                      <w:sz w:val="18"/>
                      <w:szCs w:val="18"/>
                    </w:rPr>
                  </w:pPr>
                  <w:r>
                    <w:rPr>
                      <w:rFonts w:ascii="Calibri" w:eastAsia="Calibri" w:hAnsi="Calibri" w:cs="Calibri"/>
                      <w:color w:val="4F81BD"/>
                      <w:sz w:val="18"/>
                      <w:szCs w:val="18"/>
                    </w:rPr>
                    <w:t>Podsumowanie wyników CBA</w:t>
                  </w:r>
                </w:p>
              </w:tc>
            </w:tr>
            <w:tr w:rsidR="00600DEE" w14:paraId="10F2744F" w14:textId="77777777" w:rsidTr="0073146B">
              <w:trPr>
                <w:trHeight w:hRule="exact" w:val="2268"/>
              </w:trPr>
              <w:tc>
                <w:tcPr>
                  <w:tcW w:w="988" w:type="dxa"/>
                  <w:tcBorders>
                    <w:left w:val="single" w:sz="4" w:space="0" w:color="FFFFFF"/>
                    <w:bottom w:val="single" w:sz="4" w:space="0" w:color="FFFFFF"/>
                  </w:tcBorders>
                  <w:shd w:val="clear" w:color="auto" w:fill="DBE5F1"/>
                </w:tcPr>
                <w:p w14:paraId="630FBC54"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w:t>
                  </w:r>
                </w:p>
              </w:tc>
              <w:tc>
                <w:tcPr>
                  <w:tcW w:w="6095" w:type="dxa"/>
                  <w:tcBorders>
                    <w:left w:val="single" w:sz="4" w:space="0" w:color="FFFFFF"/>
                    <w:bottom w:val="single" w:sz="4" w:space="0" w:color="FFFFFF"/>
                    <w:right w:val="single" w:sz="4" w:space="0" w:color="FFFFFF"/>
                  </w:tcBorders>
                  <w:shd w:val="clear" w:color="auto" w:fill="DBE5F1"/>
                </w:tcPr>
                <w:p w14:paraId="6DB8CF3C" w14:textId="77777777" w:rsidR="00600DEE" w:rsidRDefault="00641FB5">
                  <w:pPr>
                    <w:pBdr>
                      <w:top w:val="nil"/>
                      <w:left w:val="nil"/>
                      <w:bottom w:val="nil"/>
                      <w:right w:val="nil"/>
                      <w:between w:val="nil"/>
                    </w:pBdr>
                    <w:spacing w:before="120" w:after="120"/>
                    <w:ind w:left="470" w:hanging="470"/>
                    <w:rPr>
                      <w:rFonts w:ascii="Calibri" w:eastAsia="Calibri" w:hAnsi="Calibri" w:cs="Calibri"/>
                      <w:color w:val="4F81BD"/>
                      <w:sz w:val="18"/>
                      <w:szCs w:val="18"/>
                    </w:rPr>
                  </w:pPr>
                  <w:r>
                    <w:rPr>
                      <w:rFonts w:ascii="Calibri" w:eastAsia="Calibri" w:hAnsi="Calibri" w:cs="Calibri"/>
                      <w:color w:val="4F81BD"/>
                      <w:sz w:val="18"/>
                      <w:szCs w:val="18"/>
                    </w:rPr>
                    <w:t xml:space="preserve">Identyfikacja projektu i przygotowanie danych wejściowych </w:t>
                  </w:r>
                </w:p>
                <w:p w14:paraId="65F32023"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Stan istniejący</w:t>
                  </w:r>
                </w:p>
                <w:p w14:paraId="3B24DBEC"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Określenie celów projektu w kontekście właściwych planów/strategii transportowych</w:t>
                  </w:r>
                </w:p>
                <w:p w14:paraId="1015B438"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Identyfikacja/Wybór możliwych do realizacji wariantów projektu</w:t>
                  </w:r>
                </w:p>
                <w:p w14:paraId="2BAF86C3"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Identyfikacja projektu</w:t>
                  </w:r>
                </w:p>
                <w:p w14:paraId="07D1A615"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 xml:space="preserve">Przygotowanie danych wejściowych do analizy ekonomicznej i finansowej (prognoza ruchu, koszty inwestycyjne, koszty eksploatacji i utrzymania, przychody, </w:t>
                  </w:r>
                  <w:proofErr w:type="spellStart"/>
                  <w:r>
                    <w:rPr>
                      <w:rFonts w:ascii="Calibri" w:eastAsia="Calibri" w:hAnsi="Calibri" w:cs="Calibri"/>
                      <w:color w:val="4F81BD"/>
                      <w:sz w:val="18"/>
                      <w:szCs w:val="18"/>
                    </w:rPr>
                    <w:t>itp</w:t>
                  </w:r>
                  <w:proofErr w:type="spellEnd"/>
                  <w:r>
                    <w:rPr>
                      <w:rFonts w:ascii="Calibri" w:eastAsia="Calibri" w:hAnsi="Calibri" w:cs="Calibri"/>
                      <w:color w:val="4F81BD"/>
                      <w:sz w:val="18"/>
                      <w:szCs w:val="18"/>
                    </w:rPr>
                    <w:t>)</w:t>
                  </w:r>
                </w:p>
                <w:p w14:paraId="10DD32CC" w14:textId="77777777" w:rsidR="00600DEE" w:rsidRDefault="00600DEE">
                  <w:pPr>
                    <w:pBdr>
                      <w:top w:val="nil"/>
                      <w:left w:val="nil"/>
                      <w:bottom w:val="nil"/>
                      <w:right w:val="nil"/>
                      <w:between w:val="nil"/>
                    </w:pBdr>
                    <w:tabs>
                      <w:tab w:val="left" w:pos="435"/>
                    </w:tabs>
                    <w:ind w:left="470" w:hanging="470"/>
                    <w:rPr>
                      <w:rFonts w:ascii="Calibri" w:eastAsia="Calibri" w:hAnsi="Calibri" w:cs="Calibri"/>
                      <w:color w:val="4F81BD"/>
                      <w:sz w:val="18"/>
                      <w:szCs w:val="18"/>
                    </w:rPr>
                  </w:pPr>
                </w:p>
              </w:tc>
            </w:tr>
            <w:tr w:rsidR="00600DEE" w14:paraId="6AC8162E" w14:textId="77777777" w:rsidTr="00023AC0">
              <w:trPr>
                <w:trHeight w:hRule="exact" w:val="1985"/>
              </w:trPr>
              <w:tc>
                <w:tcPr>
                  <w:tcW w:w="988" w:type="dxa"/>
                  <w:tcBorders>
                    <w:left w:val="single" w:sz="4" w:space="0" w:color="FFFFFF"/>
                    <w:bottom w:val="single" w:sz="4" w:space="0" w:color="FFFFFF"/>
                  </w:tcBorders>
                  <w:shd w:val="clear" w:color="auto" w:fill="DBE5F1"/>
                </w:tcPr>
                <w:p w14:paraId="4064B704"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w:t>
                  </w:r>
                </w:p>
              </w:tc>
              <w:tc>
                <w:tcPr>
                  <w:tcW w:w="6095" w:type="dxa"/>
                  <w:tcBorders>
                    <w:left w:val="single" w:sz="4" w:space="0" w:color="FFFFFF"/>
                    <w:bottom w:val="single" w:sz="4" w:space="0" w:color="FFFFFF"/>
                    <w:right w:val="single" w:sz="4" w:space="0" w:color="FFFFFF"/>
                  </w:tcBorders>
                  <w:shd w:val="clear" w:color="auto" w:fill="DBE5F1"/>
                </w:tcPr>
                <w:p w14:paraId="72CDF6C2" w14:textId="77777777" w:rsidR="00600DEE" w:rsidRDefault="00641FB5">
                  <w:pPr>
                    <w:pBdr>
                      <w:top w:val="nil"/>
                      <w:left w:val="nil"/>
                      <w:bottom w:val="nil"/>
                      <w:right w:val="nil"/>
                      <w:between w:val="nil"/>
                    </w:pBdr>
                    <w:spacing w:before="120" w:after="120"/>
                    <w:ind w:left="470" w:hanging="470"/>
                    <w:rPr>
                      <w:rFonts w:ascii="Calibri" w:eastAsia="Calibri" w:hAnsi="Calibri" w:cs="Calibri"/>
                      <w:color w:val="4F81BD"/>
                      <w:sz w:val="18"/>
                      <w:szCs w:val="18"/>
                    </w:rPr>
                  </w:pPr>
                  <w:r>
                    <w:rPr>
                      <w:rFonts w:ascii="Calibri" w:eastAsia="Calibri" w:hAnsi="Calibri" w:cs="Calibri"/>
                      <w:color w:val="4F81BD"/>
                      <w:sz w:val="18"/>
                      <w:szCs w:val="18"/>
                    </w:rPr>
                    <w:t>Analiza ekonomiczna</w:t>
                  </w:r>
                </w:p>
                <w:p w14:paraId="6280564D"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Określenie założeń do analizy ekonomicznej</w:t>
                  </w:r>
                </w:p>
                <w:p w14:paraId="707BC27A"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Przeliczniki z cen rynkowych na rozrachunkowe (ukryte)</w:t>
                  </w:r>
                </w:p>
                <w:p w14:paraId="56E0C1D9"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Obliczanie kosztów i korzyści ekonomicznych</w:t>
                  </w:r>
                </w:p>
                <w:p w14:paraId="077981AB"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Identyfikacja, wyszczególnienie i ocena jakościowa kosztów i korzyści niekwantyfikowalnych (jeżeli dotyczy)</w:t>
                  </w:r>
                </w:p>
                <w:p w14:paraId="5B703CCF"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Obliczenie wskaźników efektywności ekonomicznej</w:t>
                  </w:r>
                </w:p>
                <w:p w14:paraId="7BD9BA2C" w14:textId="77777777" w:rsidR="00600DEE" w:rsidRDefault="00600DEE">
                  <w:pPr>
                    <w:pBdr>
                      <w:top w:val="nil"/>
                      <w:left w:val="nil"/>
                      <w:bottom w:val="nil"/>
                      <w:right w:val="nil"/>
                      <w:between w:val="nil"/>
                    </w:pBdr>
                    <w:tabs>
                      <w:tab w:val="left" w:pos="435"/>
                    </w:tabs>
                    <w:ind w:left="470" w:hanging="470"/>
                    <w:rPr>
                      <w:rFonts w:ascii="Calibri" w:eastAsia="Calibri" w:hAnsi="Calibri" w:cs="Calibri"/>
                      <w:color w:val="4F81BD"/>
                      <w:sz w:val="18"/>
                      <w:szCs w:val="18"/>
                    </w:rPr>
                  </w:pPr>
                </w:p>
              </w:tc>
            </w:tr>
            <w:tr w:rsidR="00600DEE" w14:paraId="6206C845" w14:textId="77777777">
              <w:trPr>
                <w:trHeight w:val="273"/>
              </w:trPr>
              <w:tc>
                <w:tcPr>
                  <w:tcW w:w="988" w:type="dxa"/>
                  <w:tcBorders>
                    <w:top w:val="single" w:sz="4" w:space="0" w:color="FFFFFF"/>
                    <w:left w:val="single" w:sz="4" w:space="0" w:color="FFFFFF"/>
                    <w:bottom w:val="single" w:sz="4" w:space="0" w:color="FFFFFF"/>
                  </w:tcBorders>
                  <w:shd w:val="clear" w:color="auto" w:fill="A6A6A6"/>
                  <w:vAlign w:val="center"/>
                </w:tcPr>
                <w:p w14:paraId="1907C7A4"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Rozdział</w:t>
                  </w:r>
                </w:p>
              </w:tc>
              <w:tc>
                <w:tcPr>
                  <w:tcW w:w="609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A82ABD4" w14:textId="77777777" w:rsidR="00600DEE"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rPr>
                  </w:pPr>
                  <w:r>
                    <w:rPr>
                      <w:rFonts w:ascii="Calibri" w:eastAsia="Calibri" w:hAnsi="Calibri" w:cs="Calibri"/>
                      <w:b/>
                      <w:color w:val="FFFFFF"/>
                      <w:sz w:val="18"/>
                      <w:szCs w:val="18"/>
                    </w:rPr>
                    <w:t>Treść*</w:t>
                  </w:r>
                </w:p>
              </w:tc>
            </w:tr>
            <w:tr w:rsidR="00600DEE" w14:paraId="3B1739AF" w14:textId="77777777" w:rsidTr="0073146B">
              <w:trPr>
                <w:trHeight w:hRule="exact" w:val="1418"/>
              </w:trPr>
              <w:tc>
                <w:tcPr>
                  <w:tcW w:w="988" w:type="dxa"/>
                  <w:tcBorders>
                    <w:left w:val="single" w:sz="4" w:space="0" w:color="FFFFFF"/>
                    <w:bottom w:val="single" w:sz="4" w:space="0" w:color="FFFFFF"/>
                  </w:tcBorders>
                  <w:shd w:val="clear" w:color="auto" w:fill="DBE5F1"/>
                </w:tcPr>
                <w:p w14:paraId="393DDA41"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III</w:t>
                  </w:r>
                </w:p>
              </w:tc>
              <w:tc>
                <w:tcPr>
                  <w:tcW w:w="6095" w:type="dxa"/>
                  <w:tcBorders>
                    <w:left w:val="single" w:sz="4" w:space="0" w:color="FFFFFF"/>
                    <w:bottom w:val="single" w:sz="4" w:space="0" w:color="FFFFFF"/>
                    <w:right w:val="single" w:sz="4" w:space="0" w:color="FFFFFF"/>
                  </w:tcBorders>
                  <w:shd w:val="clear" w:color="auto" w:fill="DBE5F1"/>
                </w:tcPr>
                <w:p w14:paraId="14EACBA1" w14:textId="77777777" w:rsidR="00600DEE" w:rsidRDefault="00641FB5">
                  <w:pPr>
                    <w:pBdr>
                      <w:top w:val="nil"/>
                      <w:left w:val="nil"/>
                      <w:bottom w:val="nil"/>
                      <w:right w:val="nil"/>
                      <w:between w:val="nil"/>
                    </w:pBdr>
                    <w:spacing w:before="120" w:after="120"/>
                    <w:rPr>
                      <w:rFonts w:ascii="Calibri" w:eastAsia="Calibri" w:hAnsi="Calibri" w:cs="Calibri"/>
                      <w:color w:val="4F81BD"/>
                      <w:sz w:val="18"/>
                      <w:szCs w:val="18"/>
                    </w:rPr>
                  </w:pPr>
                  <w:r>
                    <w:rPr>
                      <w:rFonts w:ascii="Calibri" w:eastAsia="Calibri" w:hAnsi="Calibri" w:cs="Calibri"/>
                      <w:color w:val="4F81BD"/>
                      <w:sz w:val="18"/>
                      <w:szCs w:val="18"/>
                    </w:rPr>
                    <w:t>Analiza finansowa</w:t>
                  </w:r>
                </w:p>
                <w:p w14:paraId="0E929511"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 xml:space="preserve">Określenie założeń do analizy finansowej </w:t>
                  </w:r>
                </w:p>
                <w:p w14:paraId="286D5BC8"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Obliczenie wartości wskaźników efektywności finansowej</w:t>
                  </w:r>
                </w:p>
                <w:p w14:paraId="0666E0C0"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Ustalenie wkładu UE</w:t>
                  </w:r>
                </w:p>
                <w:p w14:paraId="33C8D81A"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 xml:space="preserve">Weryfikacja trwałości finansowej projektu </w:t>
                  </w:r>
                </w:p>
              </w:tc>
            </w:tr>
            <w:tr w:rsidR="00600DEE" w14:paraId="1587C378" w14:textId="77777777" w:rsidTr="0073146B">
              <w:trPr>
                <w:trHeight w:hRule="exact" w:val="1021"/>
              </w:trPr>
              <w:tc>
                <w:tcPr>
                  <w:tcW w:w="988" w:type="dxa"/>
                  <w:tcBorders>
                    <w:left w:val="single" w:sz="4" w:space="0" w:color="FFFFFF"/>
                    <w:bottom w:val="single" w:sz="4" w:space="0" w:color="FFFFFF"/>
                  </w:tcBorders>
                  <w:shd w:val="clear" w:color="auto" w:fill="DBE5F1"/>
                </w:tcPr>
                <w:p w14:paraId="050CB90F"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IV</w:t>
                  </w:r>
                </w:p>
              </w:tc>
              <w:tc>
                <w:tcPr>
                  <w:tcW w:w="6095" w:type="dxa"/>
                  <w:tcBorders>
                    <w:left w:val="single" w:sz="4" w:space="0" w:color="FFFFFF"/>
                    <w:bottom w:val="single" w:sz="4" w:space="0" w:color="FFFFFF"/>
                    <w:right w:val="single" w:sz="4" w:space="0" w:color="FFFFFF"/>
                  </w:tcBorders>
                  <w:shd w:val="clear" w:color="auto" w:fill="DBE5F1"/>
                </w:tcPr>
                <w:p w14:paraId="542416B1" w14:textId="77777777" w:rsidR="00600DEE" w:rsidRDefault="00641FB5">
                  <w:pPr>
                    <w:pBdr>
                      <w:top w:val="nil"/>
                      <w:left w:val="nil"/>
                      <w:bottom w:val="nil"/>
                      <w:right w:val="nil"/>
                      <w:between w:val="nil"/>
                    </w:pBdr>
                    <w:tabs>
                      <w:tab w:val="left" w:pos="435"/>
                    </w:tabs>
                    <w:rPr>
                      <w:rFonts w:ascii="Calibri" w:eastAsia="Calibri" w:hAnsi="Calibri" w:cs="Calibri"/>
                      <w:color w:val="4F81BD"/>
                      <w:sz w:val="18"/>
                      <w:szCs w:val="18"/>
                    </w:rPr>
                  </w:pPr>
                  <w:r>
                    <w:rPr>
                      <w:rFonts w:ascii="Calibri" w:eastAsia="Calibri" w:hAnsi="Calibri" w:cs="Calibri"/>
                      <w:color w:val="4F81BD"/>
                      <w:sz w:val="18"/>
                      <w:szCs w:val="18"/>
                    </w:rPr>
                    <w:t xml:space="preserve">Ocena </w:t>
                  </w:r>
                  <w:proofErr w:type="spellStart"/>
                  <w:r>
                    <w:rPr>
                      <w:rFonts w:ascii="Calibri" w:eastAsia="Calibri" w:hAnsi="Calibri" w:cs="Calibri"/>
                      <w:color w:val="4F81BD"/>
                      <w:sz w:val="18"/>
                      <w:szCs w:val="18"/>
                    </w:rPr>
                    <w:t>ryzyk</w:t>
                  </w:r>
                  <w:proofErr w:type="spellEnd"/>
                  <w:r>
                    <w:rPr>
                      <w:rFonts w:ascii="Calibri" w:eastAsia="Calibri" w:hAnsi="Calibri" w:cs="Calibri"/>
                      <w:color w:val="4F81BD"/>
                      <w:sz w:val="18"/>
                      <w:szCs w:val="18"/>
                    </w:rPr>
                    <w:t xml:space="preserve"> projektu </w:t>
                  </w:r>
                </w:p>
                <w:p w14:paraId="07875E85" w14:textId="77777777" w:rsidR="00600DEE" w:rsidRDefault="00600DEE">
                  <w:pPr>
                    <w:pBdr>
                      <w:top w:val="nil"/>
                      <w:left w:val="nil"/>
                      <w:bottom w:val="nil"/>
                      <w:right w:val="nil"/>
                      <w:between w:val="nil"/>
                    </w:pBdr>
                    <w:tabs>
                      <w:tab w:val="left" w:pos="435"/>
                    </w:tabs>
                    <w:rPr>
                      <w:rFonts w:ascii="Calibri" w:eastAsia="Calibri" w:hAnsi="Calibri" w:cs="Calibri"/>
                      <w:color w:val="4F81BD"/>
                      <w:sz w:val="18"/>
                      <w:szCs w:val="18"/>
                    </w:rPr>
                  </w:pPr>
                </w:p>
                <w:p w14:paraId="6F41BC1A"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Analiza wrażliwości</w:t>
                  </w:r>
                </w:p>
                <w:p w14:paraId="47DA1C98"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Analiza ryzyka</w:t>
                  </w:r>
                </w:p>
              </w:tc>
            </w:tr>
          </w:tbl>
          <w:p w14:paraId="14629AAE" w14:textId="77777777" w:rsidR="00600DEE" w:rsidRDefault="00641FB5">
            <w:pPr>
              <w:spacing w:before="120" w:line="276" w:lineRule="auto"/>
              <w:ind w:right="170"/>
              <w:jc w:val="both"/>
              <w:rPr>
                <w:rFonts w:ascii="Calibri" w:eastAsia="Calibri" w:hAnsi="Calibri" w:cs="Calibri"/>
                <w:b/>
                <w:i/>
                <w:sz w:val="16"/>
                <w:szCs w:val="16"/>
              </w:rPr>
            </w:pPr>
            <w:r>
              <w:rPr>
                <w:rFonts w:ascii="Calibri" w:eastAsia="Calibri" w:hAnsi="Calibri" w:cs="Calibri"/>
                <w:b/>
                <w:i/>
                <w:sz w:val="16"/>
                <w:szCs w:val="16"/>
              </w:rPr>
              <w:t>Źródło: opracowanie własne.</w:t>
            </w:r>
          </w:p>
          <w:p w14:paraId="25D4AEA6" w14:textId="77777777" w:rsidR="00600DEE" w:rsidRDefault="00641FB5">
            <w:pPr>
              <w:ind w:right="26"/>
              <w:rPr>
                <w:rFonts w:ascii="Calibri" w:eastAsia="Calibri" w:hAnsi="Calibri" w:cs="Calibri"/>
                <w:sz w:val="16"/>
                <w:szCs w:val="16"/>
              </w:rPr>
            </w:pPr>
            <w:r>
              <w:rPr>
                <w:rFonts w:ascii="Calibri" w:eastAsia="Calibri" w:hAnsi="Calibri" w:cs="Calibri"/>
                <w:sz w:val="16"/>
                <w:szCs w:val="16"/>
              </w:rPr>
              <w:t>* w tabeli przedstawiono spis treści dla najszerszego wymaganego zakresu analizy kosztów i korzyści.</w:t>
            </w:r>
          </w:p>
          <w:p w14:paraId="6B3CDAF0" w14:textId="77777777" w:rsidR="00600DEE" w:rsidRDefault="00600DEE">
            <w:pPr>
              <w:ind w:right="26"/>
              <w:jc w:val="both"/>
              <w:rPr>
                <w:rFonts w:ascii="Calibri" w:eastAsia="Calibri" w:hAnsi="Calibri" w:cs="Calibri"/>
                <w:i/>
                <w:sz w:val="16"/>
                <w:szCs w:val="16"/>
              </w:rPr>
            </w:pPr>
          </w:p>
          <w:p w14:paraId="18A811B7" w14:textId="77777777" w:rsidR="00600DEE" w:rsidRDefault="00641FB5">
            <w:pPr>
              <w:ind w:right="26"/>
              <w:jc w:val="both"/>
              <w:rPr>
                <w:rFonts w:ascii="Calibri" w:eastAsia="Calibri" w:hAnsi="Calibri" w:cs="Calibri"/>
                <w:sz w:val="20"/>
                <w:szCs w:val="20"/>
              </w:rPr>
            </w:pPr>
            <w:r>
              <w:rPr>
                <w:rFonts w:ascii="Calibri" w:eastAsia="Calibri" w:hAnsi="Calibri" w:cs="Calibri"/>
                <w:sz w:val="20"/>
                <w:szCs w:val="20"/>
              </w:rPr>
              <w:lastRenderedPageBreak/>
              <w:t>Dane wejściowe do AKK opisujące projekt powinny zawierać co najmniej następujące elementy:</w:t>
            </w:r>
          </w:p>
          <w:p w14:paraId="02BC5BF2" w14:textId="77777777" w:rsidR="00600DEE" w:rsidRDefault="00600DEE">
            <w:pPr>
              <w:ind w:right="26"/>
              <w:jc w:val="both"/>
              <w:rPr>
                <w:rFonts w:ascii="Calibri" w:eastAsia="Calibri" w:hAnsi="Calibri" w:cs="Calibri"/>
                <w:sz w:val="20"/>
                <w:szCs w:val="20"/>
              </w:rPr>
            </w:pPr>
          </w:p>
          <w:tbl>
            <w:tblPr>
              <w:tblStyle w:val="a7"/>
              <w:tblW w:w="7088" w:type="dxa"/>
              <w:tblLayout w:type="fixed"/>
              <w:tblLook w:val="0400" w:firstRow="0" w:lastRow="0" w:firstColumn="0" w:lastColumn="0" w:noHBand="0" w:noVBand="1"/>
            </w:tblPr>
            <w:tblGrid>
              <w:gridCol w:w="7088"/>
            </w:tblGrid>
            <w:tr w:rsidR="00600DEE" w14:paraId="11EF6602" w14:textId="77777777">
              <w:trPr>
                <w:trHeight w:val="3486"/>
              </w:trPr>
              <w:tc>
                <w:tcPr>
                  <w:tcW w:w="7088" w:type="dxa"/>
                  <w:shd w:val="clear" w:color="auto" w:fill="DBE5F1"/>
                  <w:vAlign w:val="center"/>
                </w:tcPr>
                <w:p w14:paraId="0F200AD0" w14:textId="77777777" w:rsidR="00600DEE" w:rsidRDefault="00641FB5">
                  <w:pPr>
                    <w:spacing w:line="276" w:lineRule="auto"/>
                    <w:ind w:right="170"/>
                    <w:jc w:val="center"/>
                    <w:rPr>
                      <w:rFonts w:ascii="Calibri" w:eastAsia="Calibri" w:hAnsi="Calibri" w:cs="Calibri"/>
                      <w:b/>
                      <w:color w:val="4F81BD"/>
                      <w:sz w:val="20"/>
                      <w:szCs w:val="20"/>
                    </w:rPr>
                  </w:pPr>
                  <w:r>
                    <w:rPr>
                      <w:rFonts w:ascii="Calibri" w:eastAsia="Calibri" w:hAnsi="Calibri" w:cs="Calibri"/>
                      <w:b/>
                      <w:color w:val="4F81BD"/>
                      <w:sz w:val="20"/>
                      <w:szCs w:val="20"/>
                    </w:rPr>
                    <w:t>OPIS PROJEKTU</w:t>
                  </w:r>
                </w:p>
                <w:p w14:paraId="5B4B945F" w14:textId="77777777" w:rsidR="00600DEE" w:rsidRDefault="00641FB5">
                  <w:pPr>
                    <w:numPr>
                      <w:ilvl w:val="0"/>
                      <w:numId w:val="3"/>
                    </w:numPr>
                    <w:spacing w:line="276" w:lineRule="auto"/>
                    <w:ind w:left="885" w:right="170" w:hanging="885"/>
                    <w:jc w:val="both"/>
                    <w:rPr>
                      <w:rFonts w:ascii="Calibri" w:eastAsia="Calibri" w:hAnsi="Calibri" w:cs="Calibri"/>
                      <w:color w:val="4F81BD"/>
                      <w:sz w:val="20"/>
                      <w:szCs w:val="20"/>
                    </w:rPr>
                  </w:pPr>
                  <w:r>
                    <w:rPr>
                      <w:rFonts w:ascii="Calibri" w:eastAsia="Calibri" w:hAnsi="Calibri" w:cs="Calibri"/>
                      <w:color w:val="4F81BD"/>
                      <w:sz w:val="20"/>
                      <w:szCs w:val="20"/>
                    </w:rPr>
                    <w:t xml:space="preserve">Opis technicznych aspektów projektu: </w:t>
                  </w:r>
                </w:p>
                <w:p w14:paraId="7D87E3F0" w14:textId="77777777" w:rsidR="00600DEE" w:rsidRDefault="00641FB5">
                  <w:pPr>
                    <w:numPr>
                      <w:ilvl w:val="1"/>
                      <w:numId w:val="6"/>
                    </w:numPr>
                    <w:spacing w:line="276" w:lineRule="auto"/>
                    <w:ind w:left="885" w:right="170" w:hanging="426"/>
                    <w:jc w:val="both"/>
                    <w:rPr>
                      <w:rFonts w:ascii="Calibri" w:eastAsia="Calibri" w:hAnsi="Calibri" w:cs="Calibri"/>
                      <w:color w:val="4F81BD"/>
                      <w:sz w:val="20"/>
                      <w:szCs w:val="20"/>
                    </w:rPr>
                  </w:pPr>
                  <w:r>
                    <w:rPr>
                      <w:rFonts w:ascii="Calibri" w:eastAsia="Calibri" w:hAnsi="Calibri" w:cs="Calibri"/>
                      <w:color w:val="4F81BD"/>
                      <w:sz w:val="20"/>
                      <w:szCs w:val="20"/>
                    </w:rPr>
                    <w:t xml:space="preserve">- standardy projektowania (np. prędkość projektowa), </w:t>
                  </w:r>
                </w:p>
                <w:p w14:paraId="61406FD0" w14:textId="77777777" w:rsidR="00600DEE" w:rsidRDefault="00641FB5">
                  <w:pPr>
                    <w:numPr>
                      <w:ilvl w:val="1"/>
                      <w:numId w:val="6"/>
                    </w:numPr>
                    <w:spacing w:line="276" w:lineRule="auto"/>
                    <w:ind w:left="885" w:right="170" w:hanging="426"/>
                    <w:jc w:val="both"/>
                    <w:rPr>
                      <w:rFonts w:ascii="Calibri" w:eastAsia="Calibri" w:hAnsi="Calibri" w:cs="Calibri"/>
                      <w:color w:val="4F81BD"/>
                      <w:sz w:val="20"/>
                      <w:szCs w:val="20"/>
                    </w:rPr>
                  </w:pPr>
                  <w:r>
                    <w:rPr>
                      <w:rFonts w:ascii="Calibri" w:eastAsia="Calibri" w:hAnsi="Calibri" w:cs="Calibri"/>
                      <w:color w:val="4F81BD"/>
                      <w:sz w:val="20"/>
                      <w:szCs w:val="20"/>
                    </w:rPr>
                    <w:t>- rodzaje i główne zakresy robot: długość i przekroje drogi, długość tuneli, długości i szerokości mostów, liczba węzłów, roboty poza głównymi jezdniami (długość ekranów akustycznych, liczba przejść dla zwierząt, itp.), itp.</w:t>
                  </w:r>
                </w:p>
                <w:p w14:paraId="000E61B2" w14:textId="77777777" w:rsidR="00600DEE" w:rsidRDefault="00641FB5">
                  <w:pPr>
                    <w:numPr>
                      <w:ilvl w:val="1"/>
                      <w:numId w:val="6"/>
                    </w:numPr>
                    <w:spacing w:line="276" w:lineRule="auto"/>
                    <w:ind w:left="885" w:right="170" w:hanging="426"/>
                    <w:jc w:val="both"/>
                    <w:rPr>
                      <w:rFonts w:ascii="Calibri" w:eastAsia="Calibri" w:hAnsi="Calibri" w:cs="Calibri"/>
                      <w:color w:val="4F81BD"/>
                      <w:sz w:val="20"/>
                      <w:szCs w:val="20"/>
                    </w:rPr>
                  </w:pPr>
                  <w:r>
                    <w:rPr>
                      <w:rFonts w:ascii="Calibri" w:eastAsia="Calibri" w:hAnsi="Calibri" w:cs="Calibri"/>
                      <w:color w:val="4F81BD"/>
                      <w:sz w:val="20"/>
                      <w:szCs w:val="20"/>
                    </w:rPr>
                    <w:t>- opis funkcjonalny (rola i zadania w sieci dróg kraju / regionu / miasta), klasa i kategoria drogi, itp.</w:t>
                  </w:r>
                </w:p>
                <w:p w14:paraId="42C6A90E" w14:textId="77777777" w:rsidR="00600DEE" w:rsidRDefault="00641FB5">
                  <w:pPr>
                    <w:numPr>
                      <w:ilvl w:val="0"/>
                      <w:numId w:val="3"/>
                    </w:numPr>
                    <w:spacing w:line="276" w:lineRule="auto"/>
                    <w:ind w:left="885" w:right="170" w:hanging="885"/>
                    <w:jc w:val="both"/>
                    <w:rPr>
                      <w:rFonts w:ascii="Calibri" w:eastAsia="Calibri" w:hAnsi="Calibri" w:cs="Calibri"/>
                      <w:color w:val="4F81BD"/>
                      <w:sz w:val="20"/>
                      <w:szCs w:val="20"/>
                    </w:rPr>
                  </w:pPr>
                  <w:r>
                    <w:rPr>
                      <w:rFonts w:ascii="Calibri" w:eastAsia="Calibri" w:hAnsi="Calibri" w:cs="Calibri"/>
                      <w:color w:val="4F81BD"/>
                      <w:sz w:val="20"/>
                      <w:szCs w:val="20"/>
                    </w:rPr>
                    <w:t xml:space="preserve">Mapa lokalizacji wskazująca główne elementy projektu.  </w:t>
                  </w:r>
                </w:p>
                <w:p w14:paraId="5A504B30" w14:textId="77777777" w:rsidR="00600DEE" w:rsidRPr="00F6627D" w:rsidRDefault="00641FB5">
                  <w:pPr>
                    <w:numPr>
                      <w:ilvl w:val="0"/>
                      <w:numId w:val="3"/>
                    </w:numPr>
                    <w:spacing w:line="276" w:lineRule="auto"/>
                    <w:ind w:left="885" w:right="170" w:hanging="885"/>
                    <w:jc w:val="both"/>
                    <w:rPr>
                      <w:rFonts w:ascii="Calibri" w:eastAsia="Calibri" w:hAnsi="Calibri" w:cs="Calibri"/>
                      <w:color w:val="4F81BD"/>
                      <w:sz w:val="20"/>
                      <w:szCs w:val="20"/>
                    </w:rPr>
                  </w:pPr>
                  <w:r>
                    <w:rPr>
                      <w:rFonts w:ascii="Calibri" w:eastAsia="Calibri" w:hAnsi="Calibri" w:cs="Calibri"/>
                      <w:color w:val="4F81BD"/>
                      <w:sz w:val="20"/>
                      <w:szCs w:val="20"/>
                    </w:rPr>
                    <w:t>Stan zaawansowania całej inwestycji (w przypadku, gdy projekt jest etapem lub częścią większej całości).</w:t>
                  </w:r>
                </w:p>
                <w:p w14:paraId="55615464" w14:textId="1690C744" w:rsidR="00600DEE" w:rsidRDefault="00641FB5">
                  <w:pPr>
                    <w:numPr>
                      <w:ilvl w:val="0"/>
                      <w:numId w:val="3"/>
                    </w:numPr>
                    <w:spacing w:line="276" w:lineRule="auto"/>
                    <w:ind w:left="885" w:right="170" w:hanging="885"/>
                    <w:jc w:val="both"/>
                    <w:rPr>
                      <w:rFonts w:ascii="Calibri" w:eastAsia="Calibri" w:hAnsi="Calibri" w:cs="Calibri"/>
                      <w:color w:val="323299"/>
                      <w:sz w:val="20"/>
                      <w:szCs w:val="20"/>
                    </w:rPr>
                  </w:pPr>
                  <w:bookmarkStart w:id="14" w:name="_heading=h.2s8eyo1" w:colFirst="0" w:colLast="0"/>
                  <w:bookmarkEnd w:id="14"/>
                  <w:r w:rsidRPr="00F6627D">
                    <w:rPr>
                      <w:rFonts w:ascii="Calibri" w:eastAsia="Calibri" w:hAnsi="Calibri" w:cs="Calibri"/>
                      <w:color w:val="4F81BD"/>
                      <w:sz w:val="20"/>
                      <w:szCs w:val="20"/>
                    </w:rPr>
                    <w:t>Kontekst projektu we właściwych strategiach/planach – określenie celów projektu</w:t>
                  </w:r>
                  <w:r w:rsidR="004D5549" w:rsidRPr="00F6627D">
                    <w:rPr>
                      <w:rFonts w:ascii="Calibri" w:eastAsia="Calibri" w:hAnsi="Calibri" w:cs="Calibri"/>
                      <w:color w:val="4F81BD"/>
                      <w:sz w:val="20"/>
                      <w:szCs w:val="20"/>
                    </w:rPr>
                    <w:t>.</w:t>
                  </w:r>
                </w:p>
              </w:tc>
            </w:tr>
          </w:tbl>
          <w:p w14:paraId="282920DC" w14:textId="77777777" w:rsidR="00600DEE" w:rsidRDefault="00641FB5">
            <w:pPr>
              <w:spacing w:before="100"/>
              <w:ind w:right="28"/>
              <w:jc w:val="both"/>
              <w:rPr>
                <w:rFonts w:ascii="Calibri" w:eastAsia="Calibri" w:hAnsi="Calibri" w:cs="Calibri"/>
                <w:sz w:val="20"/>
                <w:szCs w:val="20"/>
              </w:rPr>
            </w:pPr>
            <w:r>
              <w:rPr>
                <w:rFonts w:ascii="Calibri" w:eastAsia="Calibri" w:hAnsi="Calibri" w:cs="Calibri"/>
                <w:sz w:val="20"/>
                <w:szCs w:val="20"/>
              </w:rPr>
              <w:t xml:space="preserve">Kolejne rozdziały podręcznika zawierają szczegółowy opis działań, niezbędnych na każdym etapie AKK. </w:t>
            </w:r>
          </w:p>
          <w:p w14:paraId="4CDE725C" w14:textId="77777777" w:rsidR="00600DEE" w:rsidRDefault="00600DEE">
            <w:pPr>
              <w:ind w:right="26"/>
              <w:jc w:val="both"/>
              <w:rPr>
                <w:rFonts w:ascii="Calibri" w:eastAsia="Calibri" w:hAnsi="Calibri" w:cs="Calibri"/>
                <w:sz w:val="20"/>
                <w:szCs w:val="20"/>
              </w:rPr>
            </w:pPr>
          </w:p>
          <w:p w14:paraId="0CD6167B" w14:textId="77777777" w:rsidR="00600DEE" w:rsidRDefault="00641FB5">
            <w:pPr>
              <w:ind w:right="26"/>
              <w:jc w:val="both"/>
              <w:rPr>
                <w:rFonts w:ascii="Calibri" w:eastAsia="Calibri" w:hAnsi="Calibri" w:cs="Calibri"/>
                <w:sz w:val="20"/>
                <w:szCs w:val="20"/>
              </w:rPr>
            </w:pPr>
            <w:r>
              <w:rPr>
                <w:rFonts w:ascii="Calibri" w:eastAsia="Calibri" w:hAnsi="Calibri" w:cs="Calibri"/>
                <w:sz w:val="20"/>
                <w:szCs w:val="20"/>
              </w:rPr>
              <w:t>Ponadto załącznik A do niniejszego podręcznika zawiera rekomendowane jednostkowe koszty ekonomiczne i finansowe.</w:t>
            </w:r>
          </w:p>
        </w:tc>
        <w:tc>
          <w:tcPr>
            <w:tcW w:w="7125" w:type="dxa"/>
            <w:tcBorders>
              <w:left w:val="single" w:sz="4" w:space="0" w:color="000000"/>
            </w:tcBorders>
            <w:tcMar>
              <w:left w:w="284" w:type="dxa"/>
              <w:right w:w="284" w:type="dxa"/>
            </w:tcMar>
          </w:tcPr>
          <w:p w14:paraId="0C29251C" w14:textId="77777777" w:rsidR="00600DEE" w:rsidRPr="0045151D" w:rsidRDefault="00641FB5">
            <w:pPr>
              <w:tabs>
                <w:tab w:val="left" w:pos="7081"/>
              </w:tabs>
              <w:spacing w:after="120"/>
              <w:ind w:right="176"/>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Works on the CBA should result in a document addressing all the issues discussed in this Manual. A recommended content of a typical CBA is presented below.</w:t>
            </w:r>
          </w:p>
          <w:p w14:paraId="21814E08" w14:textId="77777777" w:rsidR="00600DEE" w:rsidRPr="0045151D" w:rsidRDefault="00600DEE">
            <w:pPr>
              <w:tabs>
                <w:tab w:val="left" w:pos="7081"/>
              </w:tabs>
              <w:spacing w:after="120"/>
              <w:ind w:right="176"/>
              <w:jc w:val="both"/>
              <w:rPr>
                <w:rFonts w:ascii="Calibri" w:eastAsia="Calibri" w:hAnsi="Calibri" w:cs="Calibri"/>
                <w:sz w:val="20"/>
                <w:szCs w:val="20"/>
                <w:lang w:val="en-GB"/>
              </w:rPr>
            </w:pPr>
          </w:p>
          <w:p w14:paraId="3F98C753" w14:textId="677F214A" w:rsidR="00D01E87" w:rsidRPr="0045151D" w:rsidRDefault="00641FB5">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1. Cost-benefit analysis – Table of contents</w:t>
            </w:r>
          </w:p>
          <w:tbl>
            <w:tblPr>
              <w:tblStyle w:val="a8"/>
              <w:tblW w:w="7171" w:type="dxa"/>
              <w:tblLayout w:type="fixed"/>
              <w:tblLook w:val="0000" w:firstRow="0" w:lastRow="0" w:firstColumn="0" w:lastColumn="0" w:noHBand="0" w:noVBand="0"/>
            </w:tblPr>
            <w:tblGrid>
              <w:gridCol w:w="1084"/>
              <w:gridCol w:w="6087"/>
            </w:tblGrid>
            <w:tr w:rsidR="00600DEE" w14:paraId="44CCD3CF" w14:textId="77777777">
              <w:trPr>
                <w:trHeight w:val="109"/>
              </w:trPr>
              <w:tc>
                <w:tcPr>
                  <w:tcW w:w="1084" w:type="dxa"/>
                  <w:tcBorders>
                    <w:top w:val="single" w:sz="4" w:space="0" w:color="FFFFFF"/>
                    <w:left w:val="single" w:sz="4" w:space="0" w:color="FFFFFF"/>
                    <w:bottom w:val="single" w:sz="4" w:space="0" w:color="FFFFFF"/>
                  </w:tcBorders>
                  <w:shd w:val="clear" w:color="auto" w:fill="A6A6A6"/>
                  <w:vAlign w:val="center"/>
                </w:tcPr>
                <w:p w14:paraId="3F2EBA19"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000000"/>
                      <w:sz w:val="18"/>
                      <w:szCs w:val="18"/>
                    </w:rPr>
                  </w:pPr>
                  <w:proofErr w:type="spellStart"/>
                  <w:r>
                    <w:rPr>
                      <w:rFonts w:ascii="Calibri" w:eastAsia="Calibri" w:hAnsi="Calibri" w:cs="Calibri"/>
                      <w:b/>
                      <w:color w:val="FFFFFF"/>
                      <w:sz w:val="18"/>
                      <w:szCs w:val="18"/>
                    </w:rPr>
                    <w:t>Section</w:t>
                  </w:r>
                  <w:proofErr w:type="spellEnd"/>
                </w:p>
              </w:tc>
              <w:tc>
                <w:tcPr>
                  <w:tcW w:w="608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7EA616FD" w14:textId="77777777" w:rsidR="00600DEE" w:rsidRDefault="00641FB5">
                  <w:pPr>
                    <w:rPr>
                      <w:rFonts w:ascii="Calibri" w:eastAsia="Calibri" w:hAnsi="Calibri" w:cs="Calibri"/>
                      <w:sz w:val="18"/>
                      <w:szCs w:val="18"/>
                    </w:rPr>
                  </w:pPr>
                  <w:proofErr w:type="spellStart"/>
                  <w:r>
                    <w:rPr>
                      <w:rFonts w:ascii="Calibri" w:eastAsia="Calibri" w:hAnsi="Calibri" w:cs="Calibri"/>
                      <w:b/>
                      <w:color w:val="FFFFFF"/>
                      <w:sz w:val="18"/>
                      <w:szCs w:val="18"/>
                    </w:rPr>
                    <w:t>Contents</w:t>
                  </w:r>
                  <w:proofErr w:type="spellEnd"/>
                  <w:r>
                    <w:rPr>
                      <w:rFonts w:ascii="Calibri" w:eastAsia="Calibri" w:hAnsi="Calibri" w:cs="Calibri"/>
                      <w:b/>
                      <w:color w:val="FFFFFF"/>
                      <w:sz w:val="18"/>
                      <w:szCs w:val="18"/>
                    </w:rPr>
                    <w:t>*</w:t>
                  </w:r>
                </w:p>
              </w:tc>
            </w:tr>
            <w:tr w:rsidR="00600DEE" w14:paraId="71A28537" w14:textId="77777777">
              <w:trPr>
                <w:trHeight w:val="109"/>
              </w:trPr>
              <w:tc>
                <w:tcPr>
                  <w:tcW w:w="1084" w:type="dxa"/>
                  <w:tcBorders>
                    <w:left w:val="single" w:sz="4" w:space="0" w:color="FFFFFF"/>
                    <w:bottom w:val="single" w:sz="4" w:space="0" w:color="FFFFFF"/>
                  </w:tcBorders>
                  <w:shd w:val="clear" w:color="auto" w:fill="DBE5F1"/>
                </w:tcPr>
                <w:p w14:paraId="00E67542" w14:textId="77777777" w:rsidR="00600DEE" w:rsidRDefault="00641FB5">
                  <w:pPr>
                    <w:pBdr>
                      <w:top w:val="nil"/>
                      <w:left w:val="nil"/>
                      <w:bottom w:val="nil"/>
                      <w:right w:val="nil"/>
                      <w:between w:val="nil"/>
                    </w:pBdr>
                    <w:spacing w:before="120" w:after="120"/>
                    <w:ind w:right="26"/>
                    <w:jc w:val="center"/>
                    <w:rPr>
                      <w:rFonts w:ascii="Calibri" w:eastAsia="Calibri" w:hAnsi="Calibri" w:cs="Calibri"/>
                      <w:b/>
                      <w:color w:val="4F81BD"/>
                      <w:sz w:val="18"/>
                      <w:szCs w:val="18"/>
                    </w:rPr>
                  </w:pPr>
                  <w:proofErr w:type="spellStart"/>
                  <w:r>
                    <w:rPr>
                      <w:rFonts w:ascii="Calibri" w:eastAsia="Calibri" w:hAnsi="Calibri" w:cs="Calibri"/>
                      <w:b/>
                      <w:color w:val="4F81BD"/>
                      <w:sz w:val="18"/>
                      <w:szCs w:val="18"/>
                    </w:rPr>
                    <w:t>Synthesis</w:t>
                  </w:r>
                  <w:proofErr w:type="spellEnd"/>
                </w:p>
              </w:tc>
              <w:tc>
                <w:tcPr>
                  <w:tcW w:w="6088" w:type="dxa"/>
                  <w:tcBorders>
                    <w:left w:val="single" w:sz="4" w:space="0" w:color="FFFFFF"/>
                    <w:bottom w:val="single" w:sz="4" w:space="0" w:color="FFFFFF"/>
                    <w:right w:val="single" w:sz="4" w:space="0" w:color="FFFFFF"/>
                  </w:tcBorders>
                  <w:shd w:val="clear" w:color="auto" w:fill="DBE5F1"/>
                </w:tcPr>
                <w:p w14:paraId="242D1C47" w14:textId="77777777" w:rsidR="00600DEE" w:rsidRDefault="00641FB5">
                  <w:pPr>
                    <w:pBdr>
                      <w:top w:val="nil"/>
                      <w:left w:val="nil"/>
                      <w:bottom w:val="nil"/>
                      <w:right w:val="nil"/>
                      <w:between w:val="nil"/>
                    </w:pBdr>
                    <w:spacing w:before="120" w:after="120"/>
                    <w:ind w:right="26"/>
                    <w:rPr>
                      <w:rFonts w:ascii="Calibri" w:eastAsia="Calibri" w:hAnsi="Calibri" w:cs="Calibri"/>
                      <w:color w:val="4F81BD"/>
                      <w:sz w:val="18"/>
                      <w:szCs w:val="18"/>
                    </w:rPr>
                  </w:pPr>
                  <w:proofErr w:type="spellStart"/>
                  <w:r>
                    <w:rPr>
                      <w:rFonts w:ascii="Calibri" w:eastAsia="Calibri" w:hAnsi="Calibri" w:cs="Calibri"/>
                      <w:color w:val="4F81BD"/>
                      <w:sz w:val="18"/>
                      <w:szCs w:val="18"/>
                    </w:rPr>
                    <w:t>Summary</w:t>
                  </w:r>
                  <w:proofErr w:type="spellEnd"/>
                  <w:r>
                    <w:rPr>
                      <w:rFonts w:ascii="Calibri" w:eastAsia="Calibri" w:hAnsi="Calibri" w:cs="Calibri"/>
                      <w:color w:val="4F81BD"/>
                      <w:sz w:val="18"/>
                      <w:szCs w:val="18"/>
                    </w:rPr>
                    <w:t xml:space="preserve"> of CBA </w:t>
                  </w:r>
                  <w:proofErr w:type="spellStart"/>
                  <w:r>
                    <w:rPr>
                      <w:rFonts w:ascii="Calibri" w:eastAsia="Calibri" w:hAnsi="Calibri" w:cs="Calibri"/>
                      <w:color w:val="4F81BD"/>
                      <w:sz w:val="18"/>
                      <w:szCs w:val="18"/>
                    </w:rPr>
                    <w:t>results</w:t>
                  </w:r>
                  <w:proofErr w:type="spellEnd"/>
                </w:p>
              </w:tc>
            </w:tr>
            <w:tr w:rsidR="00600DEE" w:rsidRPr="008C4407" w14:paraId="49C7ED4E" w14:textId="77777777" w:rsidTr="0073146B">
              <w:trPr>
                <w:trHeight w:hRule="exact" w:val="2268"/>
              </w:trPr>
              <w:tc>
                <w:tcPr>
                  <w:tcW w:w="1084" w:type="dxa"/>
                  <w:tcBorders>
                    <w:left w:val="single" w:sz="4" w:space="0" w:color="FFFFFF"/>
                    <w:bottom w:val="single" w:sz="4" w:space="0" w:color="FFFFFF"/>
                  </w:tcBorders>
                  <w:shd w:val="clear" w:color="auto" w:fill="DBE5F1"/>
                </w:tcPr>
                <w:p w14:paraId="02DD87E2"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w:t>
                  </w:r>
                </w:p>
              </w:tc>
              <w:tc>
                <w:tcPr>
                  <w:tcW w:w="6088" w:type="dxa"/>
                  <w:tcBorders>
                    <w:left w:val="single" w:sz="4" w:space="0" w:color="FFFFFF"/>
                    <w:bottom w:val="single" w:sz="4" w:space="0" w:color="FFFFFF"/>
                    <w:right w:val="single" w:sz="4" w:space="0" w:color="FFFFFF"/>
                  </w:tcBorders>
                  <w:shd w:val="clear" w:color="auto" w:fill="DBE5F1"/>
                </w:tcPr>
                <w:p w14:paraId="07B28C66" w14:textId="77777777" w:rsidR="00600DEE" w:rsidRPr="0045151D" w:rsidRDefault="00641FB5">
                  <w:pPr>
                    <w:pBdr>
                      <w:top w:val="nil"/>
                      <w:left w:val="nil"/>
                      <w:bottom w:val="nil"/>
                      <w:right w:val="nil"/>
                      <w:between w:val="nil"/>
                    </w:pBdr>
                    <w:spacing w:before="120" w:after="120"/>
                    <w:ind w:left="447" w:right="26"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Project identification and preparation of input data </w:t>
                  </w:r>
                </w:p>
                <w:p w14:paraId="67C0C75F" w14:textId="77777777" w:rsidR="00600DEE"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rPr>
                  </w:pPr>
                  <w:proofErr w:type="spellStart"/>
                  <w:r>
                    <w:rPr>
                      <w:rFonts w:ascii="Calibri" w:eastAsia="Calibri" w:hAnsi="Calibri" w:cs="Calibri"/>
                      <w:color w:val="4F81BD"/>
                      <w:sz w:val="18"/>
                      <w:szCs w:val="18"/>
                    </w:rPr>
                    <w:t>Existing</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conditions</w:t>
                  </w:r>
                  <w:proofErr w:type="spellEnd"/>
                  <w:r>
                    <w:rPr>
                      <w:rFonts w:ascii="Calibri" w:eastAsia="Calibri" w:hAnsi="Calibri" w:cs="Calibri"/>
                      <w:color w:val="4F81BD"/>
                      <w:sz w:val="18"/>
                      <w:szCs w:val="18"/>
                    </w:rPr>
                    <w:t xml:space="preserve"> </w:t>
                  </w:r>
                </w:p>
                <w:p w14:paraId="69AD7FAF"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Definition of project objectives – in the context of relevant Transport Plans/Strategies</w:t>
                  </w:r>
                </w:p>
                <w:p w14:paraId="40085AFB"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Identification/Selection of feasible project option/s</w:t>
                  </w:r>
                </w:p>
                <w:p w14:paraId="1B971312" w14:textId="77777777" w:rsidR="00600DEE"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rPr>
                  </w:pPr>
                  <w:r>
                    <w:rPr>
                      <w:rFonts w:ascii="Calibri" w:eastAsia="Calibri" w:hAnsi="Calibri" w:cs="Calibri"/>
                      <w:color w:val="4F81BD"/>
                      <w:sz w:val="18"/>
                      <w:szCs w:val="18"/>
                    </w:rPr>
                    <w:t xml:space="preserve">Project </w:t>
                  </w:r>
                  <w:proofErr w:type="spellStart"/>
                  <w:r>
                    <w:rPr>
                      <w:rFonts w:ascii="Calibri" w:eastAsia="Calibri" w:hAnsi="Calibri" w:cs="Calibri"/>
                      <w:color w:val="4F81BD"/>
                      <w:sz w:val="18"/>
                      <w:szCs w:val="18"/>
                    </w:rPr>
                    <w:t>identification</w:t>
                  </w:r>
                  <w:proofErr w:type="spellEnd"/>
                </w:p>
                <w:p w14:paraId="0DC362BF"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Preparation of input data for economic and financial analyses (traffic forecasts, investment costs, O&amp;M costs, revenues, etc.)</w:t>
                  </w:r>
                </w:p>
                <w:p w14:paraId="1BAFFE9F" w14:textId="77777777" w:rsidR="00600DEE" w:rsidRPr="0045151D" w:rsidRDefault="00600DEE">
                  <w:p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p>
              </w:tc>
            </w:tr>
            <w:tr w:rsidR="00600DEE" w:rsidRPr="008C4407" w14:paraId="4BC47EB0" w14:textId="77777777" w:rsidTr="0073146B">
              <w:trPr>
                <w:trHeight w:hRule="exact" w:val="1985"/>
              </w:trPr>
              <w:tc>
                <w:tcPr>
                  <w:tcW w:w="1084" w:type="dxa"/>
                  <w:tcBorders>
                    <w:left w:val="single" w:sz="4" w:space="0" w:color="FFFFFF"/>
                    <w:bottom w:val="single" w:sz="4" w:space="0" w:color="FFFFFF"/>
                  </w:tcBorders>
                  <w:shd w:val="clear" w:color="auto" w:fill="DBE5F1"/>
                </w:tcPr>
                <w:p w14:paraId="15E7B77C"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w:t>
                  </w:r>
                </w:p>
              </w:tc>
              <w:tc>
                <w:tcPr>
                  <w:tcW w:w="6088" w:type="dxa"/>
                  <w:tcBorders>
                    <w:left w:val="single" w:sz="4" w:space="0" w:color="FFFFFF"/>
                    <w:bottom w:val="single" w:sz="4" w:space="0" w:color="FFFFFF"/>
                    <w:right w:val="single" w:sz="4" w:space="0" w:color="FFFFFF"/>
                  </w:tcBorders>
                  <w:shd w:val="clear" w:color="auto" w:fill="DBE5F1"/>
                </w:tcPr>
                <w:p w14:paraId="7576C3F8" w14:textId="77777777" w:rsidR="00600DEE" w:rsidRDefault="00641FB5">
                  <w:pPr>
                    <w:pBdr>
                      <w:top w:val="nil"/>
                      <w:left w:val="nil"/>
                      <w:bottom w:val="nil"/>
                      <w:right w:val="nil"/>
                      <w:between w:val="nil"/>
                    </w:pBdr>
                    <w:spacing w:before="120" w:after="120"/>
                    <w:ind w:left="447" w:right="26" w:hanging="447"/>
                    <w:rPr>
                      <w:rFonts w:ascii="Calibri" w:eastAsia="Calibri" w:hAnsi="Calibri" w:cs="Calibri"/>
                      <w:color w:val="4F81BD"/>
                      <w:sz w:val="18"/>
                      <w:szCs w:val="18"/>
                    </w:rPr>
                  </w:pPr>
                  <w:proofErr w:type="spellStart"/>
                  <w:r>
                    <w:rPr>
                      <w:rFonts w:ascii="Calibri" w:eastAsia="Calibri" w:hAnsi="Calibri" w:cs="Calibri"/>
                      <w:color w:val="4F81BD"/>
                      <w:sz w:val="18"/>
                      <w:szCs w:val="18"/>
                    </w:rPr>
                    <w:t>Economic</w:t>
                  </w:r>
                  <w:proofErr w:type="spellEnd"/>
                  <w:r>
                    <w:rPr>
                      <w:rFonts w:ascii="Calibri" w:eastAsia="Calibri" w:hAnsi="Calibri" w:cs="Calibri"/>
                      <w:color w:val="4F81BD"/>
                      <w:sz w:val="18"/>
                      <w:szCs w:val="18"/>
                    </w:rPr>
                    <w:t xml:space="preserve"> Analysis</w:t>
                  </w:r>
                </w:p>
                <w:p w14:paraId="6848FC93"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Definition of assumptions for the economic analysis</w:t>
                  </w:r>
                </w:p>
                <w:p w14:paraId="530E7A6E"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Conversion from market to accounting (shadow) prices</w:t>
                  </w:r>
                </w:p>
                <w:p w14:paraId="6D7B9E6E"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Calculation of economic costs and benefits</w:t>
                  </w:r>
                </w:p>
                <w:p w14:paraId="3A79E550"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Identification, description and qualitative analysis of non-quantifiable costs and benefits (if relevant) </w:t>
                  </w:r>
                </w:p>
                <w:p w14:paraId="0CA908D5" w14:textId="55881908" w:rsidR="00600DEE" w:rsidRPr="0045151D" w:rsidRDefault="00641FB5" w:rsidP="00023AC0">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Calculation of the economic performance indicators</w:t>
                  </w:r>
                </w:p>
              </w:tc>
            </w:tr>
            <w:tr w:rsidR="00600DEE" w14:paraId="5D61CFC6" w14:textId="77777777">
              <w:trPr>
                <w:trHeight w:val="109"/>
              </w:trPr>
              <w:tc>
                <w:tcPr>
                  <w:tcW w:w="1084" w:type="dxa"/>
                  <w:tcBorders>
                    <w:top w:val="single" w:sz="4" w:space="0" w:color="FFFFFF"/>
                    <w:left w:val="single" w:sz="4" w:space="0" w:color="FFFFFF"/>
                    <w:bottom w:val="single" w:sz="4" w:space="0" w:color="FFFFFF"/>
                  </w:tcBorders>
                  <w:shd w:val="clear" w:color="auto" w:fill="A6A6A6"/>
                  <w:vAlign w:val="center"/>
                </w:tcPr>
                <w:p w14:paraId="4C3CFF54"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000000"/>
                      <w:sz w:val="18"/>
                      <w:szCs w:val="18"/>
                    </w:rPr>
                  </w:pPr>
                  <w:proofErr w:type="spellStart"/>
                  <w:r>
                    <w:rPr>
                      <w:rFonts w:ascii="Calibri" w:eastAsia="Calibri" w:hAnsi="Calibri" w:cs="Calibri"/>
                      <w:b/>
                      <w:color w:val="FFFFFF"/>
                      <w:sz w:val="18"/>
                      <w:szCs w:val="18"/>
                    </w:rPr>
                    <w:t>Section</w:t>
                  </w:r>
                  <w:proofErr w:type="spellEnd"/>
                </w:p>
              </w:tc>
              <w:tc>
                <w:tcPr>
                  <w:tcW w:w="608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B1C07BD" w14:textId="77777777" w:rsidR="00600DEE" w:rsidRDefault="00641FB5">
                  <w:pPr>
                    <w:rPr>
                      <w:rFonts w:ascii="Calibri" w:eastAsia="Calibri" w:hAnsi="Calibri" w:cs="Calibri"/>
                      <w:sz w:val="18"/>
                      <w:szCs w:val="18"/>
                    </w:rPr>
                  </w:pPr>
                  <w:proofErr w:type="spellStart"/>
                  <w:r>
                    <w:rPr>
                      <w:rFonts w:ascii="Calibri" w:eastAsia="Calibri" w:hAnsi="Calibri" w:cs="Calibri"/>
                      <w:b/>
                      <w:color w:val="FFFFFF"/>
                      <w:sz w:val="18"/>
                      <w:szCs w:val="18"/>
                    </w:rPr>
                    <w:t>Contents</w:t>
                  </w:r>
                  <w:proofErr w:type="spellEnd"/>
                  <w:r>
                    <w:rPr>
                      <w:rFonts w:ascii="Calibri" w:eastAsia="Calibri" w:hAnsi="Calibri" w:cs="Calibri"/>
                      <w:b/>
                      <w:color w:val="FFFFFF"/>
                      <w:sz w:val="18"/>
                      <w:szCs w:val="18"/>
                    </w:rPr>
                    <w:t>*</w:t>
                  </w:r>
                </w:p>
              </w:tc>
            </w:tr>
            <w:tr w:rsidR="00600DEE" w:rsidRPr="008C4407" w14:paraId="58B20008" w14:textId="77777777" w:rsidTr="0073146B">
              <w:trPr>
                <w:trHeight w:hRule="exact" w:val="1418"/>
              </w:trPr>
              <w:tc>
                <w:tcPr>
                  <w:tcW w:w="1084" w:type="dxa"/>
                  <w:tcBorders>
                    <w:left w:val="single" w:sz="4" w:space="0" w:color="FFFFFF"/>
                    <w:bottom w:val="single" w:sz="4" w:space="0" w:color="FFFFFF"/>
                  </w:tcBorders>
                  <w:shd w:val="clear" w:color="auto" w:fill="DBE5F1"/>
                </w:tcPr>
                <w:p w14:paraId="0C6CD146"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III</w:t>
                  </w:r>
                </w:p>
              </w:tc>
              <w:tc>
                <w:tcPr>
                  <w:tcW w:w="6088" w:type="dxa"/>
                  <w:tcBorders>
                    <w:left w:val="single" w:sz="4" w:space="0" w:color="FFFFFF"/>
                    <w:bottom w:val="single" w:sz="4" w:space="0" w:color="FFFFFF"/>
                    <w:right w:val="single" w:sz="4" w:space="0" w:color="FFFFFF"/>
                  </w:tcBorders>
                  <w:shd w:val="clear" w:color="auto" w:fill="DBE5F1"/>
                </w:tcPr>
                <w:p w14:paraId="45A524F3" w14:textId="77777777" w:rsidR="00600DEE" w:rsidRDefault="00641FB5">
                  <w:pPr>
                    <w:pBdr>
                      <w:top w:val="nil"/>
                      <w:left w:val="nil"/>
                      <w:bottom w:val="nil"/>
                      <w:right w:val="nil"/>
                      <w:between w:val="nil"/>
                    </w:pBdr>
                    <w:spacing w:before="120" w:after="120"/>
                    <w:ind w:right="26"/>
                    <w:rPr>
                      <w:rFonts w:ascii="Calibri" w:eastAsia="Calibri" w:hAnsi="Calibri" w:cs="Calibri"/>
                      <w:color w:val="4F81BD"/>
                      <w:sz w:val="18"/>
                      <w:szCs w:val="18"/>
                    </w:rPr>
                  </w:pPr>
                  <w:r>
                    <w:rPr>
                      <w:rFonts w:ascii="Calibri" w:eastAsia="Calibri" w:hAnsi="Calibri" w:cs="Calibri"/>
                      <w:color w:val="4F81BD"/>
                      <w:sz w:val="18"/>
                      <w:szCs w:val="18"/>
                    </w:rPr>
                    <w:t>Financial Analysis</w:t>
                  </w:r>
                </w:p>
                <w:p w14:paraId="6B8752CB" w14:textId="77777777" w:rsidR="00600DEE" w:rsidRPr="0045151D"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Definition of assumptions for the financial analysis </w:t>
                  </w:r>
                </w:p>
                <w:p w14:paraId="418031C1"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 xml:space="preserve">Evaluation of </w:t>
                  </w:r>
                  <w:proofErr w:type="spellStart"/>
                  <w:r>
                    <w:rPr>
                      <w:rFonts w:ascii="Calibri" w:eastAsia="Calibri" w:hAnsi="Calibri" w:cs="Calibri"/>
                      <w:color w:val="4F81BD"/>
                      <w:sz w:val="18"/>
                      <w:szCs w:val="18"/>
                    </w:rPr>
                    <w:t>financial</w:t>
                  </w:r>
                  <w:proofErr w:type="spellEnd"/>
                  <w:r>
                    <w:rPr>
                      <w:rFonts w:ascii="Calibri" w:eastAsia="Calibri" w:hAnsi="Calibri" w:cs="Calibri"/>
                      <w:color w:val="4F81BD"/>
                      <w:sz w:val="18"/>
                      <w:szCs w:val="18"/>
                    </w:rPr>
                    <w:t xml:space="preserve"> performance </w:t>
                  </w:r>
                  <w:proofErr w:type="spellStart"/>
                  <w:r>
                    <w:rPr>
                      <w:rFonts w:ascii="Calibri" w:eastAsia="Calibri" w:hAnsi="Calibri" w:cs="Calibri"/>
                      <w:color w:val="4F81BD"/>
                      <w:sz w:val="18"/>
                      <w:szCs w:val="18"/>
                    </w:rPr>
                    <w:t>indicators</w:t>
                  </w:r>
                  <w:proofErr w:type="spellEnd"/>
                </w:p>
                <w:p w14:paraId="6E018444"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proofErr w:type="spellStart"/>
                  <w:r>
                    <w:rPr>
                      <w:rFonts w:ascii="Calibri" w:eastAsia="Calibri" w:hAnsi="Calibri" w:cs="Calibri"/>
                      <w:color w:val="4F81BD"/>
                      <w:sz w:val="18"/>
                      <w:szCs w:val="18"/>
                    </w:rPr>
                    <w:t>Calculation</w:t>
                  </w:r>
                  <w:proofErr w:type="spellEnd"/>
                  <w:r>
                    <w:rPr>
                      <w:rFonts w:ascii="Calibri" w:eastAsia="Calibri" w:hAnsi="Calibri" w:cs="Calibri"/>
                      <w:color w:val="4F81BD"/>
                      <w:sz w:val="18"/>
                      <w:szCs w:val="18"/>
                    </w:rPr>
                    <w:t xml:space="preserve"> of  </w:t>
                  </w:r>
                  <w:proofErr w:type="spellStart"/>
                  <w:r>
                    <w:rPr>
                      <w:rFonts w:ascii="Calibri" w:eastAsia="Calibri" w:hAnsi="Calibri" w:cs="Calibri"/>
                      <w:color w:val="4F81BD"/>
                      <w:sz w:val="18"/>
                      <w:szCs w:val="18"/>
                    </w:rPr>
                    <w:t>funds</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contribution</w:t>
                  </w:r>
                  <w:proofErr w:type="spellEnd"/>
                </w:p>
                <w:p w14:paraId="4B3C05A9" w14:textId="77777777" w:rsidR="00600DEE" w:rsidRPr="0045151D" w:rsidRDefault="00641FB5">
                  <w:pPr>
                    <w:numPr>
                      <w:ilvl w:val="0"/>
                      <w:numId w:val="1"/>
                    </w:numPr>
                    <w:pBdr>
                      <w:top w:val="nil"/>
                      <w:left w:val="nil"/>
                      <w:bottom w:val="nil"/>
                      <w:right w:val="nil"/>
                      <w:between w:val="nil"/>
                    </w:pBdr>
                    <w:tabs>
                      <w:tab w:val="left" w:pos="435"/>
                    </w:tabs>
                    <w:spacing w:after="120"/>
                    <w:ind w:left="0" w:firstLine="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Verification of the project’s financial sustainability </w:t>
                  </w:r>
                </w:p>
              </w:tc>
            </w:tr>
            <w:tr w:rsidR="00600DEE" w14:paraId="0336A84F" w14:textId="77777777" w:rsidTr="0073146B">
              <w:trPr>
                <w:trHeight w:hRule="exact" w:val="1021"/>
              </w:trPr>
              <w:tc>
                <w:tcPr>
                  <w:tcW w:w="1084" w:type="dxa"/>
                  <w:tcBorders>
                    <w:left w:val="single" w:sz="4" w:space="0" w:color="FFFFFF"/>
                    <w:bottom w:val="single" w:sz="4" w:space="0" w:color="FFFFFF"/>
                  </w:tcBorders>
                  <w:shd w:val="clear" w:color="auto" w:fill="DBE5F1"/>
                </w:tcPr>
                <w:p w14:paraId="3FB8125E"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IV</w:t>
                  </w:r>
                </w:p>
              </w:tc>
              <w:tc>
                <w:tcPr>
                  <w:tcW w:w="6088" w:type="dxa"/>
                  <w:tcBorders>
                    <w:left w:val="single" w:sz="4" w:space="0" w:color="FFFFFF"/>
                    <w:bottom w:val="single" w:sz="4" w:space="0" w:color="FFFFFF"/>
                    <w:right w:val="single" w:sz="4" w:space="0" w:color="FFFFFF"/>
                  </w:tcBorders>
                  <w:shd w:val="clear" w:color="auto" w:fill="DBE5F1"/>
                </w:tcPr>
                <w:p w14:paraId="13A5635D" w14:textId="77777777" w:rsidR="00600DEE" w:rsidRDefault="00641FB5">
                  <w:pPr>
                    <w:pBdr>
                      <w:top w:val="nil"/>
                      <w:left w:val="nil"/>
                      <w:bottom w:val="nil"/>
                      <w:right w:val="nil"/>
                      <w:between w:val="nil"/>
                    </w:pBdr>
                    <w:spacing w:before="120" w:after="120"/>
                    <w:ind w:right="26"/>
                    <w:rPr>
                      <w:rFonts w:ascii="Calibri" w:eastAsia="Calibri" w:hAnsi="Calibri" w:cs="Calibri"/>
                      <w:color w:val="4F81BD"/>
                      <w:sz w:val="18"/>
                      <w:szCs w:val="18"/>
                    </w:rPr>
                  </w:pPr>
                  <w:r>
                    <w:rPr>
                      <w:rFonts w:ascii="Calibri" w:eastAsia="Calibri" w:hAnsi="Calibri" w:cs="Calibri"/>
                      <w:color w:val="4F81BD"/>
                      <w:sz w:val="18"/>
                      <w:szCs w:val="18"/>
                    </w:rPr>
                    <w:t xml:space="preserve">Project </w:t>
                  </w:r>
                  <w:proofErr w:type="spellStart"/>
                  <w:r>
                    <w:rPr>
                      <w:rFonts w:ascii="Calibri" w:eastAsia="Calibri" w:hAnsi="Calibri" w:cs="Calibri"/>
                      <w:color w:val="4F81BD"/>
                      <w:sz w:val="18"/>
                      <w:szCs w:val="18"/>
                    </w:rPr>
                    <w:t>risk</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assessment</w:t>
                  </w:r>
                  <w:proofErr w:type="spellEnd"/>
                </w:p>
                <w:p w14:paraId="4AE197A3"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proofErr w:type="spellStart"/>
                  <w:r>
                    <w:rPr>
                      <w:rFonts w:ascii="Calibri" w:eastAsia="Calibri" w:hAnsi="Calibri" w:cs="Calibri"/>
                      <w:color w:val="4F81BD"/>
                      <w:sz w:val="18"/>
                      <w:szCs w:val="18"/>
                    </w:rPr>
                    <w:t>Sensitivity</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analysis</w:t>
                  </w:r>
                  <w:proofErr w:type="spellEnd"/>
                </w:p>
                <w:p w14:paraId="4B83328A"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proofErr w:type="spellStart"/>
                  <w:r>
                    <w:rPr>
                      <w:rFonts w:ascii="Calibri" w:eastAsia="Calibri" w:hAnsi="Calibri" w:cs="Calibri"/>
                      <w:color w:val="4F81BD"/>
                      <w:sz w:val="18"/>
                      <w:szCs w:val="18"/>
                    </w:rPr>
                    <w:t>Risk</w:t>
                  </w:r>
                  <w:proofErr w:type="spellEnd"/>
                  <w:r>
                    <w:rPr>
                      <w:rFonts w:ascii="Calibri" w:eastAsia="Calibri" w:hAnsi="Calibri" w:cs="Calibri"/>
                      <w:color w:val="4F81BD"/>
                      <w:sz w:val="18"/>
                      <w:szCs w:val="18"/>
                    </w:rPr>
                    <w:t xml:space="preserve"> Analysis</w:t>
                  </w:r>
                </w:p>
              </w:tc>
            </w:tr>
          </w:tbl>
          <w:p w14:paraId="62E39FCF" w14:textId="77777777" w:rsidR="00600DEE" w:rsidRDefault="00641FB5">
            <w:pPr>
              <w:spacing w:before="120"/>
              <w:jc w:val="both"/>
              <w:rPr>
                <w:rFonts w:ascii="Calibri" w:eastAsia="Calibri" w:hAnsi="Calibri" w:cs="Calibri"/>
                <w:b/>
                <w:color w:val="323299"/>
              </w:rPr>
            </w:pPr>
            <w:r>
              <w:rPr>
                <w:rFonts w:ascii="Calibri" w:eastAsia="Calibri" w:hAnsi="Calibri" w:cs="Calibri"/>
                <w:b/>
                <w:i/>
                <w:sz w:val="16"/>
                <w:szCs w:val="16"/>
              </w:rPr>
              <w:t xml:space="preserve">Source: </w:t>
            </w:r>
            <w:proofErr w:type="spellStart"/>
            <w:r>
              <w:rPr>
                <w:rFonts w:ascii="Calibri" w:eastAsia="Calibri" w:hAnsi="Calibri" w:cs="Calibri"/>
                <w:b/>
                <w:i/>
                <w:sz w:val="16"/>
                <w:szCs w:val="16"/>
              </w:rPr>
              <w:t>proprietary</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work</w:t>
            </w:r>
            <w:proofErr w:type="spellEnd"/>
            <w:r>
              <w:rPr>
                <w:rFonts w:ascii="Calibri" w:eastAsia="Calibri" w:hAnsi="Calibri" w:cs="Calibri"/>
                <w:b/>
                <w:i/>
                <w:sz w:val="16"/>
                <w:szCs w:val="16"/>
              </w:rPr>
              <w:t>.</w:t>
            </w:r>
          </w:p>
          <w:p w14:paraId="5176C27C" w14:textId="77777777" w:rsidR="00600DEE" w:rsidRPr="0045151D" w:rsidRDefault="00641FB5">
            <w:pPr>
              <w:rPr>
                <w:rFonts w:ascii="Calibri" w:eastAsia="Calibri" w:hAnsi="Calibri" w:cs="Calibri"/>
                <w:sz w:val="16"/>
                <w:szCs w:val="16"/>
                <w:lang w:val="en-GB"/>
              </w:rPr>
            </w:pPr>
            <w:r w:rsidRPr="0045151D">
              <w:rPr>
                <w:rFonts w:ascii="Calibri" w:eastAsia="Calibri" w:hAnsi="Calibri" w:cs="Calibri"/>
                <w:sz w:val="16"/>
                <w:szCs w:val="16"/>
                <w:lang w:val="en-GB"/>
              </w:rPr>
              <w:t>* The table of contents of the cost-benefit analysis presented in the table corresponds to the broadest required scope of the project cost and benefit analysis.</w:t>
            </w:r>
          </w:p>
          <w:p w14:paraId="540FEA4F" w14:textId="77777777" w:rsidR="00600DEE" w:rsidRPr="0045151D" w:rsidRDefault="00600DEE">
            <w:pPr>
              <w:rPr>
                <w:rFonts w:ascii="Calibri" w:eastAsia="Calibri" w:hAnsi="Calibri" w:cs="Calibri"/>
                <w:sz w:val="16"/>
                <w:szCs w:val="16"/>
                <w:lang w:val="en-GB"/>
              </w:rPr>
            </w:pPr>
          </w:p>
          <w:p w14:paraId="019CBBAF" w14:textId="58B1053C" w:rsidR="00600DEE" w:rsidRPr="0045151D" w:rsidRDefault="00641FB5">
            <w:pPr>
              <w:ind w:right="26"/>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The project description input data for the CBA should include, at least, the elements described below.</w:t>
            </w:r>
          </w:p>
          <w:p w14:paraId="1A22C590" w14:textId="77777777" w:rsidR="00D01E87" w:rsidRPr="0045151D" w:rsidRDefault="00D01E87">
            <w:pPr>
              <w:ind w:right="26"/>
              <w:jc w:val="both"/>
              <w:rPr>
                <w:rFonts w:ascii="Calibri" w:eastAsia="Calibri" w:hAnsi="Calibri" w:cs="Calibri"/>
                <w:sz w:val="20"/>
                <w:szCs w:val="20"/>
                <w:lang w:val="en-GB"/>
              </w:rPr>
            </w:pPr>
          </w:p>
          <w:tbl>
            <w:tblPr>
              <w:tblStyle w:val="a9"/>
              <w:tblW w:w="7257" w:type="dxa"/>
              <w:tblLayout w:type="fixed"/>
              <w:tblLook w:val="0400" w:firstRow="0" w:lastRow="0" w:firstColumn="0" w:lastColumn="0" w:noHBand="0" w:noVBand="1"/>
            </w:tblPr>
            <w:tblGrid>
              <w:gridCol w:w="7257"/>
            </w:tblGrid>
            <w:tr w:rsidR="00600DEE" w:rsidRPr="008C4407" w14:paraId="6B613BFF" w14:textId="77777777">
              <w:trPr>
                <w:trHeight w:val="3010"/>
              </w:trPr>
              <w:tc>
                <w:tcPr>
                  <w:tcW w:w="7257" w:type="dxa"/>
                  <w:shd w:val="clear" w:color="auto" w:fill="DBE5F1"/>
                  <w:vAlign w:val="center"/>
                </w:tcPr>
                <w:p w14:paraId="74D8DA06" w14:textId="77777777" w:rsidR="00600DEE" w:rsidRDefault="00641FB5" w:rsidP="00E008AE">
                  <w:pPr>
                    <w:shd w:val="clear" w:color="auto" w:fill="DBE5F1"/>
                    <w:spacing w:line="276" w:lineRule="auto"/>
                    <w:ind w:right="405"/>
                    <w:jc w:val="center"/>
                    <w:rPr>
                      <w:rFonts w:ascii="Calibri" w:eastAsia="Calibri" w:hAnsi="Calibri" w:cs="Calibri"/>
                      <w:b/>
                      <w:color w:val="4F81BD"/>
                      <w:sz w:val="20"/>
                      <w:szCs w:val="20"/>
                    </w:rPr>
                  </w:pPr>
                  <w:r>
                    <w:rPr>
                      <w:rFonts w:ascii="Calibri" w:eastAsia="Calibri" w:hAnsi="Calibri" w:cs="Calibri"/>
                      <w:b/>
                      <w:color w:val="4F81BD"/>
                      <w:sz w:val="20"/>
                      <w:szCs w:val="20"/>
                    </w:rPr>
                    <w:t>PROJECT DESCRIPTION</w:t>
                  </w:r>
                </w:p>
                <w:p w14:paraId="3E3113E3"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Description of project technical aspects: </w:t>
                  </w:r>
                </w:p>
                <w:p w14:paraId="7BD4CCA5" w14:textId="77777777" w:rsidR="00600DEE" w:rsidRPr="0045151D" w:rsidRDefault="00641FB5" w:rsidP="00E008AE">
                  <w:pPr>
                    <w:numPr>
                      <w:ilvl w:val="1"/>
                      <w:numId w:val="6"/>
                    </w:numPr>
                    <w:shd w:val="clear" w:color="auto" w:fill="DBE5F1"/>
                    <w:spacing w:line="276" w:lineRule="auto"/>
                    <w:ind w:left="878" w:right="405" w:hanging="425"/>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 design standards used (e.g. design speed), </w:t>
                  </w:r>
                </w:p>
                <w:p w14:paraId="2DBBC656" w14:textId="77777777" w:rsidR="00600DEE" w:rsidRPr="0045151D" w:rsidRDefault="00641FB5" w:rsidP="00E008AE">
                  <w:pPr>
                    <w:numPr>
                      <w:ilvl w:val="1"/>
                      <w:numId w:val="6"/>
                    </w:numPr>
                    <w:shd w:val="clear" w:color="auto" w:fill="DBE5F1"/>
                    <w:spacing w:line="276" w:lineRule="auto"/>
                    <w:ind w:left="878" w:right="405" w:hanging="425"/>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 type of works and basic quantification: length and cross-section of road, length of tunnels, length and width of bridges, number of interchanges, works outside main alignment (length of noise walls, number of animal passes, etc.), etc. </w:t>
                  </w:r>
                </w:p>
                <w:p w14:paraId="17B49667" w14:textId="77777777" w:rsidR="00600DEE" w:rsidRPr="0045151D" w:rsidRDefault="00641FB5" w:rsidP="00E008AE">
                  <w:pPr>
                    <w:numPr>
                      <w:ilvl w:val="1"/>
                      <w:numId w:val="6"/>
                    </w:numPr>
                    <w:shd w:val="clear" w:color="auto" w:fill="DBE5F1"/>
                    <w:spacing w:line="276" w:lineRule="auto"/>
                    <w:ind w:left="878" w:right="405" w:hanging="425"/>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functional description (role and tasks within the national / regional / urban road network), road class and category.</w:t>
                  </w:r>
                </w:p>
                <w:p w14:paraId="05FABA00"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Project location map indicating main project components. </w:t>
                  </w:r>
                </w:p>
                <w:p w14:paraId="7EBE3789"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323299"/>
                      <w:sz w:val="20"/>
                      <w:szCs w:val="20"/>
                      <w:lang w:val="en-GB"/>
                    </w:rPr>
                  </w:pPr>
                  <w:r w:rsidRPr="0045151D">
                    <w:rPr>
                      <w:rFonts w:ascii="Calibri" w:eastAsia="Calibri" w:hAnsi="Calibri" w:cs="Calibri"/>
                      <w:color w:val="4F81BD"/>
                      <w:sz w:val="20"/>
                      <w:szCs w:val="20"/>
                      <w:lang w:val="en-GB"/>
                    </w:rPr>
                    <w:t>Status of the overall investment (in case of the project being a phase or a stage of a larger overall investment).</w:t>
                  </w:r>
                </w:p>
                <w:p w14:paraId="6265830C"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323299"/>
                      <w:sz w:val="20"/>
                      <w:szCs w:val="20"/>
                      <w:lang w:val="en-GB"/>
                    </w:rPr>
                  </w:pPr>
                  <w:r w:rsidRPr="0045151D">
                    <w:rPr>
                      <w:rFonts w:ascii="Calibri" w:eastAsia="Calibri" w:hAnsi="Calibri" w:cs="Calibri"/>
                      <w:color w:val="4F81BD"/>
                      <w:sz w:val="20"/>
                      <w:szCs w:val="20"/>
                      <w:lang w:val="en-GB"/>
                    </w:rPr>
                    <w:t>Context of the project in relevant Strategies/Plans – defining Project objectives</w:t>
                  </w:r>
                </w:p>
              </w:tc>
            </w:tr>
          </w:tbl>
          <w:p w14:paraId="0C47A146" w14:textId="77777777" w:rsidR="00600DEE" w:rsidRPr="0045151D" w:rsidRDefault="00641FB5">
            <w:pPr>
              <w:spacing w:before="10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following chapters of the Manual provide a detailed presentation of the actions to be taken within each phase of the CBA. </w:t>
            </w:r>
          </w:p>
          <w:p w14:paraId="3302A2D1" w14:textId="77777777" w:rsidR="00600DEE" w:rsidRPr="0045151D" w:rsidRDefault="00600DEE">
            <w:pPr>
              <w:ind w:right="26"/>
              <w:jc w:val="both"/>
              <w:rPr>
                <w:rFonts w:ascii="Calibri" w:eastAsia="Calibri" w:hAnsi="Calibri" w:cs="Calibri"/>
                <w:sz w:val="20"/>
                <w:szCs w:val="20"/>
                <w:lang w:val="en-GB"/>
              </w:rPr>
            </w:pPr>
          </w:p>
          <w:p w14:paraId="072D0219" w14:textId="77777777" w:rsidR="00600DEE" w:rsidRPr="0045151D" w:rsidRDefault="00641FB5">
            <w:pPr>
              <w:ind w:right="26"/>
              <w:jc w:val="both"/>
              <w:rPr>
                <w:rFonts w:ascii="Calibri" w:eastAsia="Calibri" w:hAnsi="Calibri" w:cs="Calibri"/>
                <w:sz w:val="20"/>
                <w:szCs w:val="20"/>
                <w:lang w:val="en-GB"/>
              </w:rPr>
            </w:pPr>
            <w:r w:rsidRPr="0045151D">
              <w:rPr>
                <w:rFonts w:ascii="Calibri" w:eastAsia="Calibri" w:hAnsi="Calibri" w:cs="Calibri"/>
                <w:sz w:val="20"/>
                <w:szCs w:val="20"/>
                <w:lang w:val="en-GB"/>
              </w:rPr>
              <w:t>Finally, Appendix A of the present Manual includes recommended economic and financial unit costs.</w:t>
            </w:r>
          </w:p>
        </w:tc>
      </w:tr>
    </w:tbl>
    <w:p w14:paraId="3B31831F" w14:textId="302B57E2" w:rsidR="00600DEE" w:rsidRDefault="00641FB5" w:rsidP="00D5736B">
      <w:pPr>
        <w:pStyle w:val="Nagwek1"/>
        <w:numPr>
          <w:ilvl w:val="0"/>
          <w:numId w:val="17"/>
        </w:numPr>
        <w:ind w:left="0" w:firstLine="0"/>
        <w:rPr>
          <w:rFonts w:ascii="Calibri" w:eastAsia="Calibri" w:hAnsi="Calibri" w:cs="Calibri"/>
          <w:color w:val="0070C0"/>
        </w:rPr>
      </w:pPr>
      <w:bookmarkStart w:id="15" w:name="_Toc95377963"/>
      <w:proofErr w:type="spellStart"/>
      <w:r>
        <w:rPr>
          <w:rFonts w:ascii="Calibri" w:eastAsia="Calibri" w:hAnsi="Calibri" w:cs="Calibri"/>
          <w:color w:val="0070C0"/>
        </w:rPr>
        <w:lastRenderedPageBreak/>
        <w:t>Faza</w:t>
      </w:r>
      <w:proofErr w:type="spellEnd"/>
      <w:r>
        <w:rPr>
          <w:rFonts w:ascii="Calibri" w:eastAsia="Calibri" w:hAnsi="Calibri" w:cs="Calibri"/>
          <w:color w:val="0070C0"/>
        </w:rPr>
        <w:t xml:space="preserve"> I: </w:t>
      </w:r>
      <w:proofErr w:type="spellStart"/>
      <w:r>
        <w:rPr>
          <w:rFonts w:ascii="Calibri" w:eastAsia="Calibri" w:hAnsi="Calibri" w:cs="Calibri"/>
          <w:color w:val="0070C0"/>
        </w:rPr>
        <w:t>Identyfikacja</w:t>
      </w:r>
      <w:proofErr w:type="spellEnd"/>
      <w:r>
        <w:rPr>
          <w:rFonts w:ascii="Calibri" w:eastAsia="Calibri" w:hAnsi="Calibri" w:cs="Calibri"/>
          <w:color w:val="0070C0"/>
        </w:rPr>
        <w:t xml:space="preserve"> </w:t>
      </w:r>
      <w:proofErr w:type="spellStart"/>
      <w:r>
        <w:rPr>
          <w:rFonts w:ascii="Calibri" w:eastAsia="Calibri" w:hAnsi="Calibri" w:cs="Calibri"/>
          <w:color w:val="0070C0"/>
        </w:rPr>
        <w:t>wariantów</w:t>
      </w:r>
      <w:proofErr w:type="spellEnd"/>
      <w:r>
        <w:rPr>
          <w:rFonts w:ascii="Calibri" w:eastAsia="Calibri" w:hAnsi="Calibri" w:cs="Calibri"/>
          <w:color w:val="0070C0"/>
        </w:rPr>
        <w:t xml:space="preserve"> </w:t>
      </w:r>
      <w:proofErr w:type="spellStart"/>
      <w:r>
        <w:rPr>
          <w:rFonts w:ascii="Calibri" w:eastAsia="Calibri" w:hAnsi="Calibri" w:cs="Calibri"/>
          <w:color w:val="0070C0"/>
        </w:rPr>
        <w:t>i</w:t>
      </w:r>
      <w:proofErr w:type="spellEnd"/>
      <w:r>
        <w:rPr>
          <w:rFonts w:ascii="Calibri" w:eastAsia="Calibri" w:hAnsi="Calibri" w:cs="Calibri"/>
          <w:color w:val="0070C0"/>
        </w:rPr>
        <w:t> </w:t>
      </w:r>
      <w:proofErr w:type="spellStart"/>
      <w:r>
        <w:rPr>
          <w:rFonts w:ascii="Calibri" w:eastAsia="Calibri" w:hAnsi="Calibri" w:cs="Calibri"/>
          <w:color w:val="0070C0"/>
        </w:rPr>
        <w:t>przygotowanie</w:t>
      </w:r>
      <w:proofErr w:type="spellEnd"/>
      <w:r>
        <w:rPr>
          <w:rFonts w:ascii="Calibri" w:eastAsia="Calibri" w:hAnsi="Calibri" w:cs="Calibri"/>
          <w:color w:val="0070C0"/>
        </w:rPr>
        <w:t xml:space="preserve"> </w:t>
      </w:r>
      <w:proofErr w:type="spellStart"/>
      <w:r>
        <w:rPr>
          <w:rFonts w:ascii="Calibri" w:eastAsia="Calibri" w:hAnsi="Calibri" w:cs="Calibri"/>
          <w:color w:val="0070C0"/>
        </w:rPr>
        <w:t>danych</w:t>
      </w:r>
      <w:proofErr w:type="spellEnd"/>
      <w:r>
        <w:rPr>
          <w:rFonts w:ascii="Calibri" w:eastAsia="Calibri" w:hAnsi="Calibri" w:cs="Calibri"/>
          <w:color w:val="0070C0"/>
        </w:rPr>
        <w:t xml:space="preserve"> </w:t>
      </w:r>
      <w:proofErr w:type="spellStart"/>
      <w:r>
        <w:rPr>
          <w:rFonts w:ascii="Calibri" w:eastAsia="Calibri" w:hAnsi="Calibri" w:cs="Calibri"/>
          <w:color w:val="0070C0"/>
        </w:rPr>
        <w:t>wejściowych</w:t>
      </w:r>
      <w:proofErr w:type="spellEnd"/>
      <w:r>
        <w:rPr>
          <w:rFonts w:ascii="Calibri" w:eastAsia="Calibri" w:hAnsi="Calibri" w:cs="Calibri"/>
          <w:color w:val="0070C0"/>
        </w:rPr>
        <w:t xml:space="preserve"> </w:t>
      </w:r>
      <w:r>
        <w:rPr>
          <w:rFonts w:ascii="Calibri" w:eastAsia="Calibri" w:hAnsi="Calibri" w:cs="Calibri"/>
          <w:color w:val="0070C0"/>
        </w:rPr>
        <w:br/>
      </w:r>
      <w:r>
        <w:rPr>
          <w:rFonts w:ascii="Calibri" w:eastAsia="Calibri" w:hAnsi="Calibri" w:cs="Calibri"/>
          <w:i/>
          <w:color w:val="0070C0"/>
        </w:rPr>
        <w:t xml:space="preserve">       Phase I: Identification of project options and preparation of input</w:t>
      </w:r>
      <w:r w:rsidR="0073146B">
        <w:rPr>
          <w:rFonts w:ascii="Calibri" w:eastAsia="Calibri" w:hAnsi="Calibri" w:cs="Calibri"/>
          <w:i/>
          <w:color w:val="0070C0"/>
        </w:rPr>
        <w:t xml:space="preserve">       da</w:t>
      </w:r>
      <w:r>
        <w:rPr>
          <w:rFonts w:ascii="Calibri" w:eastAsia="Calibri" w:hAnsi="Calibri" w:cs="Calibri"/>
          <w:i/>
          <w:color w:val="0070C0"/>
        </w:rPr>
        <w:t>ta</w:t>
      </w:r>
      <w:bookmarkEnd w:id="15"/>
      <w:r>
        <w:rPr>
          <w:rFonts w:ascii="Calibri" w:eastAsia="Calibri" w:hAnsi="Calibri" w:cs="Calibri"/>
          <w:i/>
          <w:color w:val="0070C0"/>
        </w:rPr>
        <w:t xml:space="preserve"> </w:t>
      </w:r>
    </w:p>
    <w:p w14:paraId="75801E7D" w14:textId="493EE722" w:rsidR="00600DEE" w:rsidRPr="0045151D" w:rsidRDefault="00641FB5" w:rsidP="00D5736B">
      <w:pPr>
        <w:pStyle w:val="Nagwek2"/>
        <w:numPr>
          <w:ilvl w:val="1"/>
          <w:numId w:val="17"/>
        </w:numPr>
        <w:ind w:left="0" w:firstLine="0"/>
        <w:rPr>
          <w:rFonts w:ascii="Calibri" w:eastAsia="Calibri" w:hAnsi="Calibri" w:cs="Calibri"/>
          <w:i/>
          <w:color w:val="4F81BD"/>
          <w:lang w:val="pl-PL"/>
        </w:rPr>
      </w:pPr>
      <w:bookmarkStart w:id="16" w:name="_Toc95377964"/>
      <w:r w:rsidRPr="0045151D">
        <w:rPr>
          <w:rFonts w:ascii="Calibri" w:eastAsia="Calibri" w:hAnsi="Calibri" w:cs="Calibri"/>
          <w:color w:val="4F81BD"/>
          <w:lang w:val="pl-PL"/>
        </w:rPr>
        <w:t>Podsumowanie wcześniejszych prac studialnych</w:t>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 xml:space="preserve">1.1   </w:t>
      </w:r>
      <w:proofErr w:type="spellStart"/>
      <w:r w:rsidRPr="0045151D">
        <w:rPr>
          <w:rFonts w:ascii="Calibri" w:eastAsia="Calibri" w:hAnsi="Calibri" w:cs="Calibri"/>
          <w:i/>
          <w:color w:val="4F81BD"/>
          <w:lang w:val="pl-PL"/>
        </w:rPr>
        <w:t>Summary</w:t>
      </w:r>
      <w:proofErr w:type="spellEnd"/>
      <w:r w:rsidRPr="0045151D">
        <w:rPr>
          <w:rFonts w:ascii="Calibri" w:eastAsia="Calibri" w:hAnsi="Calibri" w:cs="Calibri"/>
          <w:i/>
          <w:color w:val="4F81BD"/>
          <w:lang w:val="pl-PL"/>
        </w:rPr>
        <w:t xml:space="preserve"> of </w:t>
      </w:r>
      <w:proofErr w:type="spellStart"/>
      <w:r w:rsidRPr="0045151D">
        <w:rPr>
          <w:rFonts w:ascii="Calibri" w:eastAsia="Calibri" w:hAnsi="Calibri" w:cs="Calibri"/>
          <w:i/>
          <w:color w:val="4F81BD"/>
          <w:lang w:val="pl-PL"/>
        </w:rPr>
        <w:t>previous</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project</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studies</w:t>
      </w:r>
      <w:bookmarkEnd w:id="16"/>
      <w:proofErr w:type="spellEnd"/>
    </w:p>
    <w:tbl>
      <w:tblPr>
        <w:tblStyle w:val="aa"/>
        <w:tblW w:w="14565" w:type="dxa"/>
        <w:tblLayout w:type="fixed"/>
        <w:tblLook w:val="0400" w:firstRow="0" w:lastRow="0" w:firstColumn="0" w:lastColumn="0" w:noHBand="0" w:noVBand="1"/>
      </w:tblPr>
      <w:tblGrid>
        <w:gridCol w:w="7356"/>
        <w:gridCol w:w="7209"/>
      </w:tblGrid>
      <w:tr w:rsidR="00600DEE" w:rsidRPr="008C4407" w14:paraId="2FC7C5C9" w14:textId="77777777">
        <w:tc>
          <w:tcPr>
            <w:tcW w:w="7356" w:type="dxa"/>
            <w:tcBorders>
              <w:right w:val="single" w:sz="4" w:space="0" w:color="000000"/>
            </w:tcBorders>
            <w:tcMar>
              <w:left w:w="284" w:type="dxa"/>
              <w:right w:w="284" w:type="dxa"/>
            </w:tcMar>
          </w:tcPr>
          <w:p w14:paraId="4F1EA6A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Przed rozpoczęciem analizy ekonomicznej i finansowej należy zebrać wszystkie dane wyjściowe, uzyskane w ramach wcześniejszych prac studialnych i technicznych lub wstępnych studiów wykonalności, a także przygotować szczegółowe dane wejściowe dla każdego wariantu uwzględniając wnioski płynące ze strategii transportowej lub planu transportowego z uwzględnieniem podejścia międzygałęziowego.</w:t>
            </w:r>
          </w:p>
          <w:p w14:paraId="65EB6D3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Jeżeli wcześniej opracowane dokumenty są bezpośrednio dostępne w formie jednego lub większej liczby wstępnych studiów wykonalności (studium wykonalności, studium Techniczno-Ekonomiczno-Środowiskowego (STEŚ), Koncepcji Programowej (KP) lub innego dokumentu o podobnym charakterze), które mogą być źródłem informacji, należy je uwzględnić. Jednakże, jeżeli proces analizy prowadzący do obecnego projektu lub wykazu najlepszych wariantów był długi, realizowany z przerwami lub słabo udokumentowany, to przed przystąpieniem do AKK może zaistnieć potrzeba wykonania obszerniejszych prac przygotowawczych. Szczególnie w przypadku studium wspierającego wniosek o dofinansowanie UE, należy przedłożyć możliwie najpełniejsze podsumowanie historii identyfikacji, wyboru optymalnego wariantu realizacji projektu wraz z uzasadnieniem podjętych decyzji. w przeciwnym razie istnieje ryzyko konieczności powtórzenia poprzednich etapów analizy.</w:t>
            </w:r>
          </w:p>
          <w:p w14:paraId="13C8D09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Jeśli w przeszłości przedmiotem analizy były pewne zidentyfikowane warianty inwestycyjne i niektóre z nich odrzucono, należy streścić rezultaty wcześniejszych analiz technicznych i lokalizacyjnych oraz wszelkich innych analiz leżących u podłoża wyboru danych opcji projektowych (np. strategiczna analiza wariantów, patrz rozdział 1.4 – Identyfikacja efektywnych wariantów inwestycyjnych projektu). Należy też przedstawić wymogi prawne i środowiskowe zidentyfikowane w trakcie </w:t>
            </w:r>
            <w:r>
              <w:rPr>
                <w:rFonts w:ascii="Calibri" w:eastAsia="Calibri" w:hAnsi="Calibri" w:cs="Calibri"/>
                <w:color w:val="000000"/>
                <w:sz w:val="20"/>
                <w:szCs w:val="20"/>
              </w:rPr>
              <w:lastRenderedPageBreak/>
              <w:t>poprzednich etapów opracowania projektu oraz wszelkie kluczowe decyzje zalecające dalszą pracę nad niektórymi wariantami lub odrzucenie pozostałych. Jeśli decyzje te mogą być przedstawione w logiczny sposób i potwierdzą, że dokonano najlepszego wyboru potencjalnych wariantów inwestycyjnych przy uwzględnieniu ograniczeń wynikających z wcześniejszych decyzji, to dalsza analiza wariantów wykluczonych może nie być konieczna.</w:t>
            </w:r>
          </w:p>
          <w:p w14:paraId="19F5DD0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rozdziale 1.4 zawarte są zalecenia dotyczące wykonywania analizy wariantów </w:t>
            </w:r>
            <w:r>
              <w:rPr>
                <w:rFonts w:ascii="Calibri" w:eastAsia="Calibri" w:hAnsi="Calibri" w:cs="Calibri"/>
                <w:color w:val="000000"/>
                <w:sz w:val="20"/>
                <w:szCs w:val="20"/>
              </w:rPr>
              <w:br/>
              <w:t>(np. przebieg procesów, metodyka) które należy uwzględnić w opisie wcześniejszych (historycznych) procesów wyboru wariantu.</w:t>
            </w:r>
          </w:p>
        </w:tc>
        <w:tc>
          <w:tcPr>
            <w:tcW w:w="7209" w:type="dxa"/>
            <w:tcBorders>
              <w:left w:val="single" w:sz="4" w:space="0" w:color="000000"/>
            </w:tcBorders>
            <w:tcMar>
              <w:left w:w="284" w:type="dxa"/>
              <w:right w:w="284" w:type="dxa"/>
            </w:tcMar>
          </w:tcPr>
          <w:p w14:paraId="082D690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Before starting the CBA, it is necessary to gather all the outputs from previous project-related studies including preliminary feasibility and technical reports, and to prepare the detailed inputs for each project investment option proposed. It is necessary to refer to the conclusions of a respective transport strategy or plan based on a multi-modal transport perspective.</w:t>
            </w:r>
          </w:p>
          <w:p w14:paraId="512210D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this previous work is readily available in one or more pre-feasibility reports (feasibility study, Technical-Economic–Environmental Study (STEŚ), Programme Concept (KP) or other documents of a similar nature) from which the information can be extracted, then this should obviously be considered. However, if the process to achieve the current project or proposed shortlist of options has been long, intermittent or poorly documented, then some significant preparatory work may be needed before the CBA can begin. In particular, for an EU grant application, the best possible summary of the past history of project identification and optimal option selection must be described, and the rationale behind the choices explained. Otherwise, the risk of having to repeat previous stages of the analysis will arise.</w:t>
            </w:r>
          </w:p>
          <w:p w14:paraId="22EC30B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If some, but not all of the identified investment options were analysed in the past, and certain options were discarded on that basis, then the results of such previous technical and location studies and any other analysis underlying the choice of the retained project options should be summarised (i.e. strategic option analysis, see chapter 1.4 - Identification of effective project Investment Options). Additionally, legal and environmental requirements identified during the previous stages of project development, any key decisions recommending further work on some options or the rejection of others should also be presented. If these choices can be presented in a logical way and demonstrate that the best selection of potential </w:t>
            </w:r>
            <w:r w:rsidRPr="0045151D">
              <w:rPr>
                <w:rFonts w:ascii="Calibri" w:eastAsia="Calibri" w:hAnsi="Calibri" w:cs="Calibri"/>
                <w:color w:val="000000"/>
                <w:sz w:val="20"/>
                <w:szCs w:val="20"/>
                <w:lang w:val="en-GB"/>
              </w:rPr>
              <w:lastRenderedPageBreak/>
              <w:t>alternative investment options was made considering the constraints resulting from earlier decisions, then further analyses of the options excluded on the basis of those decisions may not be necessary.</w:t>
            </w:r>
          </w:p>
          <w:p w14:paraId="5A16A47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Chapter 1.4 below provides recommendations on option analysis (i.e. process and methodology) to be considered when describing the historical option selection processes.</w:t>
            </w:r>
          </w:p>
          <w:p w14:paraId="31AF5E77" w14:textId="77777777" w:rsidR="00600DEE" w:rsidRPr="0045151D" w:rsidRDefault="00600DEE">
            <w:pPr>
              <w:spacing w:after="120" w:line="280" w:lineRule="auto"/>
              <w:ind w:right="170"/>
              <w:rPr>
                <w:rFonts w:ascii="Calibri" w:eastAsia="Calibri" w:hAnsi="Calibri" w:cs="Calibri"/>
                <w:b/>
                <w:color w:val="323299"/>
                <w:lang w:val="en-GB"/>
              </w:rPr>
            </w:pPr>
          </w:p>
        </w:tc>
      </w:tr>
    </w:tbl>
    <w:p w14:paraId="1DFB7F99" w14:textId="4F7F8738" w:rsidR="00600DEE" w:rsidRDefault="00641FB5" w:rsidP="00D5736B">
      <w:pPr>
        <w:pStyle w:val="Nagwek2"/>
        <w:numPr>
          <w:ilvl w:val="1"/>
          <w:numId w:val="17"/>
        </w:numPr>
        <w:ind w:left="0" w:firstLine="0"/>
        <w:rPr>
          <w:rFonts w:ascii="Calibri" w:eastAsia="Calibri" w:hAnsi="Calibri" w:cs="Calibri"/>
          <w:i/>
          <w:color w:val="4F81BD"/>
        </w:rPr>
      </w:pPr>
      <w:bookmarkStart w:id="17" w:name="_Toc95377965"/>
      <w:r>
        <w:rPr>
          <w:rFonts w:ascii="Calibri" w:eastAsia="Calibri" w:hAnsi="Calibri" w:cs="Calibri"/>
          <w:color w:val="4F81BD"/>
        </w:rPr>
        <w:lastRenderedPageBreak/>
        <w:t xml:space="preserve">Stan </w:t>
      </w:r>
      <w:proofErr w:type="spellStart"/>
      <w:r>
        <w:rPr>
          <w:rFonts w:ascii="Calibri" w:eastAsia="Calibri" w:hAnsi="Calibri" w:cs="Calibri"/>
          <w:color w:val="4F81BD"/>
        </w:rPr>
        <w:t>istniejący</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1.2   Existing conditions</w:t>
      </w:r>
      <w:bookmarkEnd w:id="17"/>
    </w:p>
    <w:tbl>
      <w:tblPr>
        <w:tblStyle w:val="ab"/>
        <w:tblW w:w="14571" w:type="dxa"/>
        <w:tblLayout w:type="fixed"/>
        <w:tblLook w:val="0400" w:firstRow="0" w:lastRow="0" w:firstColumn="0" w:lastColumn="0" w:noHBand="0" w:noVBand="1"/>
      </w:tblPr>
      <w:tblGrid>
        <w:gridCol w:w="7367"/>
        <w:gridCol w:w="7204"/>
      </w:tblGrid>
      <w:tr w:rsidR="00600DEE" w:rsidRPr="007463B9" w14:paraId="46499286" w14:textId="77777777">
        <w:tc>
          <w:tcPr>
            <w:tcW w:w="7367" w:type="dxa"/>
            <w:tcBorders>
              <w:right w:val="single" w:sz="4" w:space="0" w:color="000000"/>
            </w:tcBorders>
            <w:tcMar>
              <w:left w:w="284" w:type="dxa"/>
              <w:right w:w="284" w:type="dxa"/>
            </w:tcMar>
          </w:tcPr>
          <w:p w14:paraId="545AC04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Identyfikacja inwestycji powinna być poprzedzona przedstawieniem stanu istniejącego infrastruktury transportowej, w szczególności, co najmniej, infrastruktury drogowej. </w:t>
            </w:r>
          </w:p>
          <w:p w14:paraId="38908B9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Analiza istniejącej infrastruktury powinna obejmować między innymi: </w:t>
            </w:r>
          </w:p>
          <w:p w14:paraId="1C47E11F"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parametry funkcjonalne i ruchowe,</w:t>
            </w:r>
          </w:p>
          <w:p w14:paraId="0C941DC2"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charakterystyka </w:t>
            </w:r>
            <w:proofErr w:type="spellStart"/>
            <w:r>
              <w:rPr>
                <w:rFonts w:ascii="Calibri" w:eastAsia="Calibri" w:hAnsi="Calibri" w:cs="Calibri"/>
                <w:color w:val="000000"/>
                <w:sz w:val="20"/>
                <w:szCs w:val="20"/>
              </w:rPr>
              <w:t>społeczno</w:t>
            </w:r>
            <w:proofErr w:type="spellEnd"/>
            <w:r>
              <w:rPr>
                <w:rFonts w:ascii="Calibri" w:eastAsia="Calibri" w:hAnsi="Calibri" w:cs="Calibri"/>
                <w:color w:val="000000"/>
                <w:sz w:val="20"/>
                <w:szCs w:val="20"/>
              </w:rPr>
              <w:t xml:space="preserve"> - funkcjonalna otoczenia (z uwzględnieniem charakterystyki sieci multimodalnej, jeżeli dotyczy), </w:t>
            </w:r>
          </w:p>
          <w:p w14:paraId="2946577F"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parametry techniczne i technologiczne (np. przekrój poprzeczny, klasa nośności, itd.),</w:t>
            </w:r>
          </w:p>
          <w:p w14:paraId="0A976993"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stan techniczny. </w:t>
            </w:r>
          </w:p>
          <w:p w14:paraId="6DB9D5FC" w14:textId="77777777" w:rsidR="00600DEE" w:rsidRDefault="00641FB5">
            <w:pPr>
              <w:pBdr>
                <w:top w:val="nil"/>
                <w:left w:val="nil"/>
                <w:bottom w:val="nil"/>
                <w:right w:val="nil"/>
                <w:between w:val="nil"/>
              </w:pBdr>
              <w:spacing w:before="120"/>
              <w:jc w:val="both"/>
              <w:rPr>
                <w:rFonts w:ascii="Calibri" w:eastAsia="Calibri" w:hAnsi="Calibri" w:cs="Calibri"/>
                <w:b/>
                <w:color w:val="323299"/>
                <w:sz w:val="20"/>
                <w:szCs w:val="20"/>
              </w:rPr>
            </w:pPr>
            <w:r>
              <w:rPr>
                <w:rFonts w:ascii="Calibri" w:eastAsia="Calibri" w:hAnsi="Calibri" w:cs="Calibri"/>
                <w:color w:val="000000"/>
                <w:sz w:val="20"/>
                <w:szCs w:val="20"/>
              </w:rPr>
              <w:t xml:space="preserve">Analiza stanu istniejącego powinna przedstawić aktualne problemy związane </w:t>
            </w:r>
            <w:r>
              <w:rPr>
                <w:rFonts w:ascii="Calibri" w:eastAsia="Calibri" w:hAnsi="Calibri" w:cs="Calibri"/>
                <w:color w:val="000000"/>
                <w:sz w:val="20"/>
                <w:szCs w:val="20"/>
              </w:rPr>
              <w:br/>
              <w:t>z użytkowaniem danego odcinka układu drogowego lub systemu transportowego. Musi również uwzględniać kontekst ogólnej analizy strategii/planu.</w:t>
            </w:r>
          </w:p>
        </w:tc>
        <w:tc>
          <w:tcPr>
            <w:tcW w:w="7204" w:type="dxa"/>
            <w:tcBorders>
              <w:left w:val="single" w:sz="4" w:space="0" w:color="000000"/>
            </w:tcBorders>
            <w:tcMar>
              <w:left w:w="284" w:type="dxa"/>
              <w:right w:w="284" w:type="dxa"/>
            </w:tcMar>
          </w:tcPr>
          <w:p w14:paraId="0D531D7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identification of the investment should be preceded by the presentation of the existing condition of the transport infrastructure, in particular and at least, the road infrastructure.</w:t>
            </w:r>
          </w:p>
          <w:p w14:paraId="489ED81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analysis of the existing infrastructure ought to include, inter-alia:</w:t>
            </w:r>
          </w:p>
          <w:p w14:paraId="10D5C7F9" w14:textId="77777777" w:rsidR="00600DEE"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functional</w:t>
            </w:r>
            <w:proofErr w:type="spellEnd"/>
            <w:r>
              <w:rPr>
                <w:rFonts w:ascii="Calibri" w:eastAsia="Calibri" w:hAnsi="Calibri" w:cs="Calibri"/>
                <w:color w:val="000000"/>
                <w:sz w:val="20"/>
                <w:szCs w:val="20"/>
              </w:rPr>
              <w:t xml:space="preserve"> and </w:t>
            </w:r>
            <w:proofErr w:type="spellStart"/>
            <w:r>
              <w:rPr>
                <w:rFonts w:ascii="Calibri" w:eastAsia="Calibri" w:hAnsi="Calibri" w:cs="Calibri"/>
                <w:color w:val="000000"/>
                <w:sz w:val="20"/>
                <w:szCs w:val="20"/>
              </w:rPr>
              <w:t>traffic</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parameters</w:t>
            </w:r>
            <w:proofErr w:type="spellEnd"/>
            <w:r>
              <w:rPr>
                <w:rFonts w:ascii="Calibri" w:eastAsia="Calibri" w:hAnsi="Calibri" w:cs="Calibri"/>
                <w:color w:val="000000"/>
                <w:sz w:val="20"/>
                <w:szCs w:val="20"/>
              </w:rPr>
              <w:t>,</w:t>
            </w:r>
          </w:p>
          <w:p w14:paraId="74656376"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socio-functional characteristics of the environment (including multi-modal transport view, if applicable),</w:t>
            </w:r>
          </w:p>
          <w:p w14:paraId="70A5950F"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technical and technological parameters (e.g. cross-section, axle load, etc.) ,</w:t>
            </w:r>
          </w:p>
          <w:p w14:paraId="1B544F92" w14:textId="77777777" w:rsidR="00600DEE"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technical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condition</w:t>
            </w:r>
            <w:proofErr w:type="spellEnd"/>
            <w:r>
              <w:rPr>
                <w:rFonts w:ascii="Calibri" w:eastAsia="Calibri" w:hAnsi="Calibri" w:cs="Calibri"/>
                <w:color w:val="000000"/>
                <w:sz w:val="20"/>
                <w:szCs w:val="20"/>
              </w:rPr>
              <w:t>.</w:t>
            </w:r>
          </w:p>
          <w:p w14:paraId="0C7D55E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analysis of the existing conditions should present the current problems associated with the operation of the relevant section of the road or road transport system. It should also be presented in the context of the overall Strategy/Plan analysis.</w:t>
            </w:r>
          </w:p>
          <w:p w14:paraId="3F554BCB" w14:textId="77777777" w:rsidR="00600DEE" w:rsidRPr="0045151D" w:rsidRDefault="00600DEE">
            <w:pPr>
              <w:spacing w:line="276" w:lineRule="auto"/>
              <w:ind w:right="170"/>
              <w:rPr>
                <w:rFonts w:ascii="Calibri" w:eastAsia="Calibri" w:hAnsi="Calibri" w:cs="Calibri"/>
                <w:b/>
                <w:color w:val="323299"/>
                <w:lang w:val="en-GB"/>
              </w:rPr>
            </w:pPr>
          </w:p>
        </w:tc>
      </w:tr>
    </w:tbl>
    <w:p w14:paraId="0F86E81D" w14:textId="71F7B594" w:rsidR="00600DEE" w:rsidRDefault="00641FB5" w:rsidP="00D5736B">
      <w:pPr>
        <w:pStyle w:val="Nagwek2"/>
        <w:numPr>
          <w:ilvl w:val="1"/>
          <w:numId w:val="17"/>
        </w:numPr>
        <w:ind w:left="0" w:firstLine="0"/>
        <w:rPr>
          <w:rFonts w:ascii="Calibri" w:eastAsia="Calibri" w:hAnsi="Calibri" w:cs="Calibri"/>
          <w:i/>
          <w:color w:val="4F81BD"/>
        </w:rPr>
      </w:pPr>
      <w:bookmarkStart w:id="18" w:name="_Toc95377966"/>
      <w:r>
        <w:rPr>
          <w:rFonts w:ascii="Calibri" w:eastAsia="Calibri" w:hAnsi="Calibri" w:cs="Calibri"/>
          <w:color w:val="4F81BD"/>
        </w:rPr>
        <w:lastRenderedPageBreak/>
        <w:t xml:space="preserve">Cele </w:t>
      </w:r>
      <w:proofErr w:type="spellStart"/>
      <w:r>
        <w:rPr>
          <w:rFonts w:ascii="Calibri" w:eastAsia="Calibri" w:hAnsi="Calibri" w:cs="Calibri"/>
          <w:color w:val="4F81BD"/>
        </w:rPr>
        <w:t>projektu</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1.3   Project objectives</w:t>
      </w:r>
      <w:bookmarkEnd w:id="18"/>
    </w:p>
    <w:tbl>
      <w:tblPr>
        <w:tblStyle w:val="ac"/>
        <w:tblW w:w="14565" w:type="dxa"/>
        <w:tblLayout w:type="fixed"/>
        <w:tblLook w:val="0400" w:firstRow="0" w:lastRow="0" w:firstColumn="0" w:lastColumn="0" w:noHBand="0" w:noVBand="1"/>
      </w:tblPr>
      <w:tblGrid>
        <w:gridCol w:w="7371"/>
        <w:gridCol w:w="7194"/>
      </w:tblGrid>
      <w:tr w:rsidR="00600DEE" w:rsidRPr="007463B9" w14:paraId="5FD03083" w14:textId="77777777">
        <w:tc>
          <w:tcPr>
            <w:tcW w:w="7371" w:type="dxa"/>
            <w:tcBorders>
              <w:right w:val="single" w:sz="4" w:space="0" w:color="000000"/>
            </w:tcBorders>
            <w:tcMar>
              <w:left w:w="284" w:type="dxa"/>
              <w:right w:w="284" w:type="dxa"/>
            </w:tcMar>
          </w:tcPr>
          <w:p w14:paraId="45835450" w14:textId="6D9E401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Podstawową przesłanką do realizacji projektu transportowego jest konieczność rozwiązania istniejących lub przewidywanych problemów transportowych (lub zaspokojenie </w:t>
            </w:r>
            <w:r w:rsidR="004D5549">
              <w:rPr>
                <w:rFonts w:ascii="Calibri" w:eastAsia="Calibri" w:hAnsi="Calibri" w:cs="Calibri"/>
                <w:color w:val="000000"/>
                <w:sz w:val="20"/>
                <w:szCs w:val="20"/>
              </w:rPr>
              <w:t>istniejących lub przewidywanych</w:t>
            </w:r>
            <w:r>
              <w:rPr>
                <w:rFonts w:ascii="Calibri" w:eastAsia="Calibri" w:hAnsi="Calibri" w:cs="Calibri"/>
                <w:color w:val="000000"/>
                <w:sz w:val="20"/>
                <w:szCs w:val="20"/>
              </w:rPr>
              <w:t xml:space="preserve"> potrzeb transportowych), a także kształtowania popytu na transport w kierunku zrównoważonego rozwoju. Najważniejsze problemy identyfikowane są na poziomie właściwej strategii transportowej lub planu transportowego. Określając cele pojedynczego projektu, należy przedstawić ich spójność z celami zawartymi w strategii transportowej, aktualnej na dzień sporządzania analiz oraz z celami zawartymi w Programie Operacyjnym. Posiadanie takiej strategii (na poziomie krajowym i/lub regionalnym, właściwej dla danego projektu) stanowi jeden z warunków ex-</w:t>
            </w:r>
            <w:proofErr w:type="spellStart"/>
            <w:r>
              <w:rPr>
                <w:rFonts w:ascii="Calibri" w:eastAsia="Calibri" w:hAnsi="Calibri" w:cs="Calibri"/>
                <w:color w:val="000000"/>
                <w:sz w:val="20"/>
                <w:szCs w:val="20"/>
              </w:rPr>
              <w:t>ante</w:t>
            </w:r>
            <w:proofErr w:type="spellEnd"/>
            <w:r>
              <w:rPr>
                <w:rFonts w:ascii="Calibri" w:eastAsia="Calibri" w:hAnsi="Calibri" w:cs="Calibri"/>
                <w:color w:val="000000"/>
                <w:sz w:val="20"/>
                <w:szCs w:val="20"/>
              </w:rPr>
              <w:t xml:space="preserve"> ubiegania się o dofinansowanie projektu z funduszy UE 2021-2027.</w:t>
            </w:r>
          </w:p>
          <w:p w14:paraId="5A46483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toku wcześniejszych prac analitycznych, szczegółowe cele i proponowane środki prowadzące do osiągnięcia celów projektu mogły zostać zmienione z różnych powodów. Dlatego na początku analizy powinny one zostać ponownie ocenione pod kątem skuteczności w zakresie realizacji aktualnych strategii.</w:t>
            </w:r>
          </w:p>
          <w:p w14:paraId="554E61CA" w14:textId="13F93E0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9" w:name="_heading=h.35nkun2" w:colFirst="0" w:colLast="0"/>
            <w:bookmarkEnd w:id="19"/>
            <w:r>
              <w:rPr>
                <w:rFonts w:ascii="Calibri" w:eastAsia="Calibri" w:hAnsi="Calibri" w:cs="Calibri"/>
                <w:color w:val="000000"/>
                <w:sz w:val="20"/>
                <w:szCs w:val="20"/>
              </w:rPr>
              <w:t xml:space="preserve">Środkiem do osiągnięcia celów projektu drogowego będzie zazwyczaj poprawa stanu istniejącej drogi, likwidacja zatorów komunikacyjnych, ominięcie terenu zabudowanego, zmniejszenie liczby wypadków, poprawa efektywności wykorzystania infrastruktury itp. </w:t>
            </w:r>
            <w:r>
              <w:rPr>
                <w:rFonts w:ascii="Calibri" w:eastAsia="Calibri" w:hAnsi="Calibri" w:cs="Calibri"/>
                <w:b/>
                <w:color w:val="000000"/>
                <w:sz w:val="20"/>
                <w:szCs w:val="20"/>
              </w:rPr>
              <w:t>Celem nie powinno być wybudowanie drogi o z góry założonych parametrach łączącej punkty A i B, ponieważ tak wąska definicja celu ogranicza możliwe do realizacji warianty i niweczy korzyści wynikające z AKK.</w:t>
            </w:r>
            <w:r>
              <w:rPr>
                <w:rFonts w:ascii="Calibri" w:eastAsia="Calibri" w:hAnsi="Calibri" w:cs="Calibri"/>
                <w:color w:val="000000"/>
                <w:sz w:val="20"/>
                <w:szCs w:val="20"/>
              </w:rPr>
              <w:t xml:space="preserve"> W szczególności projekty drogowe, które należy postrzegać w aspekcie wielogał</w:t>
            </w:r>
            <w:r w:rsidR="004D5549">
              <w:rPr>
                <w:rFonts w:ascii="Calibri" w:eastAsia="Calibri" w:hAnsi="Calibri" w:cs="Calibri"/>
                <w:color w:val="000000"/>
                <w:sz w:val="20"/>
                <w:szCs w:val="20"/>
              </w:rPr>
              <w:t>ę</w:t>
            </w:r>
            <w:r>
              <w:rPr>
                <w:rFonts w:ascii="Calibri" w:eastAsia="Calibri" w:hAnsi="Calibri" w:cs="Calibri"/>
                <w:color w:val="000000"/>
                <w:sz w:val="20"/>
                <w:szCs w:val="20"/>
              </w:rPr>
              <w:t>ziowym jako element odpowiedniej strategii/planu zrównoważonego rozwoju transportu, mogą przyczyniać się do rozwiazywania poniższych problemów:</w:t>
            </w:r>
          </w:p>
          <w:p w14:paraId="3B0A7878"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ograniczenie zatłoczenia poprzez eliminację „wąskich gardeł”,</w:t>
            </w:r>
          </w:p>
          <w:p w14:paraId="1BBC77A0"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zwiększenie przepustowości i/lub poprawa walorów użytkowych poprzez redukcję czasu podróży oraz kosztów eksploatacji pojazdów prowadzące do obniżenia kosztów transportu drogowego,</w:t>
            </w:r>
          </w:p>
          <w:p w14:paraId="2845FB69"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poprawa bezpieczeństwa (redukcja wypadków) poprzez działania z zakresu BRD (Bezpieczeństwa Ruchu Drogowego),</w:t>
            </w:r>
          </w:p>
          <w:p w14:paraId="1FCAAD29"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poprawa dostępności dla osób z obszarów lub regionów peryferyjnych,</w:t>
            </w:r>
          </w:p>
          <w:p w14:paraId="3D61B258"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zwiększenie atrakcyjności inwestycyjnej regionu,</w:t>
            </w:r>
          </w:p>
          <w:p w14:paraId="6803B980"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umożliwienie aktywizacji gospodarczej,</w:t>
            </w:r>
          </w:p>
          <w:p w14:paraId="71F0540A"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bookmarkStart w:id="20" w:name="_heading=h.1ksv4uv" w:colFirst="0" w:colLast="0"/>
            <w:bookmarkEnd w:id="20"/>
            <w:r>
              <w:rPr>
                <w:rFonts w:ascii="Calibri" w:eastAsia="Calibri" w:hAnsi="Calibri" w:cs="Calibri"/>
                <w:color w:val="000000"/>
                <w:sz w:val="20"/>
                <w:szCs w:val="20"/>
              </w:rPr>
              <w:t>poprawa odporności istniejącej infrastruktury na zmiany klimatu,</w:t>
            </w:r>
          </w:p>
          <w:p w14:paraId="2BD4FD18" w14:textId="78D0A283"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b/>
                <w:color w:val="000000"/>
                <w:sz w:val="20"/>
                <w:szCs w:val="20"/>
              </w:rPr>
            </w:pPr>
            <w:r>
              <w:rPr>
                <w:rFonts w:ascii="Calibri" w:eastAsia="Calibri" w:hAnsi="Calibri" w:cs="Calibri"/>
                <w:color w:val="000000"/>
                <w:sz w:val="20"/>
                <w:szCs w:val="20"/>
              </w:rPr>
              <w:t>poprawa warunków środowiskowych (np. zmniejszenie hałasu, zanieczyszczenia powietrza) mieszkańców miejscowości znajdujących się w sąsiedztwie korytarza istniejącej drogi i promowanie zrównoważoneg</w:t>
            </w:r>
            <w:r w:rsidR="004D5549">
              <w:rPr>
                <w:rFonts w:ascii="Calibri" w:eastAsia="Calibri" w:hAnsi="Calibri" w:cs="Calibri"/>
                <w:color w:val="000000"/>
                <w:sz w:val="20"/>
                <w:szCs w:val="20"/>
              </w:rPr>
              <w:t>o systemu transportowego,</w:t>
            </w:r>
          </w:p>
          <w:p w14:paraId="24FE4621"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poprawa systemu zarządzania drogami, </w:t>
            </w:r>
          </w:p>
          <w:p w14:paraId="49D5339C"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spełnianie potrzeb użytkowników w zakresie mobilności i transportu,</w:t>
            </w:r>
          </w:p>
          <w:p w14:paraId="1329B66D" w14:textId="58B03474"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poprawa do</w:t>
            </w:r>
            <w:r w:rsidR="004D5549">
              <w:rPr>
                <w:rFonts w:ascii="Calibri" w:eastAsia="Calibri" w:hAnsi="Calibri" w:cs="Calibri"/>
                <w:color w:val="000000"/>
                <w:sz w:val="20"/>
                <w:szCs w:val="20"/>
              </w:rPr>
              <w:t>stępności dla osób z ograniczoną</w:t>
            </w:r>
            <w:r>
              <w:rPr>
                <w:rFonts w:ascii="Calibri" w:eastAsia="Calibri" w:hAnsi="Calibri" w:cs="Calibri"/>
                <w:color w:val="000000"/>
                <w:sz w:val="20"/>
                <w:szCs w:val="20"/>
              </w:rPr>
              <w:t xml:space="preserve"> mobilnością.</w:t>
            </w:r>
          </w:p>
          <w:p w14:paraId="42482367" w14:textId="51EA24E5" w:rsidR="00600DEE" w:rsidRDefault="00641FB5" w:rsidP="004D5549">
            <w:pPr>
              <w:pBdr>
                <w:top w:val="nil"/>
                <w:left w:val="nil"/>
                <w:bottom w:val="nil"/>
                <w:right w:val="nil"/>
                <w:between w:val="nil"/>
              </w:pBdr>
              <w:spacing w:before="120"/>
              <w:jc w:val="both"/>
              <w:rPr>
                <w:rFonts w:ascii="Calibri" w:eastAsia="Calibri" w:hAnsi="Calibri" w:cs="Calibri"/>
                <w:color w:val="000000"/>
                <w:sz w:val="20"/>
                <w:szCs w:val="20"/>
              </w:rPr>
            </w:pPr>
            <w:bookmarkStart w:id="21" w:name="_heading=h.44sinio" w:colFirst="0" w:colLast="0"/>
            <w:bookmarkEnd w:id="21"/>
            <w:r>
              <w:rPr>
                <w:rFonts w:ascii="Calibri" w:eastAsia="Calibri" w:hAnsi="Calibri" w:cs="Calibri"/>
                <w:color w:val="000000"/>
                <w:sz w:val="20"/>
                <w:szCs w:val="20"/>
              </w:rPr>
              <w:t>Cele projektu powinny zostać określone ilościowo i o ile to możliwe, ujęte we wskaźniki (wynikające z przeprowadzonej analizy) logicznie powiązane z rozwiązywaniem problemów i korzyściami opisanymi powyżej (zdefiniowane z uwzględnieniem celów strategii/planu i ujednolicone z nimi). Na przykład, wskaźniki związane ze spodziewanymi natężeniami ruchu, oszczę</w:t>
            </w:r>
            <w:r w:rsidR="004D5549">
              <w:rPr>
                <w:rFonts w:ascii="Calibri" w:eastAsia="Calibri" w:hAnsi="Calibri" w:cs="Calibri"/>
                <w:color w:val="000000"/>
                <w:sz w:val="20"/>
                <w:szCs w:val="20"/>
              </w:rPr>
              <w:t>dnościami czasu podróży, średnimi prędkościami</w:t>
            </w:r>
            <w:r>
              <w:rPr>
                <w:rFonts w:ascii="Calibri" w:eastAsia="Calibri" w:hAnsi="Calibri" w:cs="Calibri"/>
                <w:color w:val="000000"/>
                <w:sz w:val="20"/>
                <w:szCs w:val="20"/>
              </w:rPr>
              <w:t xml:space="preserve"> podróży, poprawą bezpieczeństwa ruchu, emisją gazów cieplarnianych lub zanieczyszczeń powietrza, zwiększoną odpornością na zmiany klimatu itd.</w:t>
            </w:r>
          </w:p>
        </w:tc>
        <w:tc>
          <w:tcPr>
            <w:tcW w:w="7194" w:type="dxa"/>
            <w:tcBorders>
              <w:left w:val="single" w:sz="4" w:space="0" w:color="000000"/>
            </w:tcBorders>
            <w:tcMar>
              <w:left w:w="284" w:type="dxa"/>
              <w:right w:w="284" w:type="dxa"/>
            </w:tcMar>
          </w:tcPr>
          <w:p w14:paraId="6482FBE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primary reason for implementing a transport project is addressing an existing or expected transport problem (or meeting  an existing or expected transport needs) as well as influencing transport demand towards sustainable development. Main problems are usually identified at the level of the relevant transport strategy. Therefore, when presenting the goals for a single project, one should demonstrate their consistency with aims of the transport strategy valid as of the date of the analysis and alignment with the Operational Programme priorities. Existence of such strategy (at national and/or regional level, the relevant one/s for the project) constitutes one of the ex-ante conditionalities for applying for co-financing of the project from EU funds 2021-2027.</w:t>
            </w:r>
          </w:p>
          <w:p w14:paraId="1006FD2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course of any earlier analyses of the project, detailed objectives and measures leading to achievement of the project objectives could have changed due to various circumstances. Therefore, at the beginning of the analysis, any previously assumed project objectives and measures should be reassessed in terms of current strategies’ implementation. </w:t>
            </w:r>
          </w:p>
          <w:p w14:paraId="772A7D0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means to achieve a road project’s objectives will usually involve: improvement of the condition of an existing road, elimination of traffic congestion, bypassing a built-up area, reduction of the number of road accidents, improvement of road mobility efficiency, etc. </w:t>
            </w:r>
            <w:r w:rsidRPr="0045151D">
              <w:rPr>
                <w:rFonts w:ascii="Calibri" w:eastAsia="Calibri" w:hAnsi="Calibri" w:cs="Calibri"/>
                <w:b/>
                <w:color w:val="000000"/>
                <w:sz w:val="20"/>
                <w:szCs w:val="20"/>
                <w:lang w:val="en-GB"/>
              </w:rPr>
              <w:t>The objective should not be defined as the construction of a road of pre-determined parameters between points A and B, since such narrowly defined objective limits the options available and negates the benefits of the CBA</w:t>
            </w:r>
            <w:r w:rsidRPr="0045151D">
              <w:rPr>
                <w:rFonts w:ascii="Calibri" w:eastAsia="Calibri" w:hAnsi="Calibri" w:cs="Calibri"/>
                <w:color w:val="000000"/>
                <w:sz w:val="20"/>
                <w:szCs w:val="20"/>
                <w:lang w:val="en-GB"/>
              </w:rPr>
              <w:t>. In particular, road projects may typically contribute to resolution of the following problems that need to be considered within a multi-modal view as part of the relevant Strategy/Plan for sustainable transport development:</w:t>
            </w:r>
          </w:p>
          <w:p w14:paraId="340BA121"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reduction of congestion by resolving capacity constraints,</w:t>
            </w:r>
          </w:p>
          <w:p w14:paraId="3D314754"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the capacity and/or performance by reducing travel time and vehicle operating costs leading to a lowering of road transport costs,</w:t>
            </w:r>
          </w:p>
          <w:p w14:paraId="268A4147"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road safety conditions (reducing accidents) by adopting road traffic safety measures,</w:t>
            </w:r>
          </w:p>
          <w:p w14:paraId="20F6F984"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improvements in accessibility for people in peripheral areas or regions,</w:t>
            </w:r>
          </w:p>
          <w:p w14:paraId="3DCF03B0"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increase of region investment attractiveness,</w:t>
            </w:r>
          </w:p>
          <w:p w14:paraId="49CD3C65"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contribution to the region’s economic reactivation,</w:t>
            </w:r>
          </w:p>
          <w:p w14:paraId="6192D724"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increase in climate change resilience of existing infrastructure,</w:t>
            </w:r>
          </w:p>
          <w:p w14:paraId="595461DC" w14:textId="17C615AB"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improvement of the environmental conditions (i.e. reducing noise, air pollution levels) for inhabitants of areas adjacent </w:t>
            </w:r>
            <w:r w:rsidR="004D5549">
              <w:rPr>
                <w:rFonts w:ascii="Calibri" w:eastAsia="Calibri" w:hAnsi="Calibri" w:cs="Calibri"/>
                <w:color w:val="000000"/>
                <w:sz w:val="20"/>
                <w:szCs w:val="20"/>
                <w:lang w:val="en-GB"/>
              </w:rPr>
              <w:t xml:space="preserve">to </w:t>
            </w:r>
            <w:r w:rsidRPr="0045151D">
              <w:rPr>
                <w:rFonts w:ascii="Calibri" w:eastAsia="Calibri" w:hAnsi="Calibri" w:cs="Calibri"/>
                <w:color w:val="000000"/>
                <w:sz w:val="20"/>
                <w:szCs w:val="20"/>
                <w:lang w:val="en-GB"/>
              </w:rPr>
              <w:t>the existing road corridor, and promoting a sustainable transport system.</w:t>
            </w:r>
          </w:p>
          <w:p w14:paraId="153B1056"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road management system,</w:t>
            </w:r>
          </w:p>
          <w:p w14:paraId="15EE7DCC"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proofErr w:type="spellStart"/>
            <w:r w:rsidRPr="0045151D">
              <w:rPr>
                <w:rFonts w:ascii="Calibri" w:eastAsia="Calibri" w:hAnsi="Calibri" w:cs="Calibri"/>
                <w:color w:val="000000"/>
                <w:sz w:val="20"/>
                <w:szCs w:val="20"/>
                <w:lang w:val="en-GB"/>
              </w:rPr>
              <w:t>fulfillment</w:t>
            </w:r>
            <w:proofErr w:type="spellEnd"/>
            <w:r w:rsidRPr="0045151D">
              <w:rPr>
                <w:rFonts w:ascii="Calibri" w:eastAsia="Calibri" w:hAnsi="Calibri" w:cs="Calibri"/>
                <w:color w:val="000000"/>
                <w:sz w:val="20"/>
                <w:szCs w:val="20"/>
                <w:lang w:val="en-GB"/>
              </w:rPr>
              <w:t xml:space="preserve"> of </w:t>
            </w:r>
            <w:proofErr w:type="spellStart"/>
            <w:r w:rsidRPr="0045151D">
              <w:rPr>
                <w:rFonts w:ascii="Calibri" w:eastAsia="Calibri" w:hAnsi="Calibri" w:cs="Calibri"/>
                <w:color w:val="000000"/>
                <w:sz w:val="20"/>
                <w:szCs w:val="20"/>
                <w:lang w:val="en-GB"/>
              </w:rPr>
              <w:t>users</w:t>
            </w:r>
            <w:proofErr w:type="spellEnd"/>
            <w:r w:rsidRPr="0045151D">
              <w:rPr>
                <w:rFonts w:ascii="Calibri" w:eastAsia="Calibri" w:hAnsi="Calibri" w:cs="Calibri"/>
                <w:color w:val="000000"/>
                <w:sz w:val="20"/>
                <w:szCs w:val="20"/>
                <w:lang w:val="en-GB"/>
              </w:rPr>
              <w:t xml:space="preserve"> needs in terms of mobility and transport,</w:t>
            </w:r>
          </w:p>
          <w:p w14:paraId="795CCAAE"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accessibility for users with limited mobility.</w:t>
            </w:r>
          </w:p>
          <w:p w14:paraId="77D871A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58D7BB9"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323299"/>
                <w:sz w:val="20"/>
                <w:szCs w:val="20"/>
                <w:lang w:val="en-GB"/>
              </w:rPr>
            </w:pPr>
            <w:r w:rsidRPr="0045151D">
              <w:rPr>
                <w:rFonts w:ascii="Calibri" w:eastAsia="Calibri" w:hAnsi="Calibri" w:cs="Calibri"/>
                <w:color w:val="000000"/>
                <w:sz w:val="20"/>
                <w:szCs w:val="20"/>
                <w:lang w:val="en-GB"/>
              </w:rPr>
              <w:t>Project objectives should be quantified and targeted with the use of indicators (related to the present analysis) when possible, and logically linked with the solutions of problems and benefits described above (defined and aligned with Strategy/Plan objectives). For example, indicators including expected traffic volumes, travel time savings, average travel speeds, traffic safety improvements, GHG or air pollutants emissions, increased climate resilience, etc.</w:t>
            </w:r>
          </w:p>
        </w:tc>
      </w:tr>
    </w:tbl>
    <w:p w14:paraId="14B0899B" w14:textId="1CDD5972" w:rsidR="0073146B" w:rsidRDefault="00641FB5" w:rsidP="00D5736B">
      <w:pPr>
        <w:pStyle w:val="Nagwek2"/>
        <w:numPr>
          <w:ilvl w:val="1"/>
          <w:numId w:val="17"/>
        </w:numPr>
        <w:ind w:left="0" w:right="28" w:firstLine="0"/>
        <w:rPr>
          <w:rFonts w:ascii="Calibri" w:eastAsia="Calibri" w:hAnsi="Calibri" w:cs="Calibri"/>
          <w:i/>
          <w:color w:val="4F81BD"/>
        </w:rPr>
      </w:pPr>
      <w:bookmarkStart w:id="22" w:name="_Toc91596229"/>
      <w:bookmarkStart w:id="23" w:name="_Toc95377967"/>
      <w:proofErr w:type="spellStart"/>
      <w:r>
        <w:rPr>
          <w:rFonts w:ascii="Calibri" w:eastAsia="Calibri" w:hAnsi="Calibri" w:cs="Calibri"/>
          <w:color w:val="4F81BD"/>
        </w:rPr>
        <w:lastRenderedPageBreak/>
        <w:t>Identyfikacja</w:t>
      </w:r>
      <w:proofErr w:type="spellEnd"/>
      <w:r>
        <w:rPr>
          <w:rFonts w:ascii="Calibri" w:eastAsia="Calibri" w:hAnsi="Calibri" w:cs="Calibri"/>
          <w:color w:val="4F81BD"/>
        </w:rPr>
        <w:t xml:space="preserve"> </w:t>
      </w:r>
      <w:proofErr w:type="spellStart"/>
      <w:r>
        <w:rPr>
          <w:rFonts w:ascii="Calibri" w:eastAsia="Calibri" w:hAnsi="Calibri" w:cs="Calibri"/>
          <w:color w:val="4F81BD"/>
        </w:rPr>
        <w:t>efektywnych</w:t>
      </w:r>
      <w:proofErr w:type="spellEnd"/>
      <w:r>
        <w:rPr>
          <w:rFonts w:ascii="Calibri" w:eastAsia="Calibri" w:hAnsi="Calibri" w:cs="Calibri"/>
          <w:color w:val="4F81BD"/>
        </w:rPr>
        <w:t xml:space="preserve"> </w:t>
      </w:r>
      <w:proofErr w:type="spellStart"/>
      <w:r>
        <w:rPr>
          <w:rFonts w:ascii="Calibri" w:eastAsia="Calibri" w:hAnsi="Calibri" w:cs="Calibri"/>
          <w:color w:val="4F81BD"/>
        </w:rPr>
        <w:t>wariantów</w:t>
      </w:r>
      <w:proofErr w:type="spellEnd"/>
      <w:r>
        <w:rPr>
          <w:rFonts w:ascii="Calibri" w:eastAsia="Calibri" w:hAnsi="Calibri" w:cs="Calibri"/>
          <w:color w:val="4F81BD"/>
        </w:rPr>
        <w:t xml:space="preserve"> </w:t>
      </w:r>
      <w:proofErr w:type="spellStart"/>
      <w:r>
        <w:rPr>
          <w:rFonts w:ascii="Calibri" w:eastAsia="Calibri" w:hAnsi="Calibri" w:cs="Calibri"/>
          <w:color w:val="4F81BD"/>
        </w:rPr>
        <w:t>inwestycyjnych</w:t>
      </w:r>
      <w:proofErr w:type="spellEnd"/>
      <w:r>
        <w:rPr>
          <w:rFonts w:ascii="Calibri" w:eastAsia="Calibri" w:hAnsi="Calibri" w:cs="Calibri"/>
          <w:color w:val="4F81BD"/>
        </w:rPr>
        <w:t xml:space="preserve"> </w:t>
      </w:r>
      <w:proofErr w:type="spellStart"/>
      <w:r>
        <w:rPr>
          <w:rFonts w:ascii="Calibri" w:eastAsia="Calibri" w:hAnsi="Calibri" w:cs="Calibri"/>
          <w:color w:val="4F81BD"/>
        </w:rPr>
        <w:t>projektu</w:t>
      </w:r>
      <w:bookmarkEnd w:id="22"/>
      <w:bookmarkEnd w:id="23"/>
      <w:proofErr w:type="spellEnd"/>
      <w:r>
        <w:rPr>
          <w:rFonts w:ascii="Calibri" w:eastAsia="Calibri" w:hAnsi="Calibri" w:cs="Calibri"/>
          <w:color w:val="4F81BD"/>
        </w:rPr>
        <w:t xml:space="preserve">           </w:t>
      </w:r>
    </w:p>
    <w:p w14:paraId="50E1F64B" w14:textId="610FA60E" w:rsidR="00600DEE" w:rsidRPr="0073146B" w:rsidRDefault="00641FB5" w:rsidP="0073146B">
      <w:pPr>
        <w:pStyle w:val="Nagwek2"/>
        <w:numPr>
          <w:ilvl w:val="0"/>
          <w:numId w:val="0"/>
        </w:numPr>
        <w:ind w:right="28" w:firstLine="720"/>
        <w:rPr>
          <w:rFonts w:ascii="Calibri" w:eastAsia="Calibri" w:hAnsi="Calibri" w:cs="Calibri"/>
          <w:i/>
          <w:color w:val="4F81BD"/>
        </w:rPr>
      </w:pPr>
      <w:bookmarkStart w:id="24" w:name="_Toc95377968"/>
      <w:r w:rsidRPr="0073146B">
        <w:rPr>
          <w:rFonts w:ascii="Calibri" w:eastAsia="Calibri" w:hAnsi="Calibri" w:cs="Calibri"/>
          <w:i/>
          <w:color w:val="4F81BD"/>
        </w:rPr>
        <w:t>Identification of effective project Investment Options</w:t>
      </w:r>
      <w:bookmarkEnd w:id="24"/>
    </w:p>
    <w:tbl>
      <w:tblPr>
        <w:tblStyle w:val="ad"/>
        <w:tblW w:w="14571" w:type="dxa"/>
        <w:tblLayout w:type="fixed"/>
        <w:tblLook w:val="0400" w:firstRow="0" w:lastRow="0" w:firstColumn="0" w:lastColumn="0" w:noHBand="0" w:noVBand="1"/>
      </w:tblPr>
      <w:tblGrid>
        <w:gridCol w:w="7367"/>
        <w:gridCol w:w="7204"/>
      </w:tblGrid>
      <w:tr w:rsidR="00600DEE" w:rsidRPr="007463B9" w14:paraId="0B3DE926" w14:textId="77777777" w:rsidTr="00DC3FFD">
        <w:tc>
          <w:tcPr>
            <w:tcW w:w="7367" w:type="dxa"/>
            <w:tcBorders>
              <w:right w:val="single" w:sz="4" w:space="0" w:color="000000"/>
            </w:tcBorders>
            <w:tcMar>
              <w:left w:w="284" w:type="dxa"/>
              <w:right w:w="284" w:type="dxa"/>
            </w:tcMar>
          </w:tcPr>
          <w:p w14:paraId="07B279E2" w14:textId="0ECFFE4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Cele wynikające z planów /strategii transportowych, oparte na ko</w:t>
            </w:r>
            <w:r w:rsidR="00F6627D">
              <w:rPr>
                <w:rFonts w:ascii="Calibri" w:eastAsia="Calibri" w:hAnsi="Calibri" w:cs="Calibri"/>
                <w:color w:val="000000"/>
                <w:sz w:val="20"/>
                <w:szCs w:val="20"/>
              </w:rPr>
              <w:t xml:space="preserve">mpleksowej analizie wszystkich </w:t>
            </w:r>
            <w:r>
              <w:rPr>
                <w:rFonts w:ascii="Calibri" w:eastAsia="Calibri" w:hAnsi="Calibri" w:cs="Calibri"/>
                <w:color w:val="000000"/>
                <w:sz w:val="20"/>
                <w:szCs w:val="20"/>
              </w:rPr>
              <w:t>aspektów dotyczących mobilności, można osiągnąć na kilka sposobów. Oznacza to, że istnieje kilka możliwych rozwiązań obejmujących szereg wariantów inwestycyjnych. Każdy potencjalny wariant, który realizuje cele planowanego projektu, należy zidentyfikować na wstępnym etapie opracowania projektu –</w:t>
            </w:r>
            <w:r w:rsidR="00F6627D">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Faza I. </w:t>
            </w:r>
          </w:p>
          <w:p w14:paraId="64FA9663" w14:textId="66F04B7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trakcie pierwszego etapu analizy wariantów (dla projektów nie będących przebudowami/</w:t>
            </w:r>
            <w:r w:rsidR="00F6627D">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modernizacjami istniejących dróg), zazwyczaj dokonuje się </w:t>
            </w:r>
            <w:r>
              <w:rPr>
                <w:rFonts w:ascii="Calibri" w:eastAsia="Calibri" w:hAnsi="Calibri" w:cs="Calibri"/>
                <w:b/>
                <w:color w:val="000000"/>
                <w:sz w:val="20"/>
                <w:szCs w:val="20"/>
              </w:rPr>
              <w:t xml:space="preserve">analizy </w:t>
            </w:r>
            <w:r>
              <w:rPr>
                <w:rFonts w:ascii="Calibri" w:eastAsia="Calibri" w:hAnsi="Calibri" w:cs="Calibri"/>
                <w:b/>
                <w:color w:val="000000"/>
                <w:sz w:val="20"/>
                <w:szCs w:val="20"/>
              </w:rPr>
              <w:lastRenderedPageBreak/>
              <w:t>wariantów strategicznych</w:t>
            </w:r>
            <w:r>
              <w:rPr>
                <w:rFonts w:ascii="Calibri" w:eastAsia="Calibri" w:hAnsi="Calibri" w:cs="Calibri"/>
                <w:color w:val="000000"/>
                <w:sz w:val="20"/>
                <w:szCs w:val="20"/>
              </w:rPr>
              <w:t xml:space="preserve">, polegającej na porównaniu wszystkich właściwych kryteriów (tzn. technicznych, prawnych, środowiskowych, ekonomicznych – w oparciu o wstępne obliczenia – lub politycznych uwarunkowań) oraz wyborze najbardziej obiecujących rozwiązań w kontekście celów planów/strategii transportowych. </w:t>
            </w:r>
          </w:p>
          <w:p w14:paraId="7C683225" w14:textId="091695B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Na pierwszym etapie analizy, rozmaite techniki lub narzędzia mogą być stosowane w celu wyboru wariantu(ów) do przeprowadzenia późniejszej analizy kosztów i korzyści. Narzędzia te powinny umożliwiać przeprowadzenie w przejrzysty sposób solidnej, kompleksowej, spójnej, i jednoznacznej analizy. Na przykład, do opracowania listy preferowanych wariantów inwestycyjnych pod kątem osiągnięcia założonych celów, może posłużyć analiza wielokryterialna (Multi-</w:t>
            </w:r>
            <w:proofErr w:type="spellStart"/>
            <w:r>
              <w:rPr>
                <w:rFonts w:ascii="Calibri" w:eastAsia="Calibri" w:hAnsi="Calibri" w:cs="Calibri"/>
                <w:color w:val="000000"/>
                <w:sz w:val="20"/>
                <w:szCs w:val="20"/>
              </w:rPr>
              <w:t>Criteria</w:t>
            </w:r>
            <w:proofErr w:type="spellEnd"/>
            <w:r>
              <w:rPr>
                <w:rFonts w:ascii="Calibri" w:eastAsia="Calibri" w:hAnsi="Calibri" w:cs="Calibri"/>
                <w:color w:val="000000"/>
                <w:sz w:val="20"/>
                <w:szCs w:val="20"/>
              </w:rPr>
              <w:t xml:space="preserve"> Analysis – MCA). Analiza MCA jest przeprowadzana z zastosowaniem jednoznacznie określonych racjonalnych kryteriów, co pozwala oceniającym ustalić, w jakim stopniu poszczególne cele inwestycji zostaną osiągnięte dzięki zastosowaniu dostępnych rozwiązań. Jej celem może być uszeregowanie (ranking) wariantów wg preferencji lub wyłonienie krótkiej listy wariantów do dalszych bardziej szczegółowych analiz. Inne sposoby oceny wariantów, jak np. analiza SWOT (</w:t>
            </w:r>
            <w:proofErr w:type="spellStart"/>
            <w:r>
              <w:rPr>
                <w:rFonts w:ascii="Calibri" w:eastAsia="Calibri" w:hAnsi="Calibri" w:cs="Calibri"/>
                <w:color w:val="000000"/>
                <w:sz w:val="20"/>
                <w:szCs w:val="20"/>
              </w:rPr>
              <w:t>Strenghts-Weaknesses-Opportunities-Threats</w:t>
            </w:r>
            <w:proofErr w:type="spellEnd"/>
            <w:r>
              <w:rPr>
                <w:rFonts w:ascii="Calibri" w:eastAsia="Calibri" w:hAnsi="Calibri" w:cs="Calibri"/>
                <w:color w:val="000000"/>
                <w:sz w:val="20"/>
                <w:szCs w:val="20"/>
              </w:rPr>
              <w:t>) pozwalając</w:t>
            </w:r>
            <w:r w:rsidR="00BD6864">
              <w:rPr>
                <w:rFonts w:ascii="Calibri" w:eastAsia="Calibri" w:hAnsi="Calibri" w:cs="Calibri"/>
                <w:color w:val="000000"/>
                <w:sz w:val="20"/>
                <w:szCs w:val="20"/>
              </w:rPr>
              <w:t>a określić potencjalne korzyści</w:t>
            </w:r>
            <w:r w:rsidR="00F6627D">
              <w:rPr>
                <w:rFonts w:ascii="Calibri" w:eastAsia="Calibri" w:hAnsi="Calibri" w:cs="Calibri"/>
                <w:color w:val="000000"/>
                <w:sz w:val="20"/>
                <w:szCs w:val="20"/>
              </w:rPr>
              <w:t xml:space="preserve"> i</w:t>
            </w:r>
            <w:r>
              <w:rPr>
                <w:rFonts w:ascii="Calibri" w:eastAsia="Calibri" w:hAnsi="Calibri" w:cs="Calibri"/>
                <w:color w:val="000000"/>
                <w:sz w:val="20"/>
                <w:szCs w:val="20"/>
              </w:rPr>
              <w:t xml:space="preserve"> zagrożenia związane z projektem w odniesieniu do aspektów instytucjonalnych, prawnych, technicznych, ekonomicznych, zagospodarowania przestrzennego, ekologicznych i społecznych, także mogą być w niektórych przypadkach pomocne. Jeśli to tylko możliwe, analizę tę należy prowadzić w ujęciu wielogałęziowym.</w:t>
            </w:r>
          </w:p>
          <w:p w14:paraId="4458C20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25" w:name="_heading=h.z337ya" w:colFirst="0" w:colLast="0"/>
            <w:bookmarkEnd w:id="25"/>
            <w:r>
              <w:rPr>
                <w:rFonts w:ascii="Calibri" w:eastAsia="Calibri" w:hAnsi="Calibri" w:cs="Calibri"/>
                <w:color w:val="000000"/>
                <w:sz w:val="20"/>
                <w:szCs w:val="20"/>
              </w:rPr>
              <w:t xml:space="preserve">Dalsze </w:t>
            </w:r>
            <w:r>
              <w:rPr>
                <w:rFonts w:ascii="Calibri" w:eastAsia="Calibri" w:hAnsi="Calibri" w:cs="Calibri"/>
                <w:b/>
                <w:color w:val="000000"/>
                <w:sz w:val="20"/>
                <w:szCs w:val="20"/>
              </w:rPr>
              <w:t xml:space="preserve">porównania wybranych rozwiązań technicznych przeprowadza </w:t>
            </w:r>
            <w:r>
              <w:rPr>
                <w:rFonts w:ascii="Calibri" w:eastAsia="Calibri" w:hAnsi="Calibri" w:cs="Calibri"/>
                <w:color w:val="000000"/>
                <w:sz w:val="20"/>
                <w:szCs w:val="20"/>
              </w:rPr>
              <w:t>się z uwzględnieniem ograniczonej liczby kryteriów/celów (najczęściej związanych uwarunkowaniami środowiskowymi, emisjami, aspektami techniczno-wydajnościowymi, bezpieczeństwem oraz poddaje się je ocenie ekonomicznej i finansowej). Stosowanie wstępnej („zgrubnej”) AKK (</w:t>
            </w:r>
            <w:proofErr w:type="spellStart"/>
            <w:r>
              <w:rPr>
                <w:rFonts w:ascii="Calibri" w:eastAsia="Calibri" w:hAnsi="Calibri" w:cs="Calibri"/>
                <w:color w:val="000000"/>
                <w:sz w:val="20"/>
                <w:szCs w:val="20"/>
              </w:rPr>
              <w:t>t.j</w:t>
            </w:r>
            <w:proofErr w:type="spellEnd"/>
            <w:r>
              <w:rPr>
                <w:rFonts w:ascii="Calibri" w:eastAsia="Calibri" w:hAnsi="Calibri" w:cs="Calibri"/>
                <w:color w:val="000000"/>
                <w:sz w:val="20"/>
                <w:szCs w:val="20"/>
              </w:rPr>
              <w:t>. wyliczenie na wczesnym etapie projektowania, na podstawie prognozowanego popytu, przybliżonych wartości kluczowych parametrów finansowych i ekonomicznych) rekomenduje się do zestawiania ekonomicznych kosztów i korzyści każdego z zaproponowanych rozwiązań, co umożliwia porównanie wybranych wariantów inwestycji na podstawie ich ekonomicznych korzyści netto i ekonomicznej wewnętrznej stopy zwrotu.</w:t>
            </w:r>
          </w:p>
          <w:p w14:paraId="1C179747" w14:textId="77777777" w:rsidR="00600DEE" w:rsidRDefault="00600DEE">
            <w:pPr>
              <w:rPr>
                <w:color w:val="000000"/>
                <w:sz w:val="20"/>
                <w:szCs w:val="20"/>
              </w:rPr>
            </w:pPr>
          </w:p>
          <w:p w14:paraId="50133C62" w14:textId="77777777" w:rsidR="00600DEE" w:rsidRDefault="00641FB5" w:rsidP="00BD6864">
            <w:pPr>
              <w:jc w:val="both"/>
              <w:rPr>
                <w:rFonts w:ascii="Calibri" w:eastAsia="Calibri" w:hAnsi="Calibri" w:cs="Calibri"/>
                <w:color w:val="000000"/>
                <w:sz w:val="20"/>
                <w:szCs w:val="20"/>
              </w:rPr>
            </w:pPr>
            <w:r>
              <w:rPr>
                <w:rFonts w:ascii="Calibri" w:eastAsia="Calibri" w:hAnsi="Calibri" w:cs="Calibri"/>
                <w:color w:val="000000"/>
                <w:sz w:val="20"/>
                <w:szCs w:val="20"/>
              </w:rPr>
              <w:t xml:space="preserve">Odmienne podejście można przyjąć do tzw. projektów ukierunkowanych na uzyskanie zgodności (np. z różnymi politykami), gdzie głównym celem jest dostosowanie do istniejących wymogów prawnych i gdzie rozwiązania wariantowe </w:t>
            </w:r>
            <w:r>
              <w:rPr>
                <w:rFonts w:ascii="Calibri" w:eastAsia="Calibri" w:hAnsi="Calibri" w:cs="Calibri"/>
                <w:color w:val="000000"/>
                <w:sz w:val="20"/>
                <w:szCs w:val="20"/>
              </w:rPr>
              <w:lastRenderedPageBreak/>
              <w:t>są ograniczone (zakres jest niejako przesądzony). W takim przypadku Beneficjent mógłby przeprowadzić analizę efektywności kosztowej (CEA) i dokonać wyboru w oparciu o kryteria Jakość/Cena. JASPERS zaleca, aby takie podejście było stosowane tylko w wyjątkowych przypadkach, a jego zastosowanie zostało z wyprzedzeniem gruntownie uzasadnione w Studium Wykonalności.</w:t>
            </w:r>
          </w:p>
          <w:p w14:paraId="0D006148" w14:textId="77777777" w:rsidR="00600DEE" w:rsidRDefault="00641FB5" w:rsidP="00BD6864">
            <w:pP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2A0CD4A" w14:textId="77777777" w:rsidR="00600DEE" w:rsidRDefault="00641FB5" w:rsidP="00BD6864">
            <w:pPr>
              <w:jc w:val="both"/>
              <w:rPr>
                <w:rFonts w:ascii="Calibri" w:eastAsia="Calibri" w:hAnsi="Calibri" w:cs="Calibri"/>
                <w:color w:val="000000"/>
                <w:sz w:val="20"/>
                <w:szCs w:val="20"/>
              </w:rPr>
            </w:pPr>
            <w:r>
              <w:rPr>
                <w:rFonts w:ascii="Calibri" w:eastAsia="Calibri" w:hAnsi="Calibri" w:cs="Calibri"/>
                <w:color w:val="000000"/>
                <w:sz w:val="20"/>
                <w:szCs w:val="20"/>
              </w:rPr>
              <w:t>Analiza efektywności kosztowej (CEA) służy do porównywania efektywności kosztowej wariantów poprzez porównanie stosunku mierzalnego rezultatu realizacji określonego celu (wskaźnik rezultatu) do kosztów cyklu życia projektu, pomiędzy dwoma lub więcej wariantami projektu.</w:t>
            </w:r>
          </w:p>
          <w:p w14:paraId="1B2BAED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26" w:name="_heading=h.3j2qqm3" w:colFirst="0" w:colLast="0"/>
            <w:bookmarkEnd w:id="26"/>
            <w:r>
              <w:rPr>
                <w:rFonts w:ascii="Calibri" w:eastAsia="Calibri" w:hAnsi="Calibri" w:cs="Calibri"/>
                <w:color w:val="000000"/>
                <w:sz w:val="20"/>
                <w:szCs w:val="20"/>
              </w:rPr>
              <w:t>W perspektywie finansowej 2021-2027, dla projektów drogowych trzeba będzie przedstawić solidne uzasadnienie ekonomiczne, dlatego też prawidłowe dostosowanie przepustowości przedsięwzięcia do spodziewanego popytu jest sprawą kluczową. Przewymiarowanie odcinków dróg, na których występują małe potoki ruchu, spowoduje że cenne zasoby inwestycyjne nie zostaną skierowane na realizację innych odcinków sieci i pociągnie za sobą nieuzasadnione koszty eksploatacyjne i utrzymaniowe. W poniższej tabeli przedstawiono optymalny dobór przekrojów jezdni do oczekiwanych potoków ruchu.</w:t>
            </w:r>
          </w:p>
          <w:p w14:paraId="75DF734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noProof/>
                <w:color w:val="000000"/>
                <w:sz w:val="20"/>
                <w:szCs w:val="20"/>
                <w:lang w:val="en-GB" w:eastAsia="en-GB"/>
              </w:rPr>
              <w:drawing>
                <wp:inline distT="0" distB="0" distL="0" distR="0" wp14:anchorId="6C224CBA" wp14:editId="7AE66AFC">
                  <wp:extent cx="4308095" cy="1800002"/>
                  <wp:effectExtent l="0" t="0" r="0" b="0"/>
                  <wp:docPr id="54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1"/>
                          <a:srcRect/>
                          <a:stretch>
                            <a:fillRect/>
                          </a:stretch>
                        </pic:blipFill>
                        <pic:spPr>
                          <a:xfrm>
                            <a:off x="0" y="0"/>
                            <a:ext cx="4308095" cy="1800002"/>
                          </a:xfrm>
                          <a:prstGeom prst="rect">
                            <a:avLst/>
                          </a:prstGeom>
                          <a:ln/>
                        </pic:spPr>
                      </pic:pic>
                    </a:graphicData>
                  </a:graphic>
                </wp:inline>
              </w:drawing>
            </w:r>
          </w:p>
          <w:p w14:paraId="185555D7" w14:textId="77777777" w:rsidR="00600DEE" w:rsidRDefault="00641FB5">
            <w:pPr>
              <w:rPr>
                <w:rFonts w:ascii="Calibri" w:eastAsia="Calibri" w:hAnsi="Calibri" w:cs="Calibri"/>
                <w:sz w:val="12"/>
                <w:szCs w:val="12"/>
              </w:rPr>
            </w:pPr>
            <w:proofErr w:type="spellStart"/>
            <w:r>
              <w:rPr>
                <w:rFonts w:ascii="Calibri" w:eastAsia="Calibri" w:hAnsi="Calibri" w:cs="Calibri"/>
                <w:sz w:val="12"/>
                <w:szCs w:val="12"/>
              </w:rPr>
              <w:t>Żródło</w:t>
            </w:r>
            <w:proofErr w:type="spellEnd"/>
            <w:r>
              <w:rPr>
                <w:rFonts w:ascii="Calibri" w:eastAsia="Calibri" w:hAnsi="Calibri" w:cs="Calibri"/>
                <w:sz w:val="12"/>
                <w:szCs w:val="12"/>
              </w:rPr>
              <w:t>: WR-D-23 Wytyczne poszerzania jezdni dróg zamiejskich i ulic o dodatkowe pasy ruchu,  Ministerstwo Infrastruktury i Budownictwa, 2017, Instrukcja projektowania dodatkowych pasów ruchu na dwupasowych drogach dwukierunkowych, GDDKiA, 2005</w:t>
            </w:r>
          </w:p>
          <w:p w14:paraId="1CCAC8B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Tam, gdzie możliwe jest zastosowanie dwóch różnych przekrojów, w dokonaniu optymalnego wyboru pomoże przeprowadzenie przyrostowej analizy kosztów i korzyści.</w:t>
            </w:r>
          </w:p>
          <w:p w14:paraId="2A81C887" w14:textId="382A6C4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Jeżeli wspomniane wcześniejsze (historyczne) analizy i porównania waria</w:t>
            </w:r>
            <w:r w:rsidR="00BD6864">
              <w:rPr>
                <w:rFonts w:ascii="Calibri" w:eastAsia="Calibri" w:hAnsi="Calibri" w:cs="Calibri"/>
                <w:color w:val="000000"/>
                <w:sz w:val="20"/>
                <w:szCs w:val="20"/>
              </w:rPr>
              <w:t>n</w:t>
            </w:r>
            <w:r>
              <w:rPr>
                <w:rFonts w:ascii="Calibri" w:eastAsia="Calibri" w:hAnsi="Calibri" w:cs="Calibri"/>
                <w:color w:val="000000"/>
                <w:sz w:val="20"/>
                <w:szCs w:val="20"/>
              </w:rPr>
              <w:t xml:space="preserve">tów zostały opisane we wcześniej wykonywanych opracowaniach związanych z przedsięwzięciem to należy je tylko podsumować (jak opisano w rozdziale 1.1). </w:t>
            </w:r>
          </w:p>
          <w:p w14:paraId="4FF6AC8C" w14:textId="5909A1D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Wybrane warianty należy opisać z </w:t>
            </w:r>
            <w:r w:rsidR="00F6627D">
              <w:rPr>
                <w:rFonts w:ascii="Calibri" w:eastAsia="Calibri" w:hAnsi="Calibri" w:cs="Calibri"/>
                <w:color w:val="000000"/>
                <w:sz w:val="20"/>
                <w:szCs w:val="20"/>
              </w:rPr>
              <w:t xml:space="preserve">podaniem kluczowych parametrów </w:t>
            </w:r>
            <w:r>
              <w:rPr>
                <w:rFonts w:ascii="Calibri" w:eastAsia="Calibri" w:hAnsi="Calibri" w:cs="Calibri"/>
                <w:color w:val="000000"/>
                <w:sz w:val="20"/>
                <w:szCs w:val="20"/>
              </w:rPr>
              <w:t>takich jak długość, prędkość projektowa, szerokość jezdni, przekrój poprzeczny, itp.</w:t>
            </w:r>
          </w:p>
          <w:p w14:paraId="454657F7" w14:textId="06E5FC4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27" w:name="_heading=h.1y810tw" w:colFirst="0" w:colLast="0"/>
            <w:bookmarkEnd w:id="27"/>
            <w:r>
              <w:rPr>
                <w:rFonts w:ascii="Calibri" w:eastAsia="Calibri" w:hAnsi="Calibri" w:cs="Calibri"/>
                <w:color w:val="000000"/>
                <w:sz w:val="20"/>
                <w:szCs w:val="20"/>
              </w:rPr>
              <w:t xml:space="preserve">Wybrane warianty powinny zatem wywodzić się z kontekstu strategicznego (tzn. krajowej strategii transportowej), Regionalnych Planów Transportowych, lokalnych planów transportowych, np. </w:t>
            </w:r>
            <w:proofErr w:type="spellStart"/>
            <w:r>
              <w:rPr>
                <w:rFonts w:ascii="Calibri" w:eastAsia="Calibri" w:hAnsi="Calibri" w:cs="Calibri"/>
                <w:color w:val="000000"/>
                <w:sz w:val="20"/>
                <w:szCs w:val="20"/>
              </w:rPr>
              <w:t>SUMPów</w:t>
            </w:r>
            <w:proofErr w:type="spellEnd"/>
            <w:r>
              <w:rPr>
                <w:rFonts w:ascii="Calibri" w:eastAsia="Calibri" w:hAnsi="Calibri" w:cs="Calibri"/>
                <w:color w:val="000000"/>
                <w:sz w:val="20"/>
                <w:szCs w:val="20"/>
              </w:rPr>
              <w:t>, itd.). Te dokumenty z kolei powinny uwzględniać kontekst strategicznej oceny oddziaływania na środowisko (SOOŚ). Należy odnieść się do wszelkich istniejących wcześniej decyzji i analiz. W przypadku projektów finansowanych przez UE można przedstawić powiązanie z osiami priorytetowymi i obszarami interwencji programów operacyjnych.</w:t>
            </w:r>
          </w:p>
          <w:p w14:paraId="36A98828" w14:textId="0C75E21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Niezbędne jest również zapewnienie spójności pomiędzy analizą wariantów przeprowadzoną w ramach AKK, a analizą wykonaną na potrzeby Oceny </w:t>
            </w:r>
            <w:r w:rsidRPr="006E3D76">
              <w:rPr>
                <w:rFonts w:ascii="Calibri" w:eastAsia="Calibri" w:hAnsi="Calibri" w:cs="Calibri"/>
                <w:color w:val="000000"/>
                <w:sz w:val="20"/>
                <w:szCs w:val="20"/>
              </w:rPr>
              <w:t xml:space="preserve">Oddziaływania na Środowisko (OOŚ). </w:t>
            </w:r>
            <w:r w:rsidR="006E3D76" w:rsidRPr="006E3D76">
              <w:rPr>
                <w:rFonts w:asciiTheme="minorHAnsi" w:hAnsiTheme="minorHAnsi"/>
                <w:spacing w:val="-3"/>
                <w:sz w:val="20"/>
                <w:szCs w:val="20"/>
              </w:rPr>
              <w:t>Analizy takie można przeprowadzić w różnych momentach</w:t>
            </w:r>
            <w:r w:rsidRPr="006E3D76">
              <w:rPr>
                <w:rFonts w:ascii="Calibri" w:eastAsia="Calibri" w:hAnsi="Calibri" w:cs="Calibri"/>
                <w:color w:val="000000"/>
                <w:sz w:val="20"/>
                <w:szCs w:val="20"/>
              </w:rPr>
              <w:t xml:space="preserve"> cyklu przygotowywania projektu. Konieczne jest zapewnienie, że </w:t>
            </w:r>
            <w:r w:rsidR="006E3D76" w:rsidRPr="006E3D76">
              <w:rPr>
                <w:rFonts w:asciiTheme="minorHAnsi" w:hAnsiTheme="minorHAnsi"/>
                <w:spacing w:val="-3"/>
                <w:sz w:val="20"/>
                <w:szCs w:val="20"/>
              </w:rPr>
              <w:t>warianty wybrane do dalszych analiz będą rozpatrzone w ramach OOŚ lub przynajmniej że wszystkie warianty, które znalazły się na krótkiej liście,</w:t>
            </w:r>
            <w:r w:rsidR="006E3D76" w:rsidRPr="00DE2027">
              <w:rPr>
                <w:rFonts w:asciiTheme="minorHAnsi" w:hAnsiTheme="minorHAnsi"/>
                <w:spacing w:val="-3"/>
              </w:rPr>
              <w:t xml:space="preserve"> </w:t>
            </w:r>
            <w:r>
              <w:rPr>
                <w:rFonts w:ascii="Calibri" w:eastAsia="Calibri" w:hAnsi="Calibri" w:cs="Calibri"/>
                <w:color w:val="000000"/>
                <w:sz w:val="20"/>
                <w:szCs w:val="20"/>
              </w:rPr>
              <w:t xml:space="preserve">są zgodne </w:t>
            </w:r>
            <w:r w:rsidR="006E3D76">
              <w:rPr>
                <w:rFonts w:ascii="Calibri" w:eastAsia="Calibri" w:hAnsi="Calibri" w:cs="Calibri"/>
                <w:color w:val="000000"/>
                <w:sz w:val="20"/>
                <w:szCs w:val="20"/>
              </w:rPr>
              <w:t xml:space="preserve">z wymogami </w:t>
            </w:r>
            <w:r>
              <w:rPr>
                <w:rFonts w:ascii="Calibri" w:eastAsia="Calibri" w:hAnsi="Calibri" w:cs="Calibri"/>
                <w:color w:val="000000"/>
                <w:sz w:val="20"/>
                <w:szCs w:val="20"/>
              </w:rPr>
              <w:t xml:space="preserve">przepisów dotyczących ochrony środowiska, tak aby można było </w:t>
            </w:r>
            <w:r w:rsidR="006E3D76">
              <w:rPr>
                <w:rFonts w:ascii="Calibri" w:eastAsia="Calibri" w:hAnsi="Calibri" w:cs="Calibri"/>
                <w:color w:val="000000"/>
                <w:sz w:val="20"/>
                <w:szCs w:val="20"/>
              </w:rPr>
              <w:t xml:space="preserve">sensownie </w:t>
            </w:r>
            <w:r>
              <w:rPr>
                <w:rFonts w:ascii="Calibri" w:eastAsia="Calibri" w:hAnsi="Calibri" w:cs="Calibri"/>
                <w:color w:val="000000"/>
                <w:sz w:val="20"/>
                <w:szCs w:val="20"/>
              </w:rPr>
              <w:t>porównywać aspekty środowiskowe, ekonomiczne i finansowe. OOŚ zazwyczaj przewiduje środki łagodzące i kompensacyjne, generujące dodatkowe koszty, które będą różne dla poszczególnych wariantów. Te dodatkowe nakłady kapitałowe i operacyjne należy włączyć do analizy dla odpowiednich wariantów.</w:t>
            </w:r>
          </w:p>
          <w:p w14:paraId="0677115F" w14:textId="77777777" w:rsidR="006E3D76" w:rsidRDefault="006E3D76" w:rsidP="006E3D76">
            <w:pPr>
              <w:pStyle w:val="anxnormalZnak"/>
              <w:ind w:left="0"/>
              <w:rPr>
                <w:rFonts w:asciiTheme="minorHAnsi" w:hAnsiTheme="minorHAnsi"/>
                <w:spacing w:val="-3"/>
              </w:rPr>
            </w:pPr>
            <w:r>
              <w:rPr>
                <w:rFonts w:asciiTheme="minorHAnsi" w:hAnsiTheme="minorHAnsi"/>
                <w:spacing w:val="-3"/>
              </w:rPr>
              <w:t>Podsumowując, w </w:t>
            </w:r>
            <w:r w:rsidRPr="003E14FF">
              <w:rPr>
                <w:rFonts w:asciiTheme="minorHAnsi" w:hAnsiTheme="minorHAnsi"/>
                <w:spacing w:val="-3"/>
              </w:rPr>
              <w:t>Studium Wykonalności analizy ekonomiczne i</w:t>
            </w:r>
            <w:r>
              <w:rPr>
                <w:rFonts w:asciiTheme="minorHAnsi" w:hAnsiTheme="minorHAnsi"/>
                <w:spacing w:val="-3"/>
              </w:rPr>
              <w:t> </w:t>
            </w:r>
            <w:r w:rsidRPr="003E14FF">
              <w:rPr>
                <w:rFonts w:asciiTheme="minorHAnsi" w:hAnsiTheme="minorHAnsi"/>
                <w:spacing w:val="-3"/>
              </w:rPr>
              <w:t xml:space="preserve">finansowe </w:t>
            </w:r>
            <w:r w:rsidRPr="003E14FF">
              <w:rPr>
                <w:rFonts w:asciiTheme="minorHAnsi" w:hAnsiTheme="minorHAnsi"/>
                <w:spacing w:val="-3"/>
                <w:u w:val="single"/>
              </w:rPr>
              <w:t>mogą</w:t>
            </w:r>
            <w:r w:rsidRPr="003E14FF">
              <w:rPr>
                <w:rFonts w:asciiTheme="minorHAnsi" w:hAnsiTheme="minorHAnsi"/>
                <w:spacing w:val="-3"/>
              </w:rPr>
              <w:t xml:space="preserve"> odnosić się tylko do jednego rozwiązania wybranego na pod</w:t>
            </w:r>
            <w:r>
              <w:rPr>
                <w:rFonts w:asciiTheme="minorHAnsi" w:hAnsiTheme="minorHAnsi"/>
                <w:spacing w:val="-3"/>
              </w:rPr>
              <w:t>stawie wcześniejszych analiz. W </w:t>
            </w:r>
            <w:r w:rsidRPr="003E14FF">
              <w:rPr>
                <w:rFonts w:asciiTheme="minorHAnsi" w:hAnsiTheme="minorHAnsi"/>
                <w:spacing w:val="-3"/>
              </w:rPr>
              <w:t xml:space="preserve">tym przypadku jednak proces wyboru wariantów </w:t>
            </w:r>
            <w:r w:rsidRPr="003E14FF">
              <w:rPr>
                <w:rFonts w:asciiTheme="minorHAnsi" w:hAnsiTheme="minorHAnsi"/>
                <w:spacing w:val="-3"/>
                <w:u w:val="single"/>
              </w:rPr>
              <w:t>musi</w:t>
            </w:r>
            <w:r w:rsidRPr="003E14FF">
              <w:rPr>
                <w:rFonts w:asciiTheme="minorHAnsi" w:hAnsiTheme="minorHAnsi"/>
                <w:spacing w:val="-3"/>
              </w:rPr>
              <w:t xml:space="preserve"> być opisany w</w:t>
            </w:r>
            <w:r>
              <w:rPr>
                <w:rFonts w:asciiTheme="minorHAnsi" w:hAnsiTheme="minorHAnsi"/>
                <w:spacing w:val="-3"/>
              </w:rPr>
              <w:t> </w:t>
            </w:r>
            <w:r w:rsidRPr="003E14FF">
              <w:rPr>
                <w:rFonts w:asciiTheme="minorHAnsi" w:hAnsiTheme="minorHAnsi"/>
                <w:spacing w:val="-3"/>
              </w:rPr>
              <w:t>podsumowaniu analizy wykonalności. Brak porównania wystarczającej liczby wariantów oraz brak pełnego uzasadnienia wyboru wariantu proponowanego do finansowania może zmniejszyć szansę na zatwierdzenie projektu.</w:t>
            </w:r>
            <w:r>
              <w:rPr>
                <w:rFonts w:asciiTheme="minorHAnsi" w:hAnsiTheme="minorHAnsi"/>
                <w:spacing w:val="-3"/>
              </w:rPr>
              <w:t xml:space="preserve"> </w:t>
            </w:r>
          </w:p>
          <w:p w14:paraId="20D92FD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Warianty inwestycyjne w większości przedsięwzięć drogowych mieszczą się w jednej z trzech kategorii przedstawionych w poniższej tabeli:</w:t>
            </w:r>
          </w:p>
          <w:p w14:paraId="470C0AC4" w14:textId="77777777" w:rsidR="00600DEE"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color w:val="4F81BD"/>
                <w:sz w:val="20"/>
                <w:szCs w:val="20"/>
              </w:rPr>
            </w:pPr>
            <w:r>
              <w:rPr>
                <w:rFonts w:ascii="Calibri" w:eastAsia="Calibri" w:hAnsi="Calibri" w:cs="Calibri"/>
                <w:b/>
                <w:color w:val="4F81BD"/>
                <w:sz w:val="20"/>
                <w:szCs w:val="20"/>
              </w:rPr>
              <w:lastRenderedPageBreak/>
              <w:t>Tabela 2. Przykładowe kategorie inwestycji drogowych</w:t>
            </w:r>
          </w:p>
          <w:tbl>
            <w:tblPr>
              <w:tblStyle w:val="ae"/>
              <w:tblW w:w="7032" w:type="dxa"/>
              <w:tblLayout w:type="fixed"/>
              <w:tblLook w:val="0400" w:firstRow="0" w:lastRow="0" w:firstColumn="0" w:lastColumn="0" w:noHBand="0" w:noVBand="1"/>
            </w:tblPr>
            <w:tblGrid>
              <w:gridCol w:w="7032"/>
            </w:tblGrid>
            <w:tr w:rsidR="00600DEE" w14:paraId="310C8EA2" w14:textId="77777777" w:rsidTr="00EB64DC">
              <w:trPr>
                <w:trHeight w:hRule="exact" w:val="2268"/>
              </w:trPr>
              <w:tc>
                <w:tcPr>
                  <w:tcW w:w="7032" w:type="dxa"/>
                  <w:shd w:val="clear" w:color="auto" w:fill="DBE5F1"/>
                  <w:vAlign w:val="center"/>
                </w:tcPr>
                <w:p w14:paraId="3405D0A1" w14:textId="77777777" w:rsidR="00600DEE" w:rsidRDefault="00641FB5">
                  <w:pPr>
                    <w:numPr>
                      <w:ilvl w:val="0"/>
                      <w:numId w:val="3"/>
                    </w:numPr>
                    <w:spacing w:line="276" w:lineRule="auto"/>
                    <w:ind w:left="616" w:right="170" w:hanging="583"/>
                    <w:jc w:val="both"/>
                    <w:rPr>
                      <w:rFonts w:ascii="Calibri" w:eastAsia="Calibri" w:hAnsi="Calibri" w:cs="Calibri"/>
                      <w:color w:val="4F81BD"/>
                      <w:sz w:val="20"/>
                      <w:szCs w:val="20"/>
                    </w:rPr>
                  </w:pPr>
                  <w:r>
                    <w:rPr>
                      <w:rFonts w:ascii="Calibri" w:eastAsia="Calibri" w:hAnsi="Calibri" w:cs="Calibri"/>
                      <w:color w:val="4F81BD"/>
                      <w:sz w:val="20"/>
                      <w:szCs w:val="20"/>
                    </w:rPr>
                    <w:t>Punktowa lub liniowa inwestycja drogowa mająca na celu poprawę jakości infrastruktury, odporności na zmiany klimatu lub bezpieczeństwa bez zwiększania przepustowości.</w:t>
                  </w:r>
                </w:p>
                <w:p w14:paraId="5E2178A5" w14:textId="5606A079" w:rsidR="00600DEE" w:rsidRDefault="00641FB5">
                  <w:pPr>
                    <w:numPr>
                      <w:ilvl w:val="0"/>
                      <w:numId w:val="3"/>
                    </w:numPr>
                    <w:spacing w:line="276" w:lineRule="auto"/>
                    <w:ind w:left="616" w:right="170" w:hanging="583"/>
                    <w:jc w:val="both"/>
                    <w:rPr>
                      <w:rFonts w:ascii="Calibri" w:eastAsia="Calibri" w:hAnsi="Calibri" w:cs="Calibri"/>
                      <w:color w:val="4F81BD"/>
                      <w:sz w:val="20"/>
                      <w:szCs w:val="20"/>
                    </w:rPr>
                  </w:pPr>
                  <w:r>
                    <w:rPr>
                      <w:rFonts w:ascii="Calibri" w:eastAsia="Calibri" w:hAnsi="Calibri" w:cs="Calibri"/>
                      <w:color w:val="4F81BD"/>
                      <w:sz w:val="20"/>
                      <w:szCs w:val="20"/>
                    </w:rPr>
                    <w:t>Rozbudowa istniejącej drogi w cel</w:t>
                  </w:r>
                  <w:r w:rsidR="00505091">
                    <w:rPr>
                      <w:rFonts w:ascii="Calibri" w:eastAsia="Calibri" w:hAnsi="Calibri" w:cs="Calibri"/>
                      <w:color w:val="4F81BD"/>
                      <w:sz w:val="20"/>
                      <w:szCs w:val="20"/>
                    </w:rPr>
                    <w:t>u zwiększenia</w:t>
                  </w:r>
                  <w:r>
                    <w:rPr>
                      <w:rFonts w:ascii="Calibri" w:eastAsia="Calibri" w:hAnsi="Calibri" w:cs="Calibri"/>
                      <w:color w:val="4F81BD"/>
                      <w:sz w:val="20"/>
                      <w:szCs w:val="20"/>
                    </w:rPr>
                    <w:t xml:space="preserve"> przepustowości/ podniesienia standardu, np. poszerzenie (rozbudowa drogi jednojezdniowej lub dobudowa pasów ruchu).</w:t>
                  </w:r>
                </w:p>
                <w:p w14:paraId="451E28B5" w14:textId="77777777" w:rsidR="00600DEE" w:rsidRDefault="00641FB5">
                  <w:pPr>
                    <w:numPr>
                      <w:ilvl w:val="0"/>
                      <w:numId w:val="3"/>
                    </w:numPr>
                    <w:spacing w:line="276" w:lineRule="auto"/>
                    <w:ind w:left="616" w:right="170" w:hanging="583"/>
                    <w:jc w:val="both"/>
                    <w:rPr>
                      <w:rFonts w:ascii="Calibri" w:eastAsia="Calibri" w:hAnsi="Calibri" w:cs="Calibri"/>
                      <w:color w:val="4F81BD"/>
                      <w:sz w:val="20"/>
                      <w:szCs w:val="20"/>
                    </w:rPr>
                  </w:pPr>
                  <w:r>
                    <w:rPr>
                      <w:rFonts w:ascii="Calibri" w:eastAsia="Calibri" w:hAnsi="Calibri" w:cs="Calibri"/>
                      <w:color w:val="4F81BD"/>
                      <w:sz w:val="20"/>
                      <w:szCs w:val="20"/>
                    </w:rPr>
                    <w:t>Budowa nowej drogi o nowym przebiegu (w tym obwodnice miejscowości).</w:t>
                  </w:r>
                </w:p>
              </w:tc>
            </w:tr>
          </w:tbl>
          <w:p w14:paraId="49C89F63" w14:textId="77777777"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30977E32" w14:textId="697CA34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mniej złożonych projektów, liczba wariantów wykonalnych pod względem technicznym, prawnym, ekologicznym i politycznym, może być niewielka, jednakże w przypadku większości projektów, nie występuje tylko jeden wariant inwestycyjny. Na przykład, podniesienie standardu istniejącej drogi jest zazwyczaj wykonalne na kilka sposobów. Można również zbadać rożne sposoby podziału tego samego projektu na etapy (etapowanie).</w:t>
            </w:r>
          </w:p>
          <w:p w14:paraId="3ED106DA" w14:textId="40A1D501" w:rsidR="00600DEE" w:rsidRDefault="006E3D76">
            <w:pPr>
              <w:pBdr>
                <w:top w:val="nil"/>
                <w:left w:val="nil"/>
                <w:bottom w:val="nil"/>
                <w:right w:val="nil"/>
                <w:between w:val="nil"/>
              </w:pBdr>
              <w:spacing w:before="120"/>
              <w:jc w:val="both"/>
              <w:rPr>
                <w:rFonts w:ascii="Calibri" w:eastAsia="Calibri" w:hAnsi="Calibri" w:cs="Calibri"/>
                <w:color w:val="000000"/>
                <w:sz w:val="20"/>
                <w:szCs w:val="20"/>
              </w:rPr>
            </w:pPr>
            <w:bookmarkStart w:id="28" w:name="_heading=h.4i7ojhp" w:colFirst="0" w:colLast="0"/>
            <w:bookmarkEnd w:id="28"/>
            <w:r>
              <w:rPr>
                <w:rFonts w:ascii="Calibri" w:eastAsia="Calibri" w:hAnsi="Calibri" w:cs="Calibri"/>
                <w:color w:val="000000"/>
                <w:sz w:val="20"/>
                <w:szCs w:val="20"/>
              </w:rPr>
              <w:t>W tym kontekś</w:t>
            </w:r>
            <w:r w:rsidR="00641FB5">
              <w:rPr>
                <w:rFonts w:ascii="Calibri" w:eastAsia="Calibri" w:hAnsi="Calibri" w:cs="Calibri"/>
                <w:color w:val="000000"/>
                <w:sz w:val="20"/>
                <w:szCs w:val="20"/>
              </w:rPr>
              <w:t xml:space="preserve">cie zwraca się uwagę na przeprowadzenie </w:t>
            </w:r>
            <w:r w:rsidR="00641FB5">
              <w:rPr>
                <w:rFonts w:ascii="Calibri" w:eastAsia="Calibri" w:hAnsi="Calibri" w:cs="Calibri"/>
                <w:b/>
                <w:color w:val="000000"/>
                <w:sz w:val="20"/>
                <w:szCs w:val="20"/>
              </w:rPr>
              <w:t>analizy wariantów z uwzględnieniem oddziaływania ekonomicznego w okresie budowy.</w:t>
            </w:r>
            <w:r w:rsidR="00641FB5">
              <w:rPr>
                <w:rFonts w:ascii="Calibri" w:eastAsia="Calibri" w:hAnsi="Calibri" w:cs="Calibri"/>
                <w:color w:val="000000"/>
                <w:sz w:val="20"/>
                <w:szCs w:val="20"/>
              </w:rPr>
              <w:t xml:space="preserve"> Szacowanie oddziaływań ekonomicznych opisane w poniższych rozdziałach odnosi się głównie do różnicowych oddziaływań w okresie eksploatacji. Nie mniej jednak, uważa się, że w przypadku niektórych przedsięwzięć warto rozpatrywać oddziaływania ekonomiczne na użytkowników i mieszkańców w fazie budowy. Typowe przykłady takich sytuacji to na przykład: (i) naprawy dróg; (ii) rozbudowa dróg, tzn. zwiększenie bieżącej przepustowości drogi, w szczególności w przypadku dróg o bardzo wysokim obciążeniu ruchem, gdzie tymczasowa organizacja ruchu na czas robót, miałaby duże oddziaływanie na użytkowników i okolicznych mieszkańców.</w:t>
            </w:r>
          </w:p>
          <w:p w14:paraId="7400A5FE" w14:textId="77777777" w:rsidR="00600DEE" w:rsidRDefault="00641FB5">
            <w:pPr>
              <w:pBdr>
                <w:top w:val="nil"/>
                <w:left w:val="nil"/>
                <w:bottom w:val="nil"/>
                <w:right w:val="nil"/>
                <w:between w:val="nil"/>
              </w:pBdr>
              <w:spacing w:before="120" w:after="240"/>
              <w:jc w:val="both"/>
              <w:rPr>
                <w:rFonts w:ascii="Calibri" w:eastAsia="Calibri" w:hAnsi="Calibri" w:cs="Calibri"/>
                <w:color w:val="000000"/>
                <w:sz w:val="20"/>
                <w:szCs w:val="20"/>
              </w:rPr>
            </w:pPr>
            <w:bookmarkStart w:id="29" w:name="_heading=h.2xcytpi" w:colFirst="0" w:colLast="0"/>
            <w:bookmarkEnd w:id="29"/>
            <w:r>
              <w:rPr>
                <w:rFonts w:ascii="Calibri" w:eastAsia="Calibri" w:hAnsi="Calibri" w:cs="Calibri"/>
                <w:color w:val="000000"/>
                <w:sz w:val="20"/>
                <w:szCs w:val="20"/>
              </w:rPr>
              <w:t>W przypadku wniosków o dofinansowanie UE, należy wyjaśnić przebieg procesu i metodykę wyboru wariantu.  Jeśli wybór wynika z różnych analiz i badań, należy przedstawić je w formie skrótowej dającej czytelny obraz procesu analizy wariantów z uwzględnieniem powyższych uwag.</w:t>
            </w:r>
          </w:p>
          <w:tbl>
            <w:tblPr>
              <w:tblStyle w:val="af"/>
              <w:tblW w:w="6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8"/>
            </w:tblGrid>
            <w:tr w:rsidR="00600DEE" w14:paraId="3B69CAF7" w14:textId="77777777" w:rsidTr="0073146B">
              <w:trPr>
                <w:trHeight w:hRule="exact" w:val="1134"/>
              </w:trPr>
              <w:tc>
                <w:tcPr>
                  <w:tcW w:w="6968" w:type="dxa"/>
                  <w:shd w:val="clear" w:color="auto" w:fill="auto"/>
                  <w:vAlign w:val="center"/>
                </w:tcPr>
                <w:p w14:paraId="57ED0871" w14:textId="77777777" w:rsidR="00600DEE" w:rsidRDefault="00641FB5">
                  <w:pPr>
                    <w:spacing w:before="60" w:after="60" w:line="276" w:lineRule="auto"/>
                    <w:ind w:right="170"/>
                    <w:jc w:val="both"/>
                    <w:rPr>
                      <w:rFonts w:ascii="Calibri" w:eastAsia="Calibri" w:hAnsi="Calibri" w:cs="Calibri"/>
                      <w:sz w:val="18"/>
                      <w:szCs w:val="18"/>
                    </w:rPr>
                  </w:pPr>
                  <w:r>
                    <w:rPr>
                      <w:rFonts w:ascii="Calibri" w:eastAsia="Calibri" w:hAnsi="Calibri" w:cs="Calibri"/>
                      <w:sz w:val="18"/>
                      <w:szCs w:val="18"/>
                    </w:rPr>
                    <w:lastRenderedPageBreak/>
                    <w:t>Chociaż liczba wariantów inwestycyjnych badanych w AKK zależy od promotora projektu, musi on wykazać, że wszystkie racjonalne warianty alternatywne zostały należycie rozpatrzone, i uzasadnić powody, dla których wybrano wariant(y) ostateczny(e).</w:t>
                  </w:r>
                </w:p>
              </w:tc>
            </w:tr>
          </w:tbl>
          <w:p w14:paraId="649C3F7E" w14:textId="77777777" w:rsidR="00600DEE"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b/>
                <w:color w:val="4F81BD"/>
                <w:sz w:val="20"/>
                <w:szCs w:val="20"/>
              </w:rPr>
            </w:pPr>
            <w:r>
              <w:rPr>
                <w:rFonts w:ascii="Calibri" w:eastAsia="Calibri" w:hAnsi="Calibri" w:cs="Calibri"/>
                <w:b/>
                <w:color w:val="4F81BD"/>
                <w:sz w:val="20"/>
                <w:szCs w:val="20"/>
              </w:rPr>
              <w:t>Tabela 3. Wstępne wyniki analizy wariantów</w:t>
            </w:r>
          </w:p>
          <w:tbl>
            <w:tblPr>
              <w:tblStyle w:val="af0"/>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14:paraId="61752822" w14:textId="77777777" w:rsidTr="00EB64DC">
              <w:trPr>
                <w:trHeight w:hRule="exact" w:val="4536"/>
              </w:trPr>
              <w:tc>
                <w:tcPr>
                  <w:tcW w:w="6946" w:type="dxa"/>
                  <w:shd w:val="clear" w:color="auto" w:fill="DBE5F1"/>
                  <w:vAlign w:val="center"/>
                </w:tcPr>
                <w:p w14:paraId="593CB5D7" w14:textId="77777777" w:rsidR="00600DEE" w:rsidRDefault="00641FB5" w:rsidP="00D5736B">
                  <w:pPr>
                    <w:numPr>
                      <w:ilvl w:val="0"/>
                      <w:numId w:val="64"/>
                    </w:numPr>
                    <w:pBdr>
                      <w:top w:val="nil"/>
                      <w:left w:val="nil"/>
                      <w:bottom w:val="nil"/>
                      <w:right w:val="nil"/>
                      <w:between w:val="nil"/>
                    </w:pBdr>
                    <w:spacing w:line="276" w:lineRule="auto"/>
                    <w:ind w:left="885" w:right="170" w:hanging="885"/>
                    <w:jc w:val="both"/>
                    <w:rPr>
                      <w:rFonts w:ascii="Calibri" w:eastAsia="Calibri" w:hAnsi="Calibri" w:cs="Calibri"/>
                      <w:color w:val="4F81BD"/>
                      <w:sz w:val="17"/>
                      <w:szCs w:val="17"/>
                    </w:rPr>
                  </w:pPr>
                  <w:bookmarkStart w:id="30" w:name="_heading=h.1ci93xb" w:colFirst="0" w:colLast="0"/>
                  <w:bookmarkEnd w:id="30"/>
                  <w:r>
                    <w:rPr>
                      <w:rFonts w:ascii="Calibri" w:eastAsia="Calibri" w:hAnsi="Calibri" w:cs="Calibri"/>
                      <w:color w:val="4F81BD"/>
                      <w:sz w:val="17"/>
                      <w:szCs w:val="17"/>
                    </w:rPr>
                    <w:t>Cele projektu (co należy osiągnąć, a nie jak tego dokonać, np. poprawa bezpieczeństwa ruchu drogowego i odporności klimatycznej infrastruktury drogowej).</w:t>
                  </w:r>
                </w:p>
                <w:p w14:paraId="0918D69F"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Odniesienia do kluczowych dokumentów planistycznych, strategii i decyzji, które są wiążące dla Beneficjenta projektu. Kontekst strategiczny w ujęciu wielogałęziowym.</w:t>
                  </w:r>
                </w:p>
                <w:p w14:paraId="18EE3940"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Identyfikacja wariantów (remont lub przebudowa, nowy przebieg, ingerencje w innych gałęziach transportu itp.).</w:t>
                  </w:r>
                </w:p>
                <w:p w14:paraId="06171B87"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Opis projektu dla każdego wybranego wariantu zawierający poniższe elementy:</w:t>
                  </w:r>
                </w:p>
                <w:p w14:paraId="3F87C443"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koszty inwestycyjne,</w:t>
                  </w:r>
                </w:p>
                <w:p w14:paraId="56811D59"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 xml:space="preserve">podstawowe parametry i aspekty funkcjonalne: klasa i kategoria, prędkość projektowa, długość, ilość jezdni i pasów, ilość i długość obiektów, itp., </w:t>
                  </w:r>
                </w:p>
                <w:p w14:paraId="324FC576"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kryteria wyboru preferowanego wariantu,</w:t>
                  </w:r>
                </w:p>
                <w:p w14:paraId="39570973"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zalety/wady danego wariantu,</w:t>
                  </w:r>
                </w:p>
                <w:p w14:paraId="5B12427D"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 xml:space="preserve">mapa lokalizacji. </w:t>
                  </w:r>
                </w:p>
                <w:p w14:paraId="668D9AB6"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 xml:space="preserve">Prezentacja kontekstu społeczno-ekonomicznego. </w:t>
                  </w:r>
                </w:p>
              </w:tc>
            </w:tr>
          </w:tbl>
          <w:p w14:paraId="66918F6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7936F6D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31" w:name="_heading=h.3whwml4" w:colFirst="0" w:colLast="0"/>
            <w:bookmarkEnd w:id="31"/>
            <w:r>
              <w:rPr>
                <w:rFonts w:ascii="Calibri" w:eastAsia="Calibri" w:hAnsi="Calibri" w:cs="Calibri"/>
                <w:color w:val="000000"/>
                <w:sz w:val="20"/>
                <w:szCs w:val="20"/>
              </w:rPr>
              <w:t xml:space="preserve">Wskaźniki efektywności społeczno-ekonomicznej AKK, takie jak ENPV, ERR </w:t>
            </w:r>
            <w:r>
              <w:rPr>
                <w:rFonts w:ascii="Calibri" w:eastAsia="Calibri" w:hAnsi="Calibri" w:cs="Calibri"/>
                <w:color w:val="000000"/>
                <w:sz w:val="20"/>
                <w:szCs w:val="20"/>
              </w:rPr>
              <w:br/>
              <w:t>(i ewentualnie dodatkowo BCR), stanowią jeden z ekonomicznych elementów warunkujących wybór ostatecznego wariantu (gdy AKK jest jedną z metod w analizie wariantów). Teoretycznie, jeżeli w rezultacie początkowych prac analitycznych dokonano wstępnego wyboru wariantów odpowiadających założonym celom (tzn. w zakresie środowiska, osiągnięcia wartości docelowych związanych z klimatem, trwałości finansowej…), należy wybrać wariant charakteryzujący się najlepszymi wskaźnikami, wyrażonymi w postaci poziomu ERR i/lub BCR (ENPV może być takie samo dla wariantów o różnych ERR lub odwrotnie).</w:t>
            </w:r>
          </w:p>
          <w:p w14:paraId="7270D74D" w14:textId="77777777" w:rsidR="00DC3FFD" w:rsidRDefault="00DC3FFD">
            <w:pPr>
              <w:pBdr>
                <w:top w:val="nil"/>
                <w:left w:val="nil"/>
                <w:bottom w:val="nil"/>
                <w:right w:val="nil"/>
                <w:between w:val="nil"/>
              </w:pBdr>
              <w:spacing w:before="120"/>
              <w:jc w:val="both"/>
              <w:rPr>
                <w:rFonts w:ascii="Calibri" w:eastAsia="Calibri" w:hAnsi="Calibri" w:cs="Calibri"/>
                <w:color w:val="000000"/>
                <w:sz w:val="20"/>
                <w:szCs w:val="20"/>
              </w:rPr>
            </w:pPr>
          </w:p>
          <w:p w14:paraId="7991990C" w14:textId="77777777" w:rsidR="00DC3FFD" w:rsidRDefault="00DC3FFD">
            <w:pPr>
              <w:pBdr>
                <w:top w:val="nil"/>
                <w:left w:val="nil"/>
                <w:bottom w:val="nil"/>
                <w:right w:val="nil"/>
                <w:between w:val="nil"/>
              </w:pBdr>
              <w:spacing w:before="120"/>
              <w:jc w:val="both"/>
              <w:rPr>
                <w:rFonts w:ascii="Calibri" w:eastAsia="Calibri" w:hAnsi="Calibri" w:cs="Calibri"/>
                <w:color w:val="000000"/>
                <w:sz w:val="20"/>
                <w:szCs w:val="20"/>
              </w:rPr>
            </w:pPr>
          </w:p>
          <w:p w14:paraId="4CA9B967" w14:textId="2444AC4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Jednakże, jeżeli wyniki uzyskane dla dwóch lub więcej wariantów o znacząco różnym koszcie są możliwe do przyjęcia (lub porównywalne) to przy wyborze ostatecznego wariantu inwestycyjnego należy postępować w następujący sposób:</w:t>
            </w:r>
          </w:p>
          <w:p w14:paraId="263A8FF1" w14:textId="77777777" w:rsidR="00600DEE" w:rsidRDefault="00641FB5" w:rsidP="00D5736B">
            <w:pPr>
              <w:numPr>
                <w:ilvl w:val="0"/>
                <w:numId w:val="1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jeżeli głównym czynnikiem byłby niższy koszt, należałoby wybrać wariant tańszy uwalniając środki finansowe dla innych projektów, biorąc jednocześnie pod uwagę wszystkie istotne aspekty strategii inwestycyjnej,</w:t>
            </w:r>
          </w:p>
          <w:p w14:paraId="2FB0DD21" w14:textId="77777777" w:rsidR="00600DEE" w:rsidRDefault="00641FB5" w:rsidP="00D5736B">
            <w:pPr>
              <w:numPr>
                <w:ilvl w:val="0"/>
                <w:numId w:val="1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jeżeli droższy projekt będzie lepiej realizował główny cel strategiczny oraz inne aspekty strategii inwestycyjnej (np. wymagania środowiskowe), a środki będą dostępne, to dopuszczalny jest wybór takiego wariantu.</w:t>
            </w:r>
          </w:p>
          <w:p w14:paraId="2F2006E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trakcie ubiegania się o dotację UE, we wniosku należy wyjaśnić logikę podejmowania ostatecznej decyzji. Oczywiście w przypadku wyboru wariantu o znacznie słabszych wynikach ekonomicznych i rezygnacji z wariantu o dużo lepszych parametrach, konieczne będzie dokładne uzasadnienie takiej decyzji.</w:t>
            </w:r>
          </w:p>
          <w:p w14:paraId="7AB532BD" w14:textId="77777777" w:rsidR="00600DEE" w:rsidRDefault="00641FB5">
            <w:pPr>
              <w:pBdr>
                <w:top w:val="nil"/>
                <w:left w:val="nil"/>
                <w:bottom w:val="nil"/>
                <w:right w:val="nil"/>
                <w:between w:val="nil"/>
              </w:pBdr>
              <w:spacing w:before="120"/>
              <w:jc w:val="both"/>
              <w:rPr>
                <w:rFonts w:ascii="Calibri" w:eastAsia="Calibri" w:hAnsi="Calibri" w:cs="Calibri"/>
                <w:b/>
                <w:color w:val="323299"/>
                <w:sz w:val="20"/>
                <w:szCs w:val="20"/>
              </w:rPr>
            </w:pPr>
            <w:r>
              <w:rPr>
                <w:rFonts w:ascii="Calibri" w:eastAsia="Calibri" w:hAnsi="Calibri" w:cs="Calibri"/>
                <w:color w:val="000000"/>
                <w:sz w:val="20"/>
                <w:szCs w:val="20"/>
              </w:rPr>
              <w:t>Po wyborze optymalnego rozwiązania w oparciu o powyższe podejście, dla wybranego wariantu należy przeprowadzić pełną AKK (tj. na postawie niniejszego podręcznika, jeżeli nie była przeprowadzana na etapie wyboru wariantu), aby potwierdzić adekwatność i ekonomiczne uzasadnienie proponowanego rozwiązania dla spełnienia wcześniej ustalonych celów projektu.</w:t>
            </w:r>
          </w:p>
        </w:tc>
        <w:tc>
          <w:tcPr>
            <w:tcW w:w="7204" w:type="dxa"/>
            <w:tcBorders>
              <w:left w:val="single" w:sz="4" w:space="0" w:color="000000"/>
            </w:tcBorders>
            <w:shd w:val="clear" w:color="auto" w:fill="auto"/>
            <w:tcMar>
              <w:left w:w="284" w:type="dxa"/>
              <w:right w:w="284" w:type="dxa"/>
            </w:tcMar>
            <w:vAlign w:val="center"/>
          </w:tcPr>
          <w:p w14:paraId="14687BA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Objectives resulting from Transport Plans/Strategies based on comprehensive analysis of all related mobility aspects might be achieved in a number of ways. It means that there are a number of possible solutions including a number of investment options. Each potential option meeting the planned project objectives should be identified at the initial stage of a project development – Phase I.</w:t>
            </w:r>
          </w:p>
          <w:p w14:paraId="075CFE1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first stage (for projects that are not reconstruction/modernization of existing roads), a </w:t>
            </w:r>
            <w:r w:rsidRPr="0045151D">
              <w:rPr>
                <w:rFonts w:ascii="Calibri" w:eastAsia="Calibri" w:hAnsi="Calibri" w:cs="Calibri"/>
                <w:b/>
                <w:color w:val="000000"/>
                <w:sz w:val="20"/>
                <w:szCs w:val="20"/>
                <w:lang w:val="en-GB"/>
              </w:rPr>
              <w:t>strategic option analysis</w:t>
            </w:r>
            <w:r w:rsidRPr="0045151D">
              <w:rPr>
                <w:rFonts w:ascii="Calibri" w:eastAsia="Calibri" w:hAnsi="Calibri" w:cs="Calibri"/>
                <w:color w:val="000000"/>
                <w:sz w:val="20"/>
                <w:szCs w:val="20"/>
                <w:lang w:val="en-GB"/>
              </w:rPr>
              <w:t xml:space="preserve"> is typically carried out, generally comparing all relevant criteria (i.e. technical, legal, environmental, economic - </w:t>
            </w:r>
            <w:r w:rsidRPr="0045151D">
              <w:rPr>
                <w:rFonts w:ascii="Calibri" w:eastAsia="Calibri" w:hAnsi="Calibri" w:cs="Calibri"/>
                <w:color w:val="000000"/>
                <w:sz w:val="20"/>
                <w:szCs w:val="20"/>
                <w:lang w:val="en-GB"/>
              </w:rPr>
              <w:lastRenderedPageBreak/>
              <w:t xml:space="preserve">based on rough calculations - or political considerations) and selecting the most promising candidates  vis-à-vis Transport Plans/Strategies objectives. </w:t>
            </w:r>
          </w:p>
          <w:p w14:paraId="158D0104" w14:textId="69757895" w:rsidR="00600DEE" w:rsidRPr="0045151D" w:rsidRDefault="00641FB5" w:rsidP="00DC3FFD">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these first selection processes, different option appraisal techniques or tools can be used to select the option/s for a later CBA analysis. They should provide a transparent, sound, comprehensive, coherent, open and explicit analysis. For example, the Multi-Criteria Analysis (MCA) is an appraisal technique used to establish preferences amongst different options for delivering a given set of objectives. It does this with reference to an explicit set of rational criteria, which helps appraisers to assess the extent to which the individual investment objectives are met by th</w:t>
            </w:r>
            <w:r w:rsidR="00214038">
              <w:rPr>
                <w:rFonts w:ascii="Calibri" w:eastAsia="Calibri" w:hAnsi="Calibri" w:cs="Calibri"/>
                <w:color w:val="000000"/>
                <w:sz w:val="20"/>
                <w:szCs w:val="20"/>
                <w:lang w:val="en-GB"/>
              </w:rPr>
              <w:t>e different available solutions</w:t>
            </w:r>
            <w:r w:rsidRPr="0045151D">
              <w:rPr>
                <w:rFonts w:ascii="Calibri" w:eastAsia="Calibri" w:hAnsi="Calibri" w:cs="Calibri"/>
                <w:color w:val="000000"/>
                <w:sz w:val="20"/>
                <w:szCs w:val="20"/>
                <w:lang w:val="en-GB"/>
              </w:rPr>
              <w:t>. The purpose may be to rank options in preference order, or to shortlist a number of options for a more detailed appraisal. Other techniques, such as Strengths-Weaknesses-Opportunities-Threats (SWOT) analysis to evaluate the project’s potential benefits and risks deriving from the institutional, legal, technical, economic, environmental, spatial and social contexts may also be helpful in some cases. This analysis should be carried out within a multi-modal perspective as far as possible.</w:t>
            </w:r>
            <w:r w:rsidRPr="0045151D">
              <w:rPr>
                <w:rFonts w:ascii="Calibri" w:eastAsia="Calibri" w:hAnsi="Calibri" w:cs="Calibri"/>
                <w:color w:val="4BACC6"/>
                <w:sz w:val="20"/>
                <w:szCs w:val="20"/>
                <w:lang w:val="en-GB"/>
              </w:rPr>
              <w:t xml:space="preserve"> </w:t>
            </w:r>
          </w:p>
          <w:p w14:paraId="5B33BDE7"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3DE250E"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2BB13DF"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682A57BE"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045E1DAD"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D6CBA90" w14:textId="0499339F"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 further </w:t>
            </w:r>
            <w:r w:rsidRPr="0045151D">
              <w:rPr>
                <w:rFonts w:ascii="Calibri" w:eastAsia="Calibri" w:hAnsi="Calibri" w:cs="Calibri"/>
                <w:b/>
                <w:color w:val="000000"/>
                <w:sz w:val="20"/>
                <w:szCs w:val="20"/>
                <w:lang w:val="en-GB"/>
              </w:rPr>
              <w:t>comparison of the selected technical solutions is performed</w:t>
            </w:r>
            <w:r w:rsidRPr="0045151D">
              <w:rPr>
                <w:rFonts w:ascii="Calibri" w:eastAsia="Calibri" w:hAnsi="Calibri" w:cs="Calibri"/>
                <w:color w:val="000000"/>
                <w:sz w:val="20"/>
                <w:szCs w:val="20"/>
                <w:lang w:val="en-GB"/>
              </w:rPr>
              <w:t xml:space="preserve"> in the context of a more restricted list of criteria/objectives (generally related to environmental considerations, emissions, technical and efficiency aspects and safety;</w:t>
            </w:r>
            <w:r w:rsidR="00214038">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an economic and financial appraisal is also carried out). The preliminary (‘rough’) CBA (i.e. one focused on first qualified estimates of demand and rough estimates of key financial and economic parameters at an early project design stage) is recommended to compare the economic costs and benefits of each shortlisted solution in order to enable various investment options to be compared on the basis of their net economic benefits and economic internal rate of return.</w:t>
            </w:r>
          </w:p>
          <w:p w14:paraId="2F3E046C"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93C8277" w14:textId="77777777" w:rsidR="00600DEE" w:rsidRPr="0045151D" w:rsidRDefault="00641FB5">
            <w:pPr>
              <w:spacing w:before="120"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A specific approach might be adopted to so-called compliance-driven (policy-driven) projects where the scope is determined mostly to adapt to the existing legal requirements and where the option solutions are limited (scope is pre-</w:t>
            </w:r>
            <w:r w:rsidRPr="0045151D">
              <w:rPr>
                <w:rFonts w:ascii="Calibri" w:eastAsia="Calibri" w:hAnsi="Calibri" w:cs="Calibri"/>
                <w:sz w:val="20"/>
                <w:szCs w:val="20"/>
                <w:lang w:val="en-GB"/>
              </w:rPr>
              <w:lastRenderedPageBreak/>
              <w:t xml:space="preserve">determined). In such a case, the Beneficiary could perform Cost Effectiveness Analysis (CEA) and carry out the selection based on Quality/Price criteria. JASPERS recommends that this approach is used only in specific cases and the application of it is prudently justified upfront in the FS. </w:t>
            </w:r>
          </w:p>
          <w:p w14:paraId="21660A44" w14:textId="77777777" w:rsidR="00600DEE" w:rsidRPr="0045151D" w:rsidRDefault="00641FB5">
            <w:pPr>
              <w:spacing w:before="120"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Cost Efficiency Analysis (CEA) is used to compare option cost performance by comparing the ratio of the quantified level of accomplishment of a particular singular objective (output) to the life-cycle costs between two or more project options.</w:t>
            </w:r>
          </w:p>
          <w:p w14:paraId="1E2F1F78" w14:textId="77777777" w:rsidR="00214038" w:rsidRDefault="00214038" w:rsidP="00F6627D">
            <w:pPr>
              <w:spacing w:before="120" w:after="120"/>
              <w:ind w:right="170"/>
              <w:jc w:val="both"/>
              <w:rPr>
                <w:rFonts w:asciiTheme="minorHAnsi" w:hAnsiTheme="minorHAnsi" w:cstheme="minorHAnsi"/>
                <w:sz w:val="20"/>
                <w:szCs w:val="20"/>
                <w:lang w:val="en-GB"/>
              </w:rPr>
            </w:pPr>
          </w:p>
          <w:p w14:paraId="3C76D068" w14:textId="7E7D0B80" w:rsidR="00F6627D" w:rsidRDefault="00F6627D" w:rsidP="00F6627D">
            <w:pPr>
              <w:spacing w:before="120" w:after="120"/>
              <w:ind w:right="170"/>
              <w:jc w:val="both"/>
              <w:rPr>
                <w:rFonts w:asciiTheme="minorHAnsi" w:hAnsiTheme="minorHAnsi" w:cstheme="minorHAnsi"/>
                <w:sz w:val="20"/>
                <w:szCs w:val="20"/>
                <w:lang w:val="en-GB"/>
              </w:rPr>
            </w:pPr>
            <w:r w:rsidRPr="008900A7">
              <w:rPr>
                <w:rFonts w:asciiTheme="minorHAnsi" w:hAnsiTheme="minorHAnsi" w:cstheme="minorHAnsi"/>
                <w:sz w:val="20"/>
                <w:szCs w:val="20"/>
                <w:lang w:val="en-GB"/>
              </w:rPr>
              <w:t>In the 2021-2027 financial perspective, road projects will have to demonstrate a strong economic justification, therefore adequate design of project capacity versus expected demand is crucial. Excessive capacity on road sections with low traffic levels takes valuable investment resources away from other sections on the network and leads to unjustified operation and maintenance expenditures. The table below indicates optimal provision of road cross-sections for expected traffic flows.</w:t>
            </w:r>
          </w:p>
          <w:p w14:paraId="725168F5" w14:textId="77777777" w:rsidR="00600DEE" w:rsidRDefault="00641FB5">
            <w:pPr>
              <w:spacing w:line="276" w:lineRule="auto"/>
              <w:jc w:val="both"/>
              <w:rPr>
                <w:rFonts w:ascii="Calibri" w:eastAsia="Calibri" w:hAnsi="Calibri" w:cs="Calibri"/>
                <w:sz w:val="20"/>
                <w:szCs w:val="20"/>
              </w:rPr>
            </w:pPr>
            <w:r>
              <w:rPr>
                <w:rFonts w:ascii="Calibri" w:eastAsia="Calibri" w:hAnsi="Calibri" w:cs="Calibri"/>
                <w:noProof/>
                <w:sz w:val="20"/>
                <w:szCs w:val="20"/>
                <w:lang w:val="en-GB" w:eastAsia="en-GB"/>
              </w:rPr>
              <w:drawing>
                <wp:inline distT="0" distB="0" distL="0" distR="0" wp14:anchorId="74A349A4" wp14:editId="4A4BF6B3">
                  <wp:extent cx="4231323" cy="1790700"/>
                  <wp:effectExtent l="0" t="0" r="0" b="0"/>
                  <wp:docPr id="54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2"/>
                          <a:srcRect/>
                          <a:stretch>
                            <a:fillRect/>
                          </a:stretch>
                        </pic:blipFill>
                        <pic:spPr>
                          <a:xfrm>
                            <a:off x="0" y="0"/>
                            <a:ext cx="4237622" cy="1793366"/>
                          </a:xfrm>
                          <a:prstGeom prst="rect">
                            <a:avLst/>
                          </a:prstGeom>
                          <a:ln/>
                        </pic:spPr>
                      </pic:pic>
                    </a:graphicData>
                  </a:graphic>
                </wp:inline>
              </w:drawing>
            </w:r>
          </w:p>
          <w:p w14:paraId="3834753E" w14:textId="77777777" w:rsidR="00600DEE" w:rsidRPr="0045151D" w:rsidRDefault="00641FB5">
            <w:pPr>
              <w:rPr>
                <w:rFonts w:ascii="Calibri" w:eastAsia="Calibri" w:hAnsi="Calibri" w:cs="Calibri"/>
                <w:sz w:val="12"/>
                <w:szCs w:val="12"/>
                <w:lang w:val="en-GB"/>
              </w:rPr>
            </w:pPr>
            <w:r w:rsidRPr="0045151D">
              <w:rPr>
                <w:rFonts w:ascii="Calibri" w:eastAsia="Calibri" w:hAnsi="Calibri" w:cs="Calibri"/>
                <w:sz w:val="12"/>
                <w:szCs w:val="12"/>
                <w:lang w:val="en-GB"/>
              </w:rPr>
              <w:t xml:space="preserve">Source: WR-D-23 Guidelines for widening of interurban roads and streets with additional traffic lanes, Ministry of Infrastructure and Construction, 2017, Design manual for additional traffic lanes on two carriageway roads, </w:t>
            </w:r>
            <w:proofErr w:type="spellStart"/>
            <w:r w:rsidRPr="0045151D">
              <w:rPr>
                <w:rFonts w:ascii="Calibri" w:eastAsia="Calibri" w:hAnsi="Calibri" w:cs="Calibri"/>
                <w:sz w:val="12"/>
                <w:szCs w:val="12"/>
                <w:lang w:val="en-GB"/>
              </w:rPr>
              <w:t>GDDKiA</w:t>
            </w:r>
            <w:proofErr w:type="spellEnd"/>
            <w:r w:rsidRPr="0045151D">
              <w:rPr>
                <w:rFonts w:ascii="Calibri" w:eastAsia="Calibri" w:hAnsi="Calibri" w:cs="Calibri"/>
                <w:sz w:val="12"/>
                <w:szCs w:val="12"/>
                <w:lang w:val="en-GB"/>
              </w:rPr>
              <w:t>, 2005</w:t>
            </w:r>
          </w:p>
          <w:p w14:paraId="4F82974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cases where two types might be considered, an incremental analysis comparing costs and benefits could help to determine the optimal selection. </w:t>
            </w:r>
          </w:p>
          <w:p w14:paraId="77DD8605"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63550B8C"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3D43A149"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FF24AC5" w14:textId="2C0E579B"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If these (past) analyses and option comparisons were an object of previous project related reports , then only a comprehensive summary should be presented (as described in chapter 1.1).</w:t>
            </w:r>
          </w:p>
          <w:p w14:paraId="6D2B487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selected options should be described in terms of their key parameters, such as length, design speed, carriageway width, cross-section, etc.</w:t>
            </w:r>
          </w:p>
          <w:p w14:paraId="3087384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selected options should therefore be derived from the strategic context (i.e. National Transport Strategy, Regional Transport Plans, local transport plans such as SUMPs, etc.). Those in turn should include the respective Strategic Environmental Assessments (SEA) context. Any pre-existing analyses and decisions must be considered. For the EU-funded projects, the related priority axes and intervention areas of the Operational Programs may be highlighted. </w:t>
            </w:r>
          </w:p>
          <w:p w14:paraId="4E879140" w14:textId="6DF9409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also necessary to ensure consistency between the options’ analysis performed for the purpose of the CBA and the analysis performed for the purpose of the EIA. These </w:t>
            </w:r>
            <w:r w:rsidR="00BD6864" w:rsidRPr="00BD6864">
              <w:rPr>
                <w:rFonts w:asciiTheme="minorHAnsi" w:hAnsiTheme="minorHAnsi"/>
                <w:sz w:val="20"/>
                <w:szCs w:val="20"/>
                <w:lang w:val="en-GB"/>
              </w:rPr>
              <w:t>analyses can be carried out</w:t>
            </w:r>
            <w:r w:rsidR="00BD6864" w:rsidRPr="00731E4E">
              <w:rPr>
                <w:rFonts w:asciiTheme="minorHAnsi" w:hAnsiTheme="minorHAnsi"/>
                <w:spacing w:val="-3"/>
                <w:lang w:val="en-GB"/>
              </w:rPr>
              <w:t xml:space="preserve"> </w:t>
            </w:r>
            <w:r w:rsidRPr="0045151D">
              <w:rPr>
                <w:rFonts w:ascii="Calibri" w:eastAsia="Calibri" w:hAnsi="Calibri" w:cs="Calibri"/>
                <w:color w:val="000000"/>
                <w:sz w:val="20"/>
                <w:szCs w:val="20"/>
                <w:lang w:val="en-GB"/>
              </w:rPr>
              <w:t xml:space="preserve">at different moments in the project preparation cycle. However, it must be ensured that </w:t>
            </w:r>
            <w:r w:rsidR="00BD6864">
              <w:rPr>
                <w:rFonts w:ascii="Calibri" w:eastAsia="Calibri" w:hAnsi="Calibri" w:cs="Calibri"/>
                <w:color w:val="000000"/>
                <w:sz w:val="20"/>
                <w:szCs w:val="20"/>
                <w:lang w:val="en-GB"/>
              </w:rPr>
              <w:t xml:space="preserve">the </w:t>
            </w:r>
            <w:r w:rsidRPr="0045151D">
              <w:rPr>
                <w:rFonts w:ascii="Calibri" w:eastAsia="Calibri" w:hAnsi="Calibri" w:cs="Calibri"/>
                <w:color w:val="000000"/>
                <w:sz w:val="20"/>
                <w:szCs w:val="20"/>
                <w:lang w:val="en-GB"/>
              </w:rPr>
              <w:t xml:space="preserve">shortlisted project options </w:t>
            </w:r>
            <w:r w:rsidR="00BD6864" w:rsidRPr="00BD6864">
              <w:rPr>
                <w:rFonts w:asciiTheme="minorHAnsi" w:hAnsiTheme="minorHAnsi"/>
                <w:spacing w:val="-3"/>
                <w:sz w:val="20"/>
                <w:szCs w:val="20"/>
                <w:lang w:val="en-GB"/>
              </w:rPr>
              <w:t xml:space="preserve">were considered in an EIA, or at the very least that all shortlisted project options </w:t>
            </w:r>
            <w:r w:rsidRPr="0045151D">
              <w:rPr>
                <w:rFonts w:ascii="Calibri" w:eastAsia="Calibri" w:hAnsi="Calibri" w:cs="Calibri"/>
                <w:color w:val="000000"/>
                <w:sz w:val="20"/>
                <w:szCs w:val="20"/>
                <w:lang w:val="en-GB"/>
              </w:rPr>
              <w:t>would be compliant with regards to environmental legislation, so that the environmental, financial and economic aspects could be compared. The EIA normally requires mitigation and compensatory measures to be implemented that generate additional costs. Those measures and costs will be different for different options. These additional capital and operational costs must be incorporated into the analysis for the corresponding options.</w:t>
            </w:r>
          </w:p>
          <w:p w14:paraId="7674ADD1" w14:textId="4E0C3E22" w:rsidR="006E3D76" w:rsidRPr="006E3D76" w:rsidRDefault="006E3D76" w:rsidP="00DC3FFD">
            <w:pPr>
              <w:pBdr>
                <w:top w:val="nil"/>
                <w:left w:val="nil"/>
                <w:bottom w:val="nil"/>
                <w:right w:val="nil"/>
                <w:between w:val="nil"/>
              </w:pBdr>
              <w:tabs>
                <w:tab w:val="left" w:pos="0"/>
              </w:tabs>
              <w:spacing w:before="120"/>
              <w:jc w:val="both"/>
              <w:rPr>
                <w:rFonts w:asciiTheme="minorHAnsi" w:hAnsiTheme="minorHAnsi"/>
                <w:spacing w:val="-3"/>
                <w:sz w:val="20"/>
                <w:szCs w:val="20"/>
                <w:lang w:val="en-GB"/>
              </w:rPr>
            </w:pPr>
            <w:r>
              <w:rPr>
                <w:rFonts w:asciiTheme="minorHAnsi" w:hAnsiTheme="minorHAnsi"/>
                <w:spacing w:val="-3"/>
                <w:sz w:val="20"/>
                <w:szCs w:val="20"/>
                <w:lang w:val="en-GB"/>
              </w:rPr>
              <w:t>I</w:t>
            </w:r>
            <w:r w:rsidRPr="006E3D76">
              <w:rPr>
                <w:rFonts w:asciiTheme="minorHAnsi" w:hAnsiTheme="minorHAnsi"/>
                <w:spacing w:val="-3"/>
                <w:sz w:val="20"/>
                <w:szCs w:val="20"/>
                <w:lang w:val="en-GB"/>
              </w:rPr>
              <w:t xml:space="preserve">n summary, in a Feasibility Study, the economic and financial analyses </w:t>
            </w:r>
            <w:r w:rsidRPr="006E3D76">
              <w:rPr>
                <w:rFonts w:asciiTheme="minorHAnsi" w:hAnsiTheme="minorHAnsi"/>
                <w:spacing w:val="-3"/>
                <w:sz w:val="20"/>
                <w:szCs w:val="20"/>
                <w:u w:val="single"/>
                <w:lang w:val="en-GB"/>
              </w:rPr>
              <w:t>might</w:t>
            </w:r>
            <w:r w:rsidRPr="006E3D76">
              <w:rPr>
                <w:rFonts w:asciiTheme="minorHAnsi" w:hAnsiTheme="minorHAnsi"/>
                <w:spacing w:val="-3"/>
                <w:sz w:val="20"/>
                <w:szCs w:val="20"/>
                <w:lang w:val="en-GB"/>
              </w:rPr>
              <w:t xml:space="preserve"> refer to the selected solution only, as a result of previous studies. In this case, however, the options selection process </w:t>
            </w:r>
            <w:r w:rsidRPr="006E3D76">
              <w:rPr>
                <w:rFonts w:asciiTheme="minorHAnsi" w:hAnsiTheme="minorHAnsi"/>
                <w:spacing w:val="-3"/>
                <w:sz w:val="20"/>
                <w:szCs w:val="20"/>
                <w:u w:val="single"/>
                <w:lang w:val="en-GB"/>
              </w:rPr>
              <w:t>must</w:t>
            </w:r>
            <w:r w:rsidRPr="006E3D76">
              <w:rPr>
                <w:rFonts w:asciiTheme="minorHAnsi" w:hAnsiTheme="minorHAnsi"/>
                <w:spacing w:val="-3"/>
                <w:sz w:val="20"/>
                <w:szCs w:val="20"/>
                <w:lang w:val="en-GB"/>
              </w:rPr>
              <w:t xml:space="preserve"> be described in the summary of the feasibility analysis. Failure to compare a sufficient number of options and lack of complete justification for selection of the option suggested for financing may decrease the chance of approval of the project.</w:t>
            </w:r>
          </w:p>
          <w:p w14:paraId="45CF45A5" w14:textId="431E24C0" w:rsidR="00DC3FFD" w:rsidRPr="0045151D" w:rsidRDefault="00641FB5"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investment options in the majority of road projects may fit into one of the three categories presented in the Table below</w:t>
            </w:r>
            <w:r w:rsidR="00DC3FFD" w:rsidRPr="0045151D">
              <w:rPr>
                <w:rFonts w:ascii="Calibri" w:eastAsia="Calibri" w:hAnsi="Calibri" w:cs="Calibri"/>
                <w:color w:val="000000"/>
                <w:sz w:val="20"/>
                <w:szCs w:val="20"/>
                <w:lang w:val="en-GB"/>
              </w:rPr>
              <w:t>:</w:t>
            </w:r>
          </w:p>
          <w:p w14:paraId="758F4D30" w14:textId="15911789" w:rsidR="00DC3FFD" w:rsidRPr="0045151D" w:rsidRDefault="00DC3FFD"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p>
          <w:p w14:paraId="7A40A83A" w14:textId="1D82A186" w:rsidR="00DC3FFD" w:rsidRPr="0045151D" w:rsidRDefault="00DC3FFD"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p>
          <w:p w14:paraId="377B4D40" w14:textId="104F533D" w:rsidR="00DC3FFD" w:rsidRPr="0045151D" w:rsidRDefault="00DC3FFD"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p>
          <w:p w14:paraId="16D25658" w14:textId="77777777" w:rsidR="00DC3FFD" w:rsidRPr="0045151D" w:rsidRDefault="00DC3FFD" w:rsidP="00DC3FFD">
            <w:pPr>
              <w:pBdr>
                <w:top w:val="nil"/>
                <w:left w:val="nil"/>
                <w:bottom w:val="nil"/>
                <w:right w:val="nil"/>
                <w:between w:val="nil"/>
              </w:pBdr>
              <w:tabs>
                <w:tab w:val="left" w:pos="0"/>
              </w:tabs>
              <w:jc w:val="both"/>
              <w:rPr>
                <w:rFonts w:ascii="Calibri" w:eastAsia="Calibri" w:hAnsi="Calibri" w:cs="Calibri"/>
                <w:b/>
                <w:color w:val="4F81BD"/>
                <w:sz w:val="20"/>
                <w:szCs w:val="20"/>
                <w:lang w:val="en-GB"/>
              </w:rPr>
            </w:pPr>
          </w:p>
          <w:p w14:paraId="3804A14A" w14:textId="07B34CAC" w:rsidR="00600DEE" w:rsidRPr="0045151D"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2. Examples of road project investment categories</w:t>
            </w:r>
          </w:p>
          <w:tbl>
            <w:tblPr>
              <w:tblStyle w:val="af1"/>
              <w:tblW w:w="7032" w:type="dxa"/>
              <w:tblLayout w:type="fixed"/>
              <w:tblLook w:val="0400" w:firstRow="0" w:lastRow="0" w:firstColumn="0" w:lastColumn="0" w:noHBand="0" w:noVBand="1"/>
            </w:tblPr>
            <w:tblGrid>
              <w:gridCol w:w="7032"/>
            </w:tblGrid>
            <w:tr w:rsidR="00600DEE" w:rsidRPr="007463B9" w14:paraId="5CB307D3" w14:textId="77777777" w:rsidTr="00EB64DC">
              <w:trPr>
                <w:trHeight w:hRule="exact" w:val="2268"/>
              </w:trPr>
              <w:tc>
                <w:tcPr>
                  <w:tcW w:w="7032" w:type="dxa"/>
                  <w:shd w:val="clear" w:color="auto" w:fill="DBE5F1"/>
                  <w:vAlign w:val="center"/>
                </w:tcPr>
                <w:p w14:paraId="24AC737E" w14:textId="77777777" w:rsidR="00600DEE" w:rsidRPr="0045151D" w:rsidRDefault="00641FB5">
                  <w:pPr>
                    <w:numPr>
                      <w:ilvl w:val="0"/>
                      <w:numId w:val="3"/>
                    </w:numPr>
                    <w:spacing w:line="276" w:lineRule="auto"/>
                    <w:ind w:left="616" w:right="170" w:hanging="583"/>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Single-location or linear road investments intended to improve the quality of infrastructure, climate change resilience or safety without upgrading the capacity.</w:t>
                  </w:r>
                </w:p>
                <w:p w14:paraId="06D779ED" w14:textId="77777777" w:rsidR="00600DEE" w:rsidRPr="0045151D" w:rsidRDefault="00641FB5">
                  <w:pPr>
                    <w:numPr>
                      <w:ilvl w:val="0"/>
                      <w:numId w:val="3"/>
                    </w:numPr>
                    <w:spacing w:line="276" w:lineRule="auto"/>
                    <w:ind w:left="616" w:right="170" w:hanging="583"/>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Upgrading of an existing road to provide higher capacity/higher standard, e.g. widening (expansion of a single-lane road or addition of traffic lanes).</w:t>
                  </w:r>
                </w:p>
                <w:p w14:paraId="136D21B6" w14:textId="77777777" w:rsidR="00600DEE" w:rsidRPr="0045151D" w:rsidRDefault="00641FB5">
                  <w:pPr>
                    <w:numPr>
                      <w:ilvl w:val="0"/>
                      <w:numId w:val="3"/>
                    </w:numPr>
                    <w:spacing w:line="276" w:lineRule="auto"/>
                    <w:ind w:left="616" w:right="170" w:hanging="583"/>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Construction of a new road with new alignment (including bypass of city).</w:t>
                  </w:r>
                </w:p>
              </w:tc>
            </w:tr>
          </w:tbl>
          <w:p w14:paraId="5B40192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4511851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 of less complex projects, the number of technically, legally, environmentally and politically feasible options may be small; however, for the majority of projects there is usually more than one feasible investment option. Usually, it is feasible to upgrade an existing road in a number of ways. Project staging alternatives may also be considered. </w:t>
            </w:r>
          </w:p>
          <w:p w14:paraId="4C2ADB3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this context, adequate attention should be paid to carrying out an </w:t>
            </w:r>
            <w:r w:rsidRPr="0045151D">
              <w:rPr>
                <w:rFonts w:ascii="Calibri" w:eastAsia="Calibri" w:hAnsi="Calibri" w:cs="Calibri"/>
                <w:b/>
                <w:color w:val="000000"/>
                <w:sz w:val="20"/>
                <w:szCs w:val="20"/>
                <w:lang w:val="en-GB"/>
              </w:rPr>
              <w:t>options analysis including economic impacts during construction period</w:t>
            </w:r>
            <w:r w:rsidRPr="0045151D">
              <w:rPr>
                <w:rFonts w:ascii="Calibri" w:eastAsia="Calibri" w:hAnsi="Calibri" w:cs="Calibri"/>
                <w:color w:val="000000"/>
                <w:sz w:val="20"/>
                <w:szCs w:val="20"/>
                <w:lang w:val="en-GB"/>
              </w:rPr>
              <w:t xml:space="preserve">. Estimation of economic impacts described in chapters below mainly </w:t>
            </w:r>
            <w:proofErr w:type="spellStart"/>
            <w:r w:rsidRPr="0045151D">
              <w:rPr>
                <w:rFonts w:ascii="Calibri" w:eastAsia="Calibri" w:hAnsi="Calibri" w:cs="Calibri"/>
                <w:color w:val="000000"/>
                <w:sz w:val="20"/>
                <w:szCs w:val="20"/>
                <w:lang w:val="en-GB"/>
              </w:rPr>
              <w:t>referr</w:t>
            </w:r>
            <w:proofErr w:type="spellEnd"/>
            <w:r w:rsidRPr="0045151D">
              <w:rPr>
                <w:rFonts w:ascii="Calibri" w:eastAsia="Calibri" w:hAnsi="Calibri" w:cs="Calibri"/>
                <w:color w:val="000000"/>
                <w:sz w:val="20"/>
                <w:szCs w:val="20"/>
                <w:lang w:val="en-GB"/>
              </w:rPr>
              <w:t xml:space="preserve"> to the incremental impacts during the operating period. Nevertheless, it is recognised that for some projects economic impacts on transport users and other citizens during construction are worth considering. Typical relevant cases could be: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road rehabilitation works; (ii) road upgrading, i.e. expansion of existing road capacity, in particular for roads with very high traffic levels, where temporary traffic organisation during works would represent major impacts on users and local citizens.</w:t>
            </w:r>
          </w:p>
          <w:p w14:paraId="232847A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51FC34" w14:textId="77777777" w:rsidR="00600DEE" w:rsidRPr="0045151D" w:rsidRDefault="00641FB5">
            <w:pPr>
              <w:pBdr>
                <w:top w:val="nil"/>
                <w:left w:val="nil"/>
                <w:bottom w:val="nil"/>
                <w:right w:val="nil"/>
                <w:between w:val="nil"/>
              </w:pBdr>
              <w:spacing w:before="120" w:after="24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When applying for EU funding, the process and method of option selection should be presented as well. If it results from a number of different analysis and studies, those should be presented in a summarised form that provides a clear overview of the option analysis process as per above considerations.</w:t>
            </w:r>
          </w:p>
          <w:tbl>
            <w:tblPr>
              <w:tblStyle w:val="af2"/>
              <w:tblW w:w="7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7"/>
            </w:tblGrid>
            <w:tr w:rsidR="00600DEE" w:rsidRPr="007463B9" w14:paraId="42CCAC30" w14:textId="77777777" w:rsidTr="0073146B">
              <w:trPr>
                <w:trHeight w:hRule="exact" w:val="1134"/>
              </w:trPr>
              <w:tc>
                <w:tcPr>
                  <w:tcW w:w="7057" w:type="dxa"/>
                  <w:shd w:val="clear" w:color="auto" w:fill="auto"/>
                  <w:vAlign w:val="center"/>
                </w:tcPr>
                <w:p w14:paraId="7345409D" w14:textId="77777777" w:rsidR="00600DEE" w:rsidRPr="0045151D" w:rsidRDefault="00641FB5">
                  <w:pPr>
                    <w:spacing w:before="60" w:after="60" w:line="276" w:lineRule="auto"/>
                    <w:ind w:right="170"/>
                    <w:jc w:val="both"/>
                    <w:rPr>
                      <w:rFonts w:ascii="Calibri" w:eastAsia="Calibri" w:hAnsi="Calibri" w:cs="Calibri"/>
                      <w:sz w:val="18"/>
                      <w:szCs w:val="18"/>
                      <w:lang w:val="en-GB"/>
                    </w:rPr>
                  </w:pPr>
                  <w:r w:rsidRPr="0045151D">
                    <w:rPr>
                      <w:rFonts w:ascii="Calibri" w:eastAsia="Calibri" w:hAnsi="Calibri" w:cs="Calibri"/>
                      <w:sz w:val="18"/>
                      <w:szCs w:val="18"/>
                      <w:lang w:val="en-GB"/>
                    </w:rPr>
                    <w:lastRenderedPageBreak/>
                    <w:t>Whereas the number of investment options examined under the CBA is up to the promoter of the project, who must be able to demonstrate that all reasonable alternative options have been considered adequately and justify the reasons for which the final option/s was/were chosen.</w:t>
                  </w:r>
                </w:p>
              </w:tc>
            </w:tr>
          </w:tbl>
          <w:p w14:paraId="40F68FAB" w14:textId="77777777" w:rsidR="00600DEE"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b/>
                <w:color w:val="4F81BD"/>
                <w:sz w:val="20"/>
                <w:szCs w:val="20"/>
              </w:rPr>
            </w:pPr>
            <w:proofErr w:type="spellStart"/>
            <w:r>
              <w:rPr>
                <w:rFonts w:ascii="Calibri" w:eastAsia="Calibri" w:hAnsi="Calibri" w:cs="Calibri"/>
                <w:b/>
                <w:color w:val="4F81BD"/>
                <w:sz w:val="20"/>
                <w:szCs w:val="20"/>
              </w:rPr>
              <w:t>Table</w:t>
            </w:r>
            <w:proofErr w:type="spellEnd"/>
            <w:r>
              <w:rPr>
                <w:rFonts w:ascii="Calibri" w:eastAsia="Calibri" w:hAnsi="Calibri" w:cs="Calibri"/>
                <w:b/>
                <w:color w:val="4F81BD"/>
                <w:sz w:val="20"/>
                <w:szCs w:val="20"/>
              </w:rPr>
              <w:t xml:space="preserve"> 3. Preliminary </w:t>
            </w:r>
            <w:proofErr w:type="spellStart"/>
            <w:r>
              <w:rPr>
                <w:rFonts w:ascii="Calibri" w:eastAsia="Calibri" w:hAnsi="Calibri" w:cs="Calibri"/>
                <w:b/>
                <w:color w:val="4F81BD"/>
                <w:sz w:val="20"/>
                <w:szCs w:val="20"/>
              </w:rPr>
              <w:t>options</w:t>
            </w:r>
            <w:proofErr w:type="spellEnd"/>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analysis</w:t>
            </w:r>
            <w:proofErr w:type="spellEnd"/>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outputs</w:t>
            </w:r>
            <w:proofErr w:type="spellEnd"/>
          </w:p>
          <w:tbl>
            <w:tblPr>
              <w:tblStyle w:val="af3"/>
              <w:tblW w:w="7087" w:type="dxa"/>
              <w:tblInd w:w="2" w:type="dxa"/>
              <w:tblBorders>
                <w:insideH w:val="single" w:sz="4" w:space="0" w:color="000000"/>
                <w:insideV w:val="single" w:sz="4" w:space="0" w:color="000000"/>
              </w:tblBorders>
              <w:tblLayout w:type="fixed"/>
              <w:tblLook w:val="0400" w:firstRow="0" w:lastRow="0" w:firstColumn="0" w:lastColumn="0" w:noHBand="0" w:noVBand="1"/>
            </w:tblPr>
            <w:tblGrid>
              <w:gridCol w:w="7087"/>
            </w:tblGrid>
            <w:tr w:rsidR="00600DEE" w:rsidRPr="007463B9" w14:paraId="047ACC36" w14:textId="77777777" w:rsidTr="00DC3FFD">
              <w:trPr>
                <w:trHeight w:hRule="exact" w:val="4536"/>
              </w:trPr>
              <w:tc>
                <w:tcPr>
                  <w:tcW w:w="7087" w:type="dxa"/>
                  <w:shd w:val="clear" w:color="auto" w:fill="DBE5F1"/>
                  <w:vAlign w:val="center"/>
                </w:tcPr>
                <w:p w14:paraId="4DF271FB"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Project objectives (what should be achieved rather than how to do it; e.g. increased road traffic safety and climate resilience of road infrastructure).</w:t>
                  </w:r>
                </w:p>
                <w:p w14:paraId="690B825F" w14:textId="77777777" w:rsidR="00600DEE" w:rsidRDefault="00641FB5">
                  <w:pPr>
                    <w:numPr>
                      <w:ilvl w:val="0"/>
                      <w:numId w:val="3"/>
                    </w:numPr>
                    <w:spacing w:line="276" w:lineRule="auto"/>
                    <w:ind w:left="756" w:right="284" w:hanging="756"/>
                    <w:jc w:val="both"/>
                    <w:rPr>
                      <w:rFonts w:ascii="Calibri" w:eastAsia="Calibri" w:hAnsi="Calibri" w:cs="Calibri"/>
                      <w:color w:val="4F81BD"/>
                      <w:sz w:val="17"/>
                      <w:szCs w:val="17"/>
                    </w:rPr>
                  </w:pPr>
                  <w:r w:rsidRPr="0045151D">
                    <w:rPr>
                      <w:rFonts w:ascii="Calibri" w:eastAsia="Calibri" w:hAnsi="Calibri" w:cs="Calibri"/>
                      <w:color w:val="4F81BD"/>
                      <w:sz w:val="17"/>
                      <w:szCs w:val="17"/>
                      <w:lang w:val="en-GB"/>
                    </w:rPr>
                    <w:t xml:space="preserve">Reference to key planning and strategy documents and decisions which are binding for the project Beneficiary. </w:t>
                  </w:r>
                  <w:r>
                    <w:rPr>
                      <w:rFonts w:ascii="Calibri" w:eastAsia="Calibri" w:hAnsi="Calibri" w:cs="Calibri"/>
                      <w:color w:val="4F81BD"/>
                      <w:sz w:val="17"/>
                      <w:szCs w:val="17"/>
                    </w:rPr>
                    <w:t xml:space="preserve">Strategic </w:t>
                  </w:r>
                  <w:proofErr w:type="spellStart"/>
                  <w:r>
                    <w:rPr>
                      <w:rFonts w:ascii="Calibri" w:eastAsia="Calibri" w:hAnsi="Calibri" w:cs="Calibri"/>
                      <w:color w:val="4F81BD"/>
                      <w:sz w:val="17"/>
                      <w:szCs w:val="17"/>
                    </w:rPr>
                    <w:t>context</w:t>
                  </w:r>
                  <w:proofErr w:type="spellEnd"/>
                  <w:r>
                    <w:rPr>
                      <w:rFonts w:ascii="Calibri" w:eastAsia="Calibri" w:hAnsi="Calibri" w:cs="Calibri"/>
                      <w:color w:val="4F81BD"/>
                      <w:sz w:val="17"/>
                      <w:szCs w:val="17"/>
                    </w:rPr>
                    <w:t xml:space="preserve"> </w:t>
                  </w:r>
                  <w:proofErr w:type="spellStart"/>
                  <w:r>
                    <w:rPr>
                      <w:rFonts w:ascii="Calibri" w:eastAsia="Calibri" w:hAnsi="Calibri" w:cs="Calibri"/>
                      <w:color w:val="4F81BD"/>
                      <w:sz w:val="17"/>
                      <w:szCs w:val="17"/>
                    </w:rPr>
                    <w:t>within</w:t>
                  </w:r>
                  <w:proofErr w:type="spellEnd"/>
                  <w:r>
                    <w:rPr>
                      <w:rFonts w:ascii="Calibri" w:eastAsia="Calibri" w:hAnsi="Calibri" w:cs="Calibri"/>
                      <w:color w:val="4F81BD"/>
                      <w:sz w:val="17"/>
                      <w:szCs w:val="17"/>
                    </w:rPr>
                    <w:t xml:space="preserve"> </w:t>
                  </w:r>
                  <w:proofErr w:type="spellStart"/>
                  <w:r>
                    <w:rPr>
                      <w:rFonts w:ascii="Calibri" w:eastAsia="Calibri" w:hAnsi="Calibri" w:cs="Calibri"/>
                      <w:color w:val="4F81BD"/>
                      <w:sz w:val="17"/>
                      <w:szCs w:val="17"/>
                    </w:rPr>
                    <w:t>multi-modal</w:t>
                  </w:r>
                  <w:proofErr w:type="spellEnd"/>
                  <w:r>
                    <w:rPr>
                      <w:rFonts w:ascii="Calibri" w:eastAsia="Calibri" w:hAnsi="Calibri" w:cs="Calibri"/>
                      <w:color w:val="4F81BD"/>
                      <w:sz w:val="17"/>
                      <w:szCs w:val="17"/>
                    </w:rPr>
                    <w:t xml:space="preserve"> </w:t>
                  </w:r>
                  <w:proofErr w:type="spellStart"/>
                  <w:r>
                    <w:rPr>
                      <w:rFonts w:ascii="Calibri" w:eastAsia="Calibri" w:hAnsi="Calibri" w:cs="Calibri"/>
                      <w:color w:val="4F81BD"/>
                      <w:sz w:val="17"/>
                      <w:szCs w:val="17"/>
                    </w:rPr>
                    <w:t>view</w:t>
                  </w:r>
                  <w:proofErr w:type="spellEnd"/>
                  <w:r>
                    <w:rPr>
                      <w:rFonts w:ascii="Calibri" w:eastAsia="Calibri" w:hAnsi="Calibri" w:cs="Calibri"/>
                      <w:color w:val="4F81BD"/>
                      <w:sz w:val="17"/>
                      <w:szCs w:val="17"/>
                    </w:rPr>
                    <w:t>.</w:t>
                  </w:r>
                </w:p>
                <w:p w14:paraId="79956EB2"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Identification of options (road rehabilitation or reconstruction, new road alignment, interventions in other modes, etc.).</w:t>
                  </w:r>
                </w:p>
                <w:p w14:paraId="74C489FD"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Project description for each short-listed road investment option including at least the following elements:</w:t>
                  </w:r>
                </w:p>
                <w:p w14:paraId="32EE9B55" w14:textId="77777777" w:rsidR="00600DEE" w:rsidRDefault="00641FB5">
                  <w:pPr>
                    <w:numPr>
                      <w:ilvl w:val="0"/>
                      <w:numId w:val="12"/>
                    </w:numPr>
                    <w:spacing w:line="276" w:lineRule="auto"/>
                    <w:ind w:left="756" w:right="284" w:hanging="442"/>
                    <w:jc w:val="both"/>
                    <w:rPr>
                      <w:rFonts w:ascii="Calibri" w:eastAsia="Calibri" w:hAnsi="Calibri" w:cs="Calibri"/>
                      <w:color w:val="4F81BD"/>
                      <w:sz w:val="17"/>
                      <w:szCs w:val="17"/>
                    </w:rPr>
                  </w:pPr>
                  <w:r>
                    <w:rPr>
                      <w:rFonts w:ascii="Calibri" w:eastAsia="Calibri" w:hAnsi="Calibri" w:cs="Calibri"/>
                      <w:color w:val="4F81BD"/>
                      <w:sz w:val="17"/>
                      <w:szCs w:val="17"/>
                    </w:rPr>
                    <w:t xml:space="preserve">investment </w:t>
                  </w:r>
                  <w:proofErr w:type="spellStart"/>
                  <w:r>
                    <w:rPr>
                      <w:rFonts w:ascii="Calibri" w:eastAsia="Calibri" w:hAnsi="Calibri" w:cs="Calibri"/>
                      <w:color w:val="4F81BD"/>
                      <w:sz w:val="17"/>
                      <w:szCs w:val="17"/>
                    </w:rPr>
                    <w:t>costs</w:t>
                  </w:r>
                  <w:proofErr w:type="spellEnd"/>
                  <w:r>
                    <w:rPr>
                      <w:rFonts w:ascii="Calibri" w:eastAsia="Calibri" w:hAnsi="Calibri" w:cs="Calibri"/>
                      <w:color w:val="4F81BD"/>
                      <w:sz w:val="17"/>
                      <w:szCs w:val="17"/>
                    </w:rPr>
                    <w:t>,</w:t>
                  </w:r>
                </w:p>
                <w:p w14:paraId="06C9DF6E"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key parameters and functionality aspects: class and category, design speed, length, number of carriageways and lanes, number and length of structures, etc.,</w:t>
                  </w:r>
                </w:p>
                <w:p w14:paraId="098D2062"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criteria used to select the preferred option,</w:t>
                  </w:r>
                </w:p>
                <w:p w14:paraId="06200388"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advantages/disadvantages of each option,</w:t>
                  </w:r>
                </w:p>
                <w:p w14:paraId="1534272A"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 xml:space="preserve">map with location of the options. </w:t>
                  </w:r>
                </w:p>
                <w:p w14:paraId="0CCF36ED"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Presentation of the socio-economic context.</w:t>
                  </w:r>
                </w:p>
              </w:tc>
            </w:tr>
          </w:tbl>
          <w:p w14:paraId="75F8EA3D" w14:textId="77777777" w:rsidR="00600DEE"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p w14:paraId="693F0FF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Indicators of socio-economic efficiency from CBA, such as ENPV and ERR (and possibly also BCR), contribute to the final option selection (when CBA has been used as an option selection method). Theoretically, if the initial analysis phase pre-selects options corresponding to expected objectives (i.e. environmental benefits, alignment with climate targets, financial sustainability…), then the one characterised by the best economic indicator values, expressed by the level of ERR and/or BCR (ENPV can be the same for options with different ERR, or the other way round) should be chosen.</w:t>
            </w:r>
          </w:p>
          <w:p w14:paraId="02E6EC0E" w14:textId="77777777" w:rsidR="00DC3FFD" w:rsidRPr="0045151D" w:rsidRDefault="00DC3FFD">
            <w:pPr>
              <w:pBdr>
                <w:top w:val="nil"/>
                <w:left w:val="nil"/>
                <w:bottom w:val="nil"/>
                <w:right w:val="nil"/>
                <w:between w:val="nil"/>
              </w:pBdr>
              <w:spacing w:before="120"/>
              <w:jc w:val="both"/>
              <w:rPr>
                <w:rFonts w:ascii="Calibri" w:eastAsia="Calibri" w:hAnsi="Calibri" w:cs="Calibri"/>
                <w:color w:val="000000"/>
                <w:sz w:val="20"/>
                <w:szCs w:val="20"/>
                <w:lang w:val="en-GB"/>
              </w:rPr>
            </w:pPr>
          </w:p>
          <w:p w14:paraId="79D1686C" w14:textId="77777777" w:rsidR="00DC3FFD" w:rsidRPr="0045151D" w:rsidRDefault="00DC3FFD">
            <w:pPr>
              <w:pBdr>
                <w:top w:val="nil"/>
                <w:left w:val="nil"/>
                <w:bottom w:val="nil"/>
                <w:right w:val="nil"/>
                <w:between w:val="nil"/>
              </w:pBdr>
              <w:spacing w:before="120"/>
              <w:jc w:val="both"/>
              <w:rPr>
                <w:rFonts w:ascii="Calibri" w:eastAsia="Calibri" w:hAnsi="Calibri" w:cs="Calibri"/>
                <w:color w:val="000000"/>
                <w:sz w:val="20"/>
                <w:szCs w:val="20"/>
                <w:lang w:val="en-GB"/>
              </w:rPr>
            </w:pPr>
          </w:p>
          <w:p w14:paraId="20B65781" w14:textId="77777777" w:rsidR="00DC3FFD" w:rsidRPr="0045151D" w:rsidRDefault="00DC3FFD">
            <w:pPr>
              <w:pBdr>
                <w:top w:val="nil"/>
                <w:left w:val="nil"/>
                <w:bottom w:val="nil"/>
                <w:right w:val="nil"/>
                <w:between w:val="nil"/>
              </w:pBdr>
              <w:spacing w:before="120"/>
              <w:jc w:val="both"/>
              <w:rPr>
                <w:rFonts w:ascii="Calibri" w:eastAsia="Calibri" w:hAnsi="Calibri" w:cs="Calibri"/>
                <w:color w:val="000000"/>
                <w:sz w:val="20"/>
                <w:szCs w:val="20"/>
                <w:lang w:val="en-GB"/>
              </w:rPr>
            </w:pPr>
          </w:p>
          <w:p w14:paraId="33541620" w14:textId="719FF63C"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However, if the economic analysis results in two or more options of significantly different costs and both considered acceptable (or comparable), the final investment option selection shall consider:</w:t>
            </w:r>
          </w:p>
          <w:p w14:paraId="3BE1A796" w14:textId="77777777" w:rsidR="00600DEE" w:rsidRPr="0045151D" w:rsidRDefault="00641FB5">
            <w:pPr>
              <w:numPr>
                <w:ilvl w:val="1"/>
                <w:numId w:val="9"/>
              </w:numPr>
              <w:pBdr>
                <w:top w:val="nil"/>
                <w:left w:val="nil"/>
                <w:bottom w:val="nil"/>
                <w:right w:val="nil"/>
                <w:between w:val="nil"/>
              </w:pBdr>
              <w:spacing w:before="120"/>
              <w:ind w:left="866" w:hanging="86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price affordability was the main factor, then the lowest price option should be selected, to release resources for other projects while considering all relevant aspects of the investment strategy,</w:t>
            </w:r>
          </w:p>
          <w:p w14:paraId="5AE6F6CA" w14:textId="77777777" w:rsidR="00600DEE" w:rsidRPr="0045151D" w:rsidRDefault="00641FB5">
            <w:pPr>
              <w:numPr>
                <w:ilvl w:val="1"/>
                <w:numId w:val="9"/>
              </w:numPr>
              <w:pBdr>
                <w:top w:val="nil"/>
                <w:left w:val="nil"/>
                <w:bottom w:val="nil"/>
                <w:right w:val="nil"/>
                <w:between w:val="nil"/>
              </w:pBdr>
              <w:spacing w:before="120"/>
              <w:ind w:left="866" w:hanging="86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a more expensive project option was better aligned with the key strategic objective and with other relevant aspects of the investment strategy (e.g. environment constraints), while the resources were available, it would be acceptable to select such option.</w:t>
            </w:r>
          </w:p>
          <w:p w14:paraId="6996804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logic for the final decision should be presented in the grant application form, if an EU grant is sought. Clearly, if the option with significantly poorer economic results was chosen over the option with much better parameters, the reasons for the selection will have to be provided in detail.</w:t>
            </w:r>
          </w:p>
          <w:p w14:paraId="4DC4A013"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color w:val="000000"/>
                <w:sz w:val="20"/>
                <w:szCs w:val="20"/>
                <w:lang w:val="en-GB"/>
              </w:rPr>
              <w:t>Once the optimal solution is identified based on the above, a full-scale CBA (i.e. based on the present Manual, if it was not performed at option selection stage) needs to be carried out for the selected option to confirm the adequacy and economic convenience of the proposed solution to meet the pre-established project objectives.</w:t>
            </w:r>
          </w:p>
        </w:tc>
      </w:tr>
    </w:tbl>
    <w:p w14:paraId="61260E06" w14:textId="0A9D846A" w:rsidR="00600DEE" w:rsidRDefault="00641FB5" w:rsidP="00D5736B">
      <w:pPr>
        <w:pStyle w:val="Nagwek2"/>
        <w:numPr>
          <w:ilvl w:val="1"/>
          <w:numId w:val="17"/>
        </w:numPr>
        <w:ind w:left="0" w:firstLine="0"/>
        <w:rPr>
          <w:rFonts w:ascii="Calibri" w:eastAsia="Calibri" w:hAnsi="Calibri" w:cs="Calibri"/>
          <w:i/>
          <w:color w:val="4F81BD"/>
        </w:rPr>
      </w:pPr>
      <w:bookmarkStart w:id="32" w:name="_Toc95377969"/>
      <w:proofErr w:type="spellStart"/>
      <w:r>
        <w:rPr>
          <w:rFonts w:ascii="Calibri" w:eastAsia="Calibri" w:hAnsi="Calibri" w:cs="Calibri"/>
          <w:color w:val="4F81BD"/>
        </w:rPr>
        <w:lastRenderedPageBreak/>
        <w:t>Definicja</w:t>
      </w:r>
      <w:proofErr w:type="spellEnd"/>
      <w:r>
        <w:rPr>
          <w:rFonts w:ascii="Calibri" w:eastAsia="Calibri" w:hAnsi="Calibri" w:cs="Calibri"/>
          <w:color w:val="4F81BD"/>
        </w:rPr>
        <w:t xml:space="preserve"> </w:t>
      </w:r>
      <w:proofErr w:type="spellStart"/>
      <w:r>
        <w:rPr>
          <w:rFonts w:ascii="Calibri" w:eastAsia="Calibri" w:hAnsi="Calibri" w:cs="Calibri"/>
          <w:color w:val="4F81BD"/>
        </w:rPr>
        <w:t>wariantu</w:t>
      </w:r>
      <w:proofErr w:type="spellEnd"/>
      <w:r>
        <w:rPr>
          <w:rFonts w:ascii="Calibri" w:eastAsia="Calibri" w:hAnsi="Calibri" w:cs="Calibri"/>
          <w:color w:val="4F81BD"/>
        </w:rPr>
        <w:t xml:space="preserve"> </w:t>
      </w:r>
      <w:proofErr w:type="spellStart"/>
      <w:r>
        <w:rPr>
          <w:rFonts w:ascii="Calibri" w:eastAsia="Calibri" w:hAnsi="Calibri" w:cs="Calibri"/>
          <w:color w:val="4F81BD"/>
        </w:rPr>
        <w:t>bezinwestycyjnego</w:t>
      </w:r>
      <w:proofErr w:type="spellEnd"/>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1.5   Definition of the Without-the-Project Option</w:t>
      </w:r>
      <w:bookmarkEnd w:id="32"/>
    </w:p>
    <w:tbl>
      <w:tblPr>
        <w:tblStyle w:val="af4"/>
        <w:tblW w:w="14571" w:type="dxa"/>
        <w:tblLayout w:type="fixed"/>
        <w:tblLook w:val="0400" w:firstRow="0" w:lastRow="0" w:firstColumn="0" w:lastColumn="0" w:noHBand="0" w:noVBand="1"/>
      </w:tblPr>
      <w:tblGrid>
        <w:gridCol w:w="7367"/>
        <w:gridCol w:w="7204"/>
      </w:tblGrid>
      <w:tr w:rsidR="00600DEE" w14:paraId="04157C93" w14:textId="77777777">
        <w:trPr>
          <w:trHeight w:val="3675"/>
        </w:trPr>
        <w:tc>
          <w:tcPr>
            <w:tcW w:w="7367" w:type="dxa"/>
            <w:tcBorders>
              <w:right w:val="single" w:sz="4" w:space="0" w:color="000000"/>
            </w:tcBorders>
            <w:tcMar>
              <w:left w:w="284" w:type="dxa"/>
              <w:right w:w="284" w:type="dxa"/>
            </w:tcMar>
          </w:tcPr>
          <w:p w14:paraId="0BF4F75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Analiza AKK opiera się na metodzie przyrostowej polegającej na porównaniu scenariusza projektu dla wariantu inwestycyjnego (z projektem) z bazowym scenariuszem dla wariantu bezinwestycyjnego (bez projektu) z uwzględnieniem – w uzasadnionych przypadkach – innych gałęzi transportu. </w:t>
            </w:r>
          </w:p>
          <w:p w14:paraId="4FC275F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Wariant bezinwestycyjny (W0)</w:t>
            </w:r>
            <w:r>
              <w:rPr>
                <w:rFonts w:ascii="Calibri" w:eastAsia="Calibri" w:hAnsi="Calibri" w:cs="Calibri"/>
                <w:color w:val="000000"/>
                <w:sz w:val="20"/>
                <w:szCs w:val="20"/>
              </w:rPr>
              <w:t xml:space="preserve"> jest wyjściowym wariantem w AKK i stanowi odniesienie, do którego będą porównywane wszystkie warianty inwestycyjne. Należy go zatem poddać ocenie na takim samym poziomie szczegółowości jak warianty inwestycyjne, aby AKK stanowiła rzeczywiste porównanie.</w:t>
            </w:r>
          </w:p>
          <w:p w14:paraId="7233592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studiach wykonalności i rozmaitych wytycznych na określenie wariantu, do którego porównywane są warianty inwestycyjne, używa się wielu terminów. Używane są określenia: wariant „nic-nie-robić”, wariant „minimum”, wariant „odniesienia” lub wariant „bazowy”. Mogą one prowadzić do nieporozumień i zachęcić wykonawcę analizy do porównywania wariantów inwestycyjnych z wariantem uważanym za minimalny poziom inwestycji, który nie jest odniesieniem, gdyż sam w sobie jest wariantem inwestycyjnym. Autorzy opracowania przyjęli określenie „wariant bezinwestycyjny” (W0), który najtrafniej opisuje przewidywany poziom ponoszonych kosztów i efektywności infrastruktury, jeżeli nie będzie realizowany żaden wariant inwestycyjny.</w:t>
            </w:r>
          </w:p>
          <w:p w14:paraId="36EFBBE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Wariant bezinwestycyjny oznacza ponoszenie niezbędnych kosztów eksploatacji i utrzymania (które mogą ulegać znacznemu wzrostowi ze względu na pogarszający się stan infrastruktury) w celu zapewnienia minimalnego standardu utrzymania i umożliwienia funkcjonowania infrastruktury drogowej bez znaczącego pogorszenia jej stanu technicznego (przez cały okres analizy). Ta definicja winna być interpretowana, jako zapewnianie standardowego poziomu remontów i utrzymania istniejącej infrastruktury i sprzętu. Jest oczywiste, że W0 może zakładać wzrost lub spadek ruchu na skutek innych działań inwestycyjnych prowadzonych na sieci dróg (w obszarze oddziaływania), ale niezwiązanych z rozpatrywanym projektem. Warunki ruchu mogą też ulec poprawie niekoniecznie na skutek inwestycji kapitałowych, a np. na skutek działań w obszarze inżynierii ruchu.</w:t>
            </w:r>
          </w:p>
          <w:p w14:paraId="26096B0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Punktem wyjścia jest stan istniejącej drogi, nie tylko w momencie dokonywania analizy, lecz przez cały okres odniesienia dla porównywania W0 i wariantów inwestycyjnych. Ocena stanu istniejącego zazwyczaj zostaje dokonana w fazie początkowej (patrz rozdział 1.2).</w:t>
            </w:r>
          </w:p>
          <w:p w14:paraId="525CF0D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 celu oceny potrzeb związanych z pełnym określeniem W0, należy rozpatrzyć skutki oddziaływania wariantu(ów) projektu. Jeżeli inwestycja będzie oddziaływać na natężenie ruchu na rozleglejszej sieci niż bezpośredni korytarz (stwierdzone w oparciu o model ruchu, adekwatny do rodzaju projektu), to dla właściwego określenia W0 należy wykonać prognozę ruchu na wszystkich odcinkach dróg, na które będzie miała wpływ projektowana inwestycja, do wykorzystania w analizie ekonomicznej (z użyciem prac przewozowych).</w:t>
            </w:r>
          </w:p>
          <w:p w14:paraId="52916D5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również w spójny sposób porównać koszty eksploatacji i utrzymania w W0 i wariantach inwestycyjnych projektu – wykorzystując jednakowe stawki jednostkowe dla poszczególnych typów kosztów. Prognozowane koszty mogą być oparte o historyczne koszty jednostkowe, przy założeniu, że gwarantują należyty jakościowy standard utrzymania. W przypadku znaczącego historycznego niedofinansowania, które doprowadziło do poważnej degradacji infrastruktury, należy założyć taki standard utrzymaniowy, który zagwarantuje oczekiwany poziom utrzymania (w oparciu np. o koszty jednostkowe zawarte w załączniku A). </w:t>
            </w:r>
          </w:p>
          <w:p w14:paraId="301D2DC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Ważne jest też zagwarantowanie dużego stopnia realizmu W0 oraz unikanie prezentacji nadmiernego pogorszenia się warunków lub powstawania zatorów na istniejącej drodze, wynikających z nieuwzględnienia pozytywnych skutków niezbędnych remontów lub realizacji innych planowanych inwestycji pozostających poza zakresem wariantów analizowanego projektu (na przykład już zaplanowanej kluczowej obwodnicy lub trasy alternatywnej, zlokalizowanej w pobliżu przedmiotowej trasy).</w:t>
            </w:r>
          </w:p>
          <w:p w14:paraId="6A72E0F8"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542D7F95"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08449C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E0F182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41F823D"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7D43CB9"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42A4185"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42093FD"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0DA1060"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8B306F3"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571E441C" w14:textId="77777777" w:rsidR="00600DEE" w:rsidRDefault="00641FB5">
            <w:pPr>
              <w:pBdr>
                <w:top w:val="nil"/>
                <w:left w:val="nil"/>
                <w:bottom w:val="nil"/>
                <w:right w:val="nil"/>
                <w:between w:val="nil"/>
              </w:pBdr>
              <w:spacing w:after="120"/>
              <w:jc w:val="both"/>
              <w:rPr>
                <w:rFonts w:ascii="Calibri" w:eastAsia="Calibri" w:hAnsi="Calibri" w:cs="Calibri"/>
                <w:color w:val="4F81BD"/>
                <w:sz w:val="20"/>
                <w:szCs w:val="20"/>
              </w:rPr>
            </w:pPr>
            <w:r>
              <w:rPr>
                <w:rFonts w:ascii="Calibri" w:eastAsia="Calibri" w:hAnsi="Calibri" w:cs="Calibri"/>
                <w:b/>
                <w:color w:val="4F81BD"/>
                <w:sz w:val="20"/>
                <w:szCs w:val="20"/>
              </w:rPr>
              <w:lastRenderedPageBreak/>
              <w:t>Tabela 4. Definiowanie wariantu bezinwestycyjnego (W0)</w:t>
            </w:r>
          </w:p>
          <w:tbl>
            <w:tblPr>
              <w:tblStyle w:val="af5"/>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14:paraId="44E2821F" w14:textId="77777777" w:rsidTr="00DC3FFD">
              <w:trPr>
                <w:trHeight w:hRule="exact" w:val="4536"/>
              </w:trPr>
              <w:tc>
                <w:tcPr>
                  <w:tcW w:w="6946" w:type="dxa"/>
                  <w:shd w:val="clear" w:color="auto" w:fill="DBE5F1"/>
                  <w:vAlign w:val="center"/>
                </w:tcPr>
                <w:p w14:paraId="3F27C9FA"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W0 jest podstawowym (bazowym) i wyjściowym wariantem odniesienia stosowanym w metodzie przyrostowej.</w:t>
                  </w:r>
                </w:p>
                <w:p w14:paraId="747C538F"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Wymaga precyzyjnej oceny stanu istniejącego i jego zmian w okresie odniesienia (referencyjnym analizy).</w:t>
                  </w:r>
                </w:p>
                <w:p w14:paraId="609E89B0" w14:textId="5535806F"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Musi uwzględniać prognozy zdarzeń na wszystkich istotnych fragmentach sieci, które pozostają w obszarze wpływu wariantów projektu (w tym, tam gdzie to uzasadnione, także możliwe zmiany podziału zadań przewozowych na skutek inwestycji w transport zbiorowy (np. kolejowy).</w:t>
                  </w:r>
                </w:p>
                <w:p w14:paraId="3D14FEC7"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Spójny szacunek kosztów eksploatacji i utrzymania musi pozwalać na porównanie W0 z wariantami inwestycyjnymi projektu.</w:t>
                  </w:r>
                </w:p>
                <w:p w14:paraId="697EE9F6"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W0 musi być realistyczny i nie zniekształcać zmian zachodzących w czasie.</w:t>
                  </w:r>
                </w:p>
              </w:tc>
            </w:tr>
          </w:tbl>
          <w:p w14:paraId="40A6AD7D" w14:textId="77777777" w:rsidR="00600DEE" w:rsidRDefault="00641FB5">
            <w:pPr>
              <w:pBdr>
                <w:top w:val="nil"/>
                <w:left w:val="nil"/>
                <w:bottom w:val="nil"/>
                <w:right w:val="nil"/>
                <w:between w:val="nil"/>
              </w:pBdr>
              <w:spacing w:before="120" w:after="24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04" w:type="dxa"/>
            <w:tcBorders>
              <w:left w:val="single" w:sz="4" w:space="0" w:color="000000"/>
            </w:tcBorders>
            <w:tcMar>
              <w:left w:w="284" w:type="dxa"/>
              <w:right w:w="284" w:type="dxa"/>
            </w:tcMar>
          </w:tcPr>
          <w:p w14:paraId="555A602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CBA is based on the incremental approach which compares an investment scenario (with-the-project) with a counterfactual baseline scenario (without-the-project) </w:t>
            </w:r>
            <w:proofErr w:type="spellStart"/>
            <w:r w:rsidRPr="0045151D">
              <w:rPr>
                <w:rFonts w:ascii="Calibri" w:eastAsia="Calibri" w:hAnsi="Calibri" w:cs="Calibri"/>
                <w:color w:val="000000"/>
                <w:sz w:val="20"/>
                <w:szCs w:val="20"/>
                <w:lang w:val="en-GB"/>
              </w:rPr>
              <w:t>incuding</w:t>
            </w:r>
            <w:proofErr w:type="spellEnd"/>
            <w:r w:rsidRPr="0045151D">
              <w:rPr>
                <w:rFonts w:ascii="Calibri" w:eastAsia="Calibri" w:hAnsi="Calibri" w:cs="Calibri"/>
                <w:color w:val="000000"/>
                <w:sz w:val="20"/>
                <w:szCs w:val="20"/>
                <w:lang w:val="en-GB"/>
              </w:rPr>
              <w:t xml:space="preserve"> - if relevant - other transport modes. </w:t>
            </w:r>
          </w:p>
          <w:p w14:paraId="0727F73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w:t>
            </w:r>
            <w:r w:rsidRPr="0045151D">
              <w:rPr>
                <w:rFonts w:ascii="Calibri" w:eastAsia="Calibri" w:hAnsi="Calibri" w:cs="Calibri"/>
                <w:b/>
                <w:color w:val="000000"/>
                <w:sz w:val="20"/>
                <w:szCs w:val="20"/>
                <w:lang w:val="en-GB"/>
              </w:rPr>
              <w:t>Without-the-Project Option (W0)</w:t>
            </w:r>
            <w:r w:rsidRPr="0045151D">
              <w:rPr>
                <w:rFonts w:ascii="Calibri" w:eastAsia="Calibri" w:hAnsi="Calibri" w:cs="Calibri"/>
                <w:color w:val="000000"/>
                <w:sz w:val="20"/>
                <w:szCs w:val="20"/>
                <w:lang w:val="en-GB"/>
              </w:rPr>
              <w:t xml:space="preserve"> is the basic option in the CBA as it constitutes the reference which all investment options will be compared to. Therefore, it must be assessed at the same level of detail as the investment options, in order that the CBA provides a genuine comparison.</w:t>
            </w:r>
          </w:p>
          <w:p w14:paraId="234499A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There are many terms used in feasibility studies and guidance documents for the option to which the investment options are compared to. The terms “Do-Nothing Scenario”, “Do-Minimum Option”, “Reference Case” and “Base Case” are all used. They may lead to confusion and may encourage the analyst to compare the investment options to what is considered to be the minimum level of investment, which is not a suitable reference as it is an investment option itself. Therefore, the authors have adopted the term “Without-the-Project Option” (W0) which most accurately describes the predicted level of incurred costs and the level of performance of the infrastructure if no investment option is implemented.</w:t>
            </w:r>
          </w:p>
          <w:p w14:paraId="19C87CB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Without-the-Project Option means the incurring of the necessary maintenance and operation costs (that with time may significantly increase due to deterioration of the infrastructure condition) in order to provide the required minimum maintenance standard and to enable the operation of the road infrastructure without significant deterioration of its technical condition (through the whole reference period). This definition may be interpreted as assurance of existing infrastructure and equipment repair and maintenance at a standard level. Of course, traffic in the Without-the-Project Option may be assumed to grow or decrease, as there might be works in the network (in the affected area) carried out regardless of the project in question. Traffic conditions may also be improved without capital expenditure (e.g. due to traffic management actions).</w:t>
            </w:r>
          </w:p>
          <w:p w14:paraId="3B65E79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starting point is the existing condition of the road, not only at the time of analysis, but also during the whole reference period for the comparison of the W0 and investment options. Assessment of the existing road condition is usually made at this initial phase (see 1.2).</w:t>
            </w:r>
          </w:p>
          <w:p w14:paraId="4F71E3D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To assess the W0 needs, the impact of project option(s) should be adequately considered. If the investment influences traffic volumes in a larger section of the network surrounding the corridor (based on the model forecasts results, model of adequate scale to the project), then to adequately assess W0, traffic volume forecasts on all roads that the investment would influence should be presented and considered in the economic analysis (using transport work).</w:t>
            </w:r>
          </w:p>
          <w:p w14:paraId="5F3EAF75" w14:textId="08D6BEC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Also, operating and maintenance costs of the W0 and investment options should be consistently compared using the same unit rates for individual types of costs. Cost forecasts may be based on historic unit costs, when patterns of expenditures on operations and maintenance ensured adequate quality standards. In </w:t>
            </w:r>
            <w:r w:rsidR="00214038">
              <w:rPr>
                <w:rFonts w:ascii="Calibri" w:eastAsia="Calibri" w:hAnsi="Calibri" w:cs="Calibri"/>
                <w:color w:val="000000"/>
                <w:sz w:val="20"/>
                <w:szCs w:val="20"/>
                <w:lang w:val="en-GB"/>
              </w:rPr>
              <w:t>case of severe under-funding</w:t>
            </w:r>
            <w:r w:rsidRPr="0045151D">
              <w:rPr>
                <w:rFonts w:ascii="Calibri" w:eastAsia="Calibri" w:hAnsi="Calibri" w:cs="Calibri"/>
                <w:color w:val="000000"/>
                <w:sz w:val="20"/>
                <w:szCs w:val="20"/>
                <w:lang w:val="en-GB"/>
              </w:rPr>
              <w:t xml:space="preserve"> leading to severely degraded infrastructure in the past, cost forecast should be set at a level which represents the expected maintenance standards (e.g. based on the unit costs in Appendix A).</w:t>
            </w:r>
          </w:p>
          <w:p w14:paraId="02DDFB1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also important to ensure that the W0 is realistic and to avoid exaggeration in presenting the deterioration of conditions or traffic jams on the existing road, which may be due to not considering favourable results of unavoidable repairs and other planned investments which fall beyond the scope of the analysed project (for example, a previously planned key bypass or alternative route close to the planned alignment).</w:t>
            </w:r>
          </w:p>
          <w:p w14:paraId="18F758AF"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412008D"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1ABFCF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E13434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407D3B4"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5177FB" w14:textId="77777777" w:rsidR="00600DEE" w:rsidRPr="0045151D" w:rsidRDefault="00600DEE">
            <w:pPr>
              <w:pBdr>
                <w:top w:val="nil"/>
                <w:left w:val="nil"/>
                <w:bottom w:val="nil"/>
                <w:right w:val="nil"/>
                <w:between w:val="nil"/>
              </w:pBdr>
              <w:jc w:val="both"/>
              <w:rPr>
                <w:rFonts w:ascii="Calibri" w:eastAsia="Calibri" w:hAnsi="Calibri" w:cs="Calibri"/>
                <w:color w:val="000000"/>
                <w:sz w:val="20"/>
                <w:szCs w:val="20"/>
                <w:lang w:val="en-GB"/>
              </w:rPr>
            </w:pPr>
          </w:p>
          <w:p w14:paraId="5F74BEFC" w14:textId="77777777" w:rsidR="00600DEE" w:rsidRPr="0045151D" w:rsidRDefault="00600DEE">
            <w:pPr>
              <w:pBdr>
                <w:top w:val="nil"/>
                <w:left w:val="nil"/>
                <w:bottom w:val="nil"/>
                <w:right w:val="nil"/>
                <w:between w:val="nil"/>
              </w:pBdr>
              <w:jc w:val="both"/>
              <w:rPr>
                <w:rFonts w:ascii="Calibri" w:eastAsia="Calibri" w:hAnsi="Calibri" w:cs="Calibri"/>
                <w:color w:val="000000"/>
                <w:sz w:val="20"/>
                <w:szCs w:val="20"/>
                <w:lang w:val="en-GB"/>
              </w:rPr>
            </w:pPr>
          </w:p>
          <w:p w14:paraId="640A7D98" w14:textId="617AA1A7" w:rsidR="00600DEE" w:rsidRPr="0045151D" w:rsidRDefault="00641FB5" w:rsidP="00737E3B">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4. Defining the Without-the-Project Option (W0)</w:t>
            </w:r>
          </w:p>
          <w:tbl>
            <w:tblPr>
              <w:tblStyle w:val="af6"/>
              <w:tblW w:w="7088" w:type="dxa"/>
              <w:tblInd w:w="16" w:type="dxa"/>
              <w:tblBorders>
                <w:insideH w:val="single" w:sz="4" w:space="0" w:color="000000"/>
                <w:insideV w:val="single" w:sz="4" w:space="0" w:color="000000"/>
              </w:tblBorders>
              <w:tblLayout w:type="fixed"/>
              <w:tblLook w:val="0400" w:firstRow="0" w:lastRow="0" w:firstColumn="0" w:lastColumn="0" w:noHBand="0" w:noVBand="1"/>
            </w:tblPr>
            <w:tblGrid>
              <w:gridCol w:w="7088"/>
            </w:tblGrid>
            <w:tr w:rsidR="00600DEE" w:rsidRPr="007463B9" w14:paraId="36018339" w14:textId="77777777" w:rsidTr="00DC3FFD">
              <w:trPr>
                <w:trHeight w:hRule="exact" w:val="4536"/>
              </w:trPr>
              <w:tc>
                <w:tcPr>
                  <w:tcW w:w="7088" w:type="dxa"/>
                  <w:shd w:val="clear" w:color="auto" w:fill="DBE5F1"/>
                  <w:vAlign w:val="center"/>
                </w:tcPr>
                <w:p w14:paraId="0181153A"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W0 is the baseline (counterfactual) scenario without-the-project used in the incremental approach.</w:t>
                  </w:r>
                </w:p>
                <w:p w14:paraId="5017FFDA"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It requires precise assessment of the existing situation and its development throughout the reference period of the analysis.</w:t>
                  </w:r>
                </w:p>
                <w:p w14:paraId="43BF275C" w14:textId="543FC3E3"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It must predict occurrences in all important parts of the network which will be affected by project options (including, when relevant, possible changes </w:t>
                  </w:r>
                  <w:r w:rsidR="006E3D76">
                    <w:rPr>
                      <w:rFonts w:ascii="Calibri" w:eastAsia="Calibri" w:hAnsi="Calibri" w:cs="Calibri"/>
                      <w:color w:val="4F81BD"/>
                      <w:sz w:val="20"/>
                      <w:szCs w:val="20"/>
                      <w:lang w:val="en-GB"/>
                    </w:rPr>
                    <w:t xml:space="preserve">in modal split </w:t>
                  </w:r>
                  <w:r w:rsidRPr="0045151D">
                    <w:rPr>
                      <w:rFonts w:ascii="Calibri" w:eastAsia="Calibri" w:hAnsi="Calibri" w:cs="Calibri"/>
                      <w:color w:val="4F81BD"/>
                      <w:sz w:val="20"/>
                      <w:szCs w:val="20"/>
                      <w:lang w:val="en-GB"/>
                    </w:rPr>
                    <w:t>due to investment in public transport (e.g. railways)).</w:t>
                  </w:r>
                </w:p>
                <w:p w14:paraId="1755DF92"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Consistent estimation of operation and maintenance costs must allow comparison of W0 with project investment options to be implemented.</w:t>
                  </w:r>
                </w:p>
                <w:p w14:paraId="546EB423"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W0 must be realistic and may not exaggerate changes of the present situation over time.</w:t>
                  </w:r>
                </w:p>
              </w:tc>
            </w:tr>
          </w:tbl>
          <w:p w14:paraId="7313F9B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 xml:space="preserve">Source: </w:t>
            </w:r>
            <w:proofErr w:type="spellStart"/>
            <w:r>
              <w:rPr>
                <w:rFonts w:ascii="Calibri" w:eastAsia="Calibri" w:hAnsi="Calibri" w:cs="Calibri"/>
                <w:b/>
                <w:i/>
                <w:color w:val="000000"/>
                <w:sz w:val="16"/>
                <w:szCs w:val="16"/>
              </w:rPr>
              <w:t>proprietary</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work</w:t>
            </w:r>
            <w:proofErr w:type="spellEnd"/>
            <w:r>
              <w:rPr>
                <w:rFonts w:ascii="Calibri" w:eastAsia="Calibri" w:hAnsi="Calibri" w:cs="Calibri"/>
                <w:b/>
                <w:i/>
                <w:color w:val="000000"/>
                <w:sz w:val="16"/>
                <w:szCs w:val="16"/>
              </w:rPr>
              <w:t>.</w:t>
            </w:r>
          </w:p>
          <w:p w14:paraId="6060FEA2" w14:textId="77777777" w:rsidR="00600DEE" w:rsidRDefault="00641FB5">
            <w:pPr>
              <w:tabs>
                <w:tab w:val="left" w:pos="1807"/>
              </w:tabs>
            </w:pPr>
            <w:r>
              <w:tab/>
            </w:r>
          </w:p>
        </w:tc>
      </w:tr>
    </w:tbl>
    <w:p w14:paraId="4758C036" w14:textId="6240A528" w:rsidR="00600DEE" w:rsidRPr="00E301CF" w:rsidRDefault="00641FB5" w:rsidP="00D5736B">
      <w:pPr>
        <w:pStyle w:val="Nagwek2"/>
        <w:numPr>
          <w:ilvl w:val="1"/>
          <w:numId w:val="17"/>
        </w:numPr>
        <w:ind w:left="0" w:firstLine="0"/>
        <w:rPr>
          <w:rFonts w:ascii="Calibri" w:eastAsia="Calibri" w:hAnsi="Calibri" w:cs="Calibri"/>
          <w:i/>
          <w:color w:val="4F81BD"/>
          <w:lang w:val="pl-PL"/>
        </w:rPr>
      </w:pPr>
      <w:r w:rsidRPr="00E301CF">
        <w:rPr>
          <w:rFonts w:ascii="Calibri" w:eastAsia="Calibri" w:hAnsi="Calibri" w:cs="Calibri"/>
          <w:color w:val="4F81BD"/>
          <w:lang w:val="pl-PL"/>
        </w:rPr>
        <w:lastRenderedPageBreak/>
        <w:t xml:space="preserve">   </w:t>
      </w:r>
      <w:bookmarkStart w:id="33" w:name="_Toc95377970"/>
      <w:r w:rsidRPr="00E301CF">
        <w:rPr>
          <w:rFonts w:ascii="Calibri" w:eastAsia="Calibri" w:hAnsi="Calibri" w:cs="Calibri"/>
          <w:color w:val="4F81BD"/>
          <w:lang w:val="pl-PL"/>
        </w:rPr>
        <w:t>Określenie okresu referencyjnego projektu</w:t>
      </w:r>
      <w:r w:rsidRPr="00E301CF">
        <w:rPr>
          <w:rFonts w:ascii="Calibri" w:eastAsia="Calibri" w:hAnsi="Calibri" w:cs="Calibri"/>
          <w:color w:val="4F81BD"/>
          <w:lang w:val="pl-PL"/>
        </w:rPr>
        <w:tab/>
      </w:r>
      <w:r w:rsidRPr="00E301CF">
        <w:rPr>
          <w:rFonts w:ascii="Calibri" w:eastAsia="Calibri" w:hAnsi="Calibri" w:cs="Calibri"/>
          <w:color w:val="4F81BD"/>
          <w:lang w:val="pl-PL"/>
        </w:rPr>
        <w:tab/>
        <w:t xml:space="preserve">        </w:t>
      </w:r>
      <w:r w:rsidRPr="00E301CF">
        <w:rPr>
          <w:rFonts w:ascii="Calibri" w:eastAsia="Calibri" w:hAnsi="Calibri" w:cs="Calibri"/>
          <w:i/>
          <w:color w:val="4F81BD"/>
          <w:lang w:val="pl-PL"/>
        </w:rPr>
        <w:t xml:space="preserve">1.6   </w:t>
      </w:r>
      <w:proofErr w:type="spellStart"/>
      <w:r w:rsidRPr="00E301CF">
        <w:rPr>
          <w:rFonts w:ascii="Calibri" w:eastAsia="Calibri" w:hAnsi="Calibri" w:cs="Calibri"/>
          <w:i/>
          <w:color w:val="4F81BD"/>
          <w:lang w:val="pl-PL"/>
        </w:rPr>
        <w:t>Determination</w:t>
      </w:r>
      <w:proofErr w:type="spellEnd"/>
      <w:r w:rsidRPr="00E301CF">
        <w:rPr>
          <w:rFonts w:ascii="Calibri" w:eastAsia="Calibri" w:hAnsi="Calibri" w:cs="Calibri"/>
          <w:i/>
          <w:color w:val="4F81BD"/>
          <w:lang w:val="pl-PL"/>
        </w:rPr>
        <w:t xml:space="preserve"> of the </w:t>
      </w:r>
      <w:proofErr w:type="spellStart"/>
      <w:r w:rsidRPr="00E301CF">
        <w:rPr>
          <w:rFonts w:ascii="Calibri" w:eastAsia="Calibri" w:hAnsi="Calibri" w:cs="Calibri"/>
          <w:i/>
          <w:color w:val="4F81BD"/>
          <w:lang w:val="pl-PL"/>
        </w:rPr>
        <w:t>project</w:t>
      </w:r>
      <w:proofErr w:type="spellEnd"/>
      <w:r w:rsidRPr="00E301CF">
        <w:rPr>
          <w:rFonts w:ascii="Calibri" w:eastAsia="Calibri" w:hAnsi="Calibri" w:cs="Calibri"/>
          <w:i/>
          <w:color w:val="4F81BD"/>
          <w:lang w:val="pl-PL"/>
        </w:rPr>
        <w:t xml:space="preserve"> </w:t>
      </w:r>
      <w:proofErr w:type="spellStart"/>
      <w:r w:rsidRPr="00E301CF">
        <w:rPr>
          <w:rFonts w:ascii="Calibri" w:eastAsia="Calibri" w:hAnsi="Calibri" w:cs="Calibri"/>
          <w:i/>
          <w:color w:val="4F81BD"/>
          <w:lang w:val="pl-PL"/>
        </w:rPr>
        <w:t>reference</w:t>
      </w:r>
      <w:proofErr w:type="spellEnd"/>
      <w:r w:rsidRPr="00E301CF">
        <w:rPr>
          <w:rFonts w:ascii="Calibri" w:eastAsia="Calibri" w:hAnsi="Calibri" w:cs="Calibri"/>
          <w:i/>
          <w:color w:val="4F81BD"/>
          <w:lang w:val="pl-PL"/>
        </w:rPr>
        <w:t xml:space="preserve"> period</w:t>
      </w:r>
      <w:bookmarkEnd w:id="33"/>
    </w:p>
    <w:tbl>
      <w:tblPr>
        <w:tblStyle w:val="af7"/>
        <w:tblW w:w="14565" w:type="dxa"/>
        <w:tblLayout w:type="fixed"/>
        <w:tblLook w:val="0400" w:firstRow="0" w:lastRow="0" w:firstColumn="0" w:lastColumn="0" w:noHBand="0" w:noVBand="1"/>
      </w:tblPr>
      <w:tblGrid>
        <w:gridCol w:w="7371"/>
        <w:gridCol w:w="7194"/>
      </w:tblGrid>
      <w:tr w:rsidR="00600DEE" w:rsidRPr="007463B9" w14:paraId="73DF63D2" w14:textId="77777777">
        <w:tc>
          <w:tcPr>
            <w:tcW w:w="7371" w:type="dxa"/>
            <w:tcBorders>
              <w:right w:val="single" w:sz="4" w:space="0" w:color="000000"/>
            </w:tcBorders>
            <w:tcMar>
              <w:left w:w="284" w:type="dxa"/>
              <w:right w:w="284" w:type="dxa"/>
            </w:tcMar>
          </w:tcPr>
          <w:p w14:paraId="0F39076C" w14:textId="77777777" w:rsidR="00214038" w:rsidRDefault="00641FB5" w:rsidP="00214038">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Okres odniesienia projektu powinien obejmować czas trwałości użytkowej projektu i jego potencjalne długoterminowe odziaływania. </w:t>
            </w:r>
          </w:p>
          <w:p w14:paraId="55C10044" w14:textId="19AA9C2D" w:rsidR="00600DEE" w:rsidRDefault="00641FB5" w:rsidP="003E2A27">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Rekomenduje się 25 lat (w tym okres realizacji inwestycji) jako okres odniesienia (również określany horyzontem czasowym) dla projektów drogowych</w:t>
            </w:r>
            <w:r w:rsidR="003E2A27">
              <w:rPr>
                <w:rFonts w:ascii="Calibri" w:eastAsia="Calibri" w:hAnsi="Calibri" w:cs="Calibri"/>
                <w:color w:val="000000"/>
                <w:sz w:val="20"/>
                <w:szCs w:val="20"/>
                <w:vertAlign w:val="superscript"/>
              </w:rPr>
              <w:t>8</w:t>
            </w:r>
            <w:r w:rsidR="006E3D76">
              <w:rPr>
                <w:rFonts w:ascii="Calibri" w:eastAsia="Calibri" w:hAnsi="Calibri" w:cs="Calibri"/>
                <w:color w:val="000000"/>
                <w:sz w:val="20"/>
                <w:szCs w:val="20"/>
              </w:rPr>
              <w:t>.</w:t>
            </w:r>
          </w:p>
          <w:p w14:paraId="683403F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Zaleca się, zatem, aby pierwszy rok odniesienia był wyznaczany jako:</w:t>
            </w:r>
          </w:p>
          <w:p w14:paraId="2E88538D" w14:textId="77777777" w:rsidR="00600DEE" w:rsidRDefault="00641FB5" w:rsidP="00D5736B">
            <w:pPr>
              <w:numPr>
                <w:ilvl w:val="1"/>
                <w:numId w:val="4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rok złożenia wniosku o dofinansowanie, jeśli realizacja projektu rozpoczęła się wcześniej lub rozpoczyna się w tym samym roku (zakładając minimum jeden rok okresu realizacji);</w:t>
            </w:r>
          </w:p>
          <w:p w14:paraId="3EFA0CA2" w14:textId="77777777" w:rsidR="00600DEE" w:rsidRDefault="00641FB5" w:rsidP="00D5736B">
            <w:pPr>
              <w:numPr>
                <w:ilvl w:val="1"/>
                <w:numId w:val="4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rok, w którym rozpoczynają się prace budowlane, jeśli złożenie wniosku o dofinansowanie ma miejsce przed rokiem rozpoczęcia inwestycji.</w:t>
            </w:r>
          </w:p>
          <w:p w14:paraId="19C3767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Akceptowalne jest również, aby w nietypowych przypadkach dla celów analizy kosztów i korzyści, pierwszy rok okresu odniesienia był inny niż data złożenia wniosku o dofinansowanie projektu. Taka rozbieżność nie jest kluczowym czynnikiem istotnie wpływającym na ostateczną ocenę efektywności finansowej i ekonomicznej projektu.</w:t>
            </w:r>
          </w:p>
          <w:p w14:paraId="7AA4CEB4" w14:textId="77777777" w:rsidR="00600DEE" w:rsidRDefault="00641FB5">
            <w:pPr>
              <w:pBdr>
                <w:top w:val="nil"/>
                <w:left w:val="nil"/>
                <w:bottom w:val="nil"/>
                <w:right w:val="nil"/>
                <w:between w:val="nil"/>
              </w:pBdr>
              <w:spacing w:before="120" w:after="240"/>
              <w:jc w:val="both"/>
              <w:rPr>
                <w:rFonts w:ascii="Calibri" w:eastAsia="Calibri" w:hAnsi="Calibri" w:cs="Calibri"/>
                <w:color w:val="000000"/>
                <w:sz w:val="20"/>
                <w:szCs w:val="20"/>
              </w:rPr>
            </w:pPr>
            <w:r>
              <w:rPr>
                <w:rFonts w:ascii="Calibri" w:eastAsia="Calibri" w:hAnsi="Calibri" w:cs="Calibri"/>
                <w:color w:val="000000"/>
                <w:sz w:val="20"/>
                <w:szCs w:val="20"/>
              </w:rPr>
              <w:t>Dopuszcza się, aby w uzasadnionych przypadkach, zastosować okresy odniesienia nieznacznie inne od sugerowanego okresu 25 lat. Okres odniesienia oceny dla projektu transportowego powinien odzwierciedlać średni ważony czas życia różnych jego elementów trwałych. Zaleca się jednak, aby</w:t>
            </w:r>
            <w:r>
              <w:rPr>
                <w:rFonts w:ascii="Calibri" w:eastAsia="Calibri" w:hAnsi="Calibri" w:cs="Calibri"/>
                <w:color w:val="000000"/>
                <w:sz w:val="20"/>
                <w:szCs w:val="20"/>
                <w:shd w:val="clear" w:color="auto" w:fill="F5F5F5"/>
              </w:rPr>
              <w:t xml:space="preserve"> </w:t>
            </w:r>
            <w:r>
              <w:rPr>
                <w:rFonts w:ascii="Calibri" w:eastAsia="Calibri" w:hAnsi="Calibri" w:cs="Calibri"/>
                <w:color w:val="000000"/>
                <w:sz w:val="20"/>
                <w:szCs w:val="20"/>
              </w:rPr>
              <w:t>okres odniesienia wynosił nie mniej niż 25 i nie więcej niż 30 lat. Dokładne uzasadnienie dla innego okresu referencyjnego powinno być przedstawione w dokumentacji wniosku.</w:t>
            </w:r>
          </w:p>
        </w:tc>
        <w:tc>
          <w:tcPr>
            <w:tcW w:w="7194" w:type="dxa"/>
            <w:tcBorders>
              <w:left w:val="single" w:sz="4" w:space="0" w:color="000000"/>
            </w:tcBorders>
            <w:tcMar>
              <w:left w:w="284" w:type="dxa"/>
              <w:right w:w="284" w:type="dxa"/>
            </w:tcMar>
          </w:tcPr>
          <w:p w14:paraId="1F9ACBEC" w14:textId="77777777" w:rsidR="00600DEE" w:rsidRPr="0045151D" w:rsidRDefault="00641FB5" w:rsidP="0073146B">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project reference period should cover a period appropriate to the project’s economically useful life and its likely long term impacts. </w:t>
            </w:r>
          </w:p>
          <w:p w14:paraId="108DF26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recommended to use 25 years (including investment implementation period) as the reference period (also referred to as time horizon) for road projects</w:t>
            </w:r>
            <w:bookmarkStart w:id="34" w:name="_Ref91580844"/>
            <w:r>
              <w:rPr>
                <w:rFonts w:ascii="Calibri" w:eastAsia="Calibri" w:hAnsi="Calibri" w:cs="Calibri"/>
                <w:color w:val="000000"/>
                <w:sz w:val="20"/>
                <w:szCs w:val="20"/>
                <w:vertAlign w:val="superscript"/>
              </w:rPr>
              <w:footnoteReference w:id="8"/>
            </w:r>
            <w:bookmarkEnd w:id="34"/>
            <w:r w:rsidRPr="0045151D">
              <w:rPr>
                <w:rFonts w:ascii="Calibri" w:eastAsia="Calibri" w:hAnsi="Calibri" w:cs="Calibri"/>
                <w:color w:val="000000"/>
                <w:sz w:val="20"/>
                <w:szCs w:val="20"/>
                <w:lang w:val="en-GB"/>
              </w:rPr>
              <w:t>.</w:t>
            </w:r>
          </w:p>
          <w:p w14:paraId="30983E5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It is recommended that the first year of the reference period is as follows:</w:t>
            </w:r>
          </w:p>
          <w:p w14:paraId="5B9B836A" w14:textId="77777777" w:rsidR="00600DEE" w:rsidRPr="0045151D" w:rsidRDefault="00641FB5">
            <w:pPr>
              <w:numPr>
                <w:ilvl w:val="1"/>
                <w:numId w:val="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year of submission of the grant application, in case the project implementation has already started or starts in the same year (including minimum one year of implementation);</w:t>
            </w:r>
          </w:p>
          <w:p w14:paraId="780D591D" w14:textId="77777777" w:rsidR="00600DEE" w:rsidRPr="0045151D" w:rsidRDefault="00641FB5">
            <w:pPr>
              <w:numPr>
                <w:ilvl w:val="1"/>
                <w:numId w:val="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year in which construction works are commenced, when the grant application is submitted before the first year of implementation. </w:t>
            </w:r>
          </w:p>
          <w:p w14:paraId="3320A50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the purposes of a CBA, in outstanding cases it is also acceptable that the first year of the reference period is different than the year of submission of the project grant application. Such discrepancy does not significantly affect the final assessment of the project’s financial and economic effectiveness/efficiency.</w:t>
            </w:r>
          </w:p>
          <w:p w14:paraId="06688C6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justified cases it might be acceptable to apply reference periods slightly different from the suggested 25 years. The evaluation reference period for a transport project is ideally set to reflect the value-weighted average lifetime of the various elements of the asset. It is however recommended that</w:t>
            </w:r>
            <w:r w:rsidRPr="0045151D">
              <w:rPr>
                <w:rFonts w:ascii="Calibri" w:eastAsia="Calibri" w:hAnsi="Calibri" w:cs="Calibri"/>
                <w:color w:val="222222"/>
                <w:sz w:val="20"/>
                <w:szCs w:val="20"/>
                <w:lang w:val="en-GB"/>
              </w:rPr>
              <w:t xml:space="preserve"> the reference period shall be not less than 25 and not more than 30 years.</w:t>
            </w:r>
            <w:r w:rsidRPr="0045151D">
              <w:rPr>
                <w:rFonts w:ascii="Calibri" w:eastAsia="Calibri" w:hAnsi="Calibri" w:cs="Calibri"/>
                <w:color w:val="000000"/>
                <w:sz w:val="20"/>
                <w:szCs w:val="20"/>
                <w:lang w:val="en-GB"/>
              </w:rPr>
              <w:t xml:space="preserve"> Reasons for the unusual reference period should be presented in the application documentation.</w:t>
            </w:r>
          </w:p>
        </w:tc>
      </w:tr>
    </w:tbl>
    <w:p w14:paraId="1363F86F" w14:textId="75B381AD" w:rsidR="00151B63" w:rsidRDefault="00641FB5" w:rsidP="00D5736B">
      <w:pPr>
        <w:pStyle w:val="Nagwek2"/>
        <w:numPr>
          <w:ilvl w:val="1"/>
          <w:numId w:val="17"/>
        </w:numPr>
        <w:spacing w:before="120" w:after="120"/>
        <w:ind w:left="0" w:firstLine="0"/>
        <w:rPr>
          <w:rFonts w:ascii="Calibri" w:eastAsia="Calibri" w:hAnsi="Calibri" w:cs="Calibri"/>
          <w:i/>
          <w:color w:val="4F81BD"/>
        </w:rPr>
      </w:pPr>
      <w:bookmarkStart w:id="35" w:name="_Toc91596233"/>
      <w:bookmarkStart w:id="36" w:name="_Toc95377971"/>
      <w:proofErr w:type="spellStart"/>
      <w:r>
        <w:rPr>
          <w:rFonts w:ascii="Calibri" w:eastAsia="Calibri" w:hAnsi="Calibri" w:cs="Calibri"/>
          <w:color w:val="4F81BD"/>
        </w:rPr>
        <w:lastRenderedPageBreak/>
        <w:t>Przygotowanie</w:t>
      </w:r>
      <w:proofErr w:type="spellEnd"/>
      <w:r>
        <w:rPr>
          <w:rFonts w:ascii="Calibri" w:eastAsia="Calibri" w:hAnsi="Calibri" w:cs="Calibri"/>
          <w:color w:val="4F81BD"/>
        </w:rPr>
        <w:t xml:space="preserve"> </w:t>
      </w:r>
      <w:proofErr w:type="spellStart"/>
      <w:r>
        <w:rPr>
          <w:rFonts w:ascii="Calibri" w:eastAsia="Calibri" w:hAnsi="Calibri" w:cs="Calibri"/>
          <w:color w:val="4F81BD"/>
        </w:rPr>
        <w:t>makroekonomicznych</w:t>
      </w:r>
      <w:proofErr w:type="spellEnd"/>
      <w:r>
        <w:rPr>
          <w:rFonts w:ascii="Calibri" w:eastAsia="Calibri" w:hAnsi="Calibri" w:cs="Calibri"/>
          <w:color w:val="4F81BD"/>
        </w:rPr>
        <w:t xml:space="preserve"> </w:t>
      </w:r>
      <w:proofErr w:type="spellStart"/>
      <w:r>
        <w:rPr>
          <w:rFonts w:ascii="Calibri" w:eastAsia="Calibri" w:hAnsi="Calibri" w:cs="Calibri"/>
          <w:color w:val="4F81BD"/>
        </w:rPr>
        <w:t>danych</w:t>
      </w:r>
      <w:proofErr w:type="spellEnd"/>
      <w:r>
        <w:rPr>
          <w:rFonts w:ascii="Calibri" w:eastAsia="Calibri" w:hAnsi="Calibri" w:cs="Calibri"/>
          <w:color w:val="4F81BD"/>
        </w:rPr>
        <w:t xml:space="preserve"> </w:t>
      </w:r>
      <w:proofErr w:type="spellStart"/>
      <w:r>
        <w:rPr>
          <w:rFonts w:ascii="Calibri" w:eastAsia="Calibri" w:hAnsi="Calibri" w:cs="Calibri"/>
          <w:color w:val="4F81BD"/>
        </w:rPr>
        <w:t>wejściowych</w:t>
      </w:r>
      <w:bookmarkEnd w:id="35"/>
      <w:bookmarkEnd w:id="36"/>
      <w:proofErr w:type="spellEnd"/>
      <w:r>
        <w:rPr>
          <w:rFonts w:ascii="Calibri" w:eastAsia="Calibri" w:hAnsi="Calibri" w:cs="Calibri"/>
          <w:i/>
          <w:color w:val="4F81BD"/>
        </w:rPr>
        <w:t xml:space="preserve">     </w:t>
      </w:r>
    </w:p>
    <w:p w14:paraId="5C055AA9" w14:textId="6386819B" w:rsidR="00600DEE" w:rsidRPr="00151B63" w:rsidRDefault="00641FB5" w:rsidP="00151B63">
      <w:pPr>
        <w:pStyle w:val="Nagwek2"/>
        <w:numPr>
          <w:ilvl w:val="0"/>
          <w:numId w:val="0"/>
        </w:numPr>
        <w:spacing w:before="120" w:after="120"/>
        <w:ind w:firstLine="720"/>
        <w:rPr>
          <w:rFonts w:ascii="Calibri" w:eastAsia="Calibri" w:hAnsi="Calibri" w:cs="Calibri"/>
          <w:i/>
          <w:color w:val="4F81BD"/>
        </w:rPr>
      </w:pPr>
      <w:bookmarkStart w:id="37" w:name="_Toc95377972"/>
      <w:r w:rsidRPr="00151B63">
        <w:rPr>
          <w:rFonts w:ascii="Calibri" w:eastAsia="Calibri" w:hAnsi="Calibri" w:cs="Calibri"/>
          <w:i/>
          <w:color w:val="4F81BD"/>
        </w:rPr>
        <w:t>Preparation of macro-economic inputs</w:t>
      </w:r>
      <w:bookmarkEnd w:id="37"/>
      <w:r w:rsidRPr="00151B63">
        <w:rPr>
          <w:rFonts w:ascii="Calibri" w:eastAsia="Calibri" w:hAnsi="Calibri" w:cs="Calibri"/>
          <w:i/>
          <w:color w:val="4F81BD"/>
        </w:rPr>
        <w:t xml:space="preserve"> </w:t>
      </w:r>
    </w:p>
    <w:tbl>
      <w:tblPr>
        <w:tblStyle w:val="af8"/>
        <w:tblW w:w="14571" w:type="dxa"/>
        <w:tblLayout w:type="fixed"/>
        <w:tblLook w:val="0400" w:firstRow="0" w:lastRow="0" w:firstColumn="0" w:lastColumn="0" w:noHBand="0" w:noVBand="1"/>
      </w:tblPr>
      <w:tblGrid>
        <w:gridCol w:w="7367"/>
        <w:gridCol w:w="7204"/>
      </w:tblGrid>
      <w:tr w:rsidR="00600DEE" w14:paraId="3DCEED3D" w14:textId="77777777">
        <w:tc>
          <w:tcPr>
            <w:tcW w:w="7367" w:type="dxa"/>
            <w:tcBorders>
              <w:right w:val="single" w:sz="4" w:space="0" w:color="000000"/>
            </w:tcBorders>
            <w:tcMar>
              <w:left w:w="284" w:type="dxa"/>
              <w:right w:w="284" w:type="dxa"/>
            </w:tcMar>
          </w:tcPr>
          <w:p w14:paraId="5473EA79" w14:textId="77777777" w:rsidR="00600DEE" w:rsidRDefault="00641FB5">
            <w:pPr>
              <w:pBdr>
                <w:top w:val="nil"/>
                <w:left w:val="nil"/>
                <w:bottom w:val="nil"/>
                <w:right w:val="nil"/>
                <w:between w:val="nil"/>
              </w:pBdr>
              <w:spacing w:before="120"/>
              <w:ind w:right="26"/>
              <w:jc w:val="both"/>
              <w:rPr>
                <w:rFonts w:ascii="Calibri" w:eastAsia="Calibri" w:hAnsi="Calibri" w:cs="Calibri"/>
                <w:color w:val="000000"/>
                <w:sz w:val="20"/>
                <w:szCs w:val="20"/>
              </w:rPr>
            </w:pPr>
            <w:r>
              <w:rPr>
                <w:rFonts w:ascii="Calibri" w:eastAsia="Calibri" w:hAnsi="Calibri" w:cs="Calibri"/>
                <w:color w:val="000000"/>
                <w:sz w:val="20"/>
                <w:szCs w:val="20"/>
              </w:rPr>
              <w:t>Prognozy ruchu oraz analizy skutków projektu transportowego muszą uwzględniać lokalne makroekonomiczne uwarunkowania w zakresie trendów makroekonomicznych w danym kraju lub regionie, które zazwyczaj są ogólnodostępne.</w:t>
            </w:r>
          </w:p>
          <w:p w14:paraId="7DF6FF11" w14:textId="77777777" w:rsidR="00600DEE" w:rsidRDefault="00641FB5">
            <w:pPr>
              <w:pBdr>
                <w:top w:val="nil"/>
                <w:left w:val="nil"/>
                <w:bottom w:val="nil"/>
                <w:right w:val="nil"/>
                <w:between w:val="nil"/>
              </w:pBdr>
              <w:spacing w:before="120"/>
              <w:ind w:right="26"/>
              <w:jc w:val="both"/>
              <w:rPr>
                <w:rFonts w:ascii="Calibri" w:eastAsia="Calibri" w:hAnsi="Calibri" w:cs="Calibri"/>
                <w:color w:val="000000"/>
                <w:sz w:val="20"/>
                <w:szCs w:val="20"/>
              </w:rPr>
            </w:pPr>
            <w:r>
              <w:rPr>
                <w:rFonts w:ascii="Calibri" w:eastAsia="Calibri" w:hAnsi="Calibri" w:cs="Calibri"/>
                <w:color w:val="000000"/>
                <w:sz w:val="20"/>
                <w:szCs w:val="20"/>
              </w:rPr>
              <w:t>W przypadku projektów sektora drogowego należy przedstawić następujące założenia niezbędne do prognozy ruchu i analizy skutków (oraz/lub określić w jakim stopniu odnoszą się do założeń dla modelu ruchu udostępnianych przez GDDKiA poniżej opisanych):</w:t>
            </w:r>
          </w:p>
          <w:p w14:paraId="07A42A96" w14:textId="77777777" w:rsidR="00600DEE" w:rsidRDefault="00641FB5" w:rsidP="00D5736B">
            <w:pPr>
              <w:numPr>
                <w:ilvl w:val="1"/>
                <w:numId w:val="46"/>
              </w:numPr>
              <w:pBdr>
                <w:top w:val="nil"/>
                <w:left w:val="nil"/>
                <w:bottom w:val="nil"/>
                <w:right w:val="nil"/>
                <w:between w:val="nil"/>
              </w:pBdr>
              <w:spacing w:before="120"/>
              <w:ind w:left="851" w:right="26" w:hanging="851"/>
              <w:jc w:val="both"/>
              <w:rPr>
                <w:rFonts w:ascii="Calibri" w:eastAsia="Calibri" w:hAnsi="Calibri" w:cs="Calibri"/>
                <w:color w:val="000000"/>
                <w:sz w:val="20"/>
                <w:szCs w:val="20"/>
              </w:rPr>
            </w:pPr>
            <w:r>
              <w:rPr>
                <w:rFonts w:ascii="Calibri" w:eastAsia="Calibri" w:hAnsi="Calibri" w:cs="Calibri"/>
                <w:color w:val="000000"/>
                <w:sz w:val="20"/>
                <w:szCs w:val="20"/>
              </w:rPr>
              <w:t>wzrost PKB (Produkt Krajowy Brutto) i per capita (na głowę mieszkańca) , oraz (jeżeli dotyczy) w poszczególnych regionach (rekomenduje się wykorzystanie danych przygotowanych przez GDDKiA – załącznik A) oraz prognozy demograficzne,</w:t>
            </w:r>
          </w:p>
          <w:p w14:paraId="40027643" w14:textId="77777777" w:rsidR="00600DEE" w:rsidRDefault="00641FB5" w:rsidP="00D5736B">
            <w:pPr>
              <w:numPr>
                <w:ilvl w:val="1"/>
                <w:numId w:val="46"/>
              </w:numPr>
              <w:pBdr>
                <w:top w:val="nil"/>
                <w:left w:val="nil"/>
                <w:bottom w:val="nil"/>
                <w:right w:val="nil"/>
                <w:between w:val="nil"/>
              </w:pBdr>
              <w:spacing w:before="120"/>
              <w:ind w:left="851" w:right="26"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obecne i przyszłe parametry popytu na transport (elastyczność popytu, skutki przyszłego poziomu dochodów i skłonność do ponoszenia opłat za przejazd, różne poziomy opłat i koszty systemu poboru (otwarty/zamknięty),</w:t>
            </w:r>
          </w:p>
          <w:p w14:paraId="397FC3E7" w14:textId="77777777" w:rsidR="00600DEE" w:rsidRDefault="00641FB5" w:rsidP="00D5736B">
            <w:pPr>
              <w:numPr>
                <w:ilvl w:val="1"/>
                <w:numId w:val="46"/>
              </w:numPr>
              <w:pBdr>
                <w:top w:val="nil"/>
                <w:left w:val="nil"/>
                <w:bottom w:val="nil"/>
                <w:right w:val="nil"/>
                <w:between w:val="nil"/>
              </w:pBdr>
              <w:spacing w:before="120"/>
              <w:ind w:left="851" w:right="26"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oczekiwane wskaźniki wzrostu realnych wynagrodzeń i kosztów energii, jeżeli są wykorzystywane na potrzeby prognozy kosztów eksploatacji i utrzymania. </w:t>
            </w:r>
          </w:p>
          <w:p w14:paraId="758B4D68" w14:textId="74CDE8E8" w:rsidR="00600DEE" w:rsidRDefault="00641FB5" w:rsidP="003E2A27">
            <w:pPr>
              <w:pBdr>
                <w:top w:val="nil"/>
                <w:left w:val="nil"/>
                <w:bottom w:val="nil"/>
                <w:right w:val="nil"/>
                <w:between w:val="nil"/>
              </w:pBdr>
              <w:spacing w:before="120"/>
              <w:ind w:right="28"/>
              <w:jc w:val="both"/>
              <w:rPr>
                <w:rFonts w:ascii="Calibri" w:eastAsia="Calibri" w:hAnsi="Calibri" w:cs="Calibri"/>
                <w:color w:val="000000"/>
                <w:sz w:val="20"/>
                <w:szCs w:val="20"/>
              </w:rPr>
            </w:pPr>
            <w:r>
              <w:rPr>
                <w:rFonts w:ascii="Calibri" w:eastAsia="Calibri" w:hAnsi="Calibri" w:cs="Calibri"/>
                <w:color w:val="000000"/>
                <w:sz w:val="20"/>
                <w:szCs w:val="20"/>
              </w:rPr>
              <w:t>Wszystkie wskaźniki wzrostu przedstawione powyżej muszą obejmować cały rozpatrywany okres analizy a także powinny uwzględniać ewentualne przyszłe zmiany warunków rozwoju makroekonomicznego i transportu.</w:t>
            </w:r>
          </w:p>
          <w:p w14:paraId="1A6D0837" w14:textId="77777777" w:rsidR="003E2A27" w:rsidRDefault="003E2A27">
            <w:pPr>
              <w:pBdr>
                <w:top w:val="nil"/>
                <w:left w:val="nil"/>
                <w:bottom w:val="nil"/>
                <w:right w:val="nil"/>
                <w:between w:val="nil"/>
              </w:pBdr>
              <w:spacing w:before="120"/>
              <w:ind w:right="26"/>
              <w:jc w:val="both"/>
              <w:rPr>
                <w:rFonts w:ascii="Calibri" w:eastAsia="Calibri" w:hAnsi="Calibri" w:cs="Calibri"/>
                <w:color w:val="000000"/>
                <w:sz w:val="20"/>
                <w:szCs w:val="20"/>
              </w:rPr>
            </w:pPr>
          </w:p>
          <w:p w14:paraId="7C257C79" w14:textId="77777777" w:rsidR="00600DEE" w:rsidRDefault="00641FB5" w:rsidP="003E2A27">
            <w:pPr>
              <w:pBdr>
                <w:top w:val="nil"/>
                <w:left w:val="nil"/>
                <w:bottom w:val="nil"/>
                <w:right w:val="nil"/>
                <w:between w:val="nil"/>
              </w:pBdr>
              <w:spacing w:before="120"/>
              <w:ind w:right="28"/>
              <w:jc w:val="both"/>
              <w:rPr>
                <w:rFonts w:ascii="Calibri" w:eastAsia="Calibri" w:hAnsi="Calibri" w:cs="Calibri"/>
                <w:color w:val="000000"/>
                <w:sz w:val="20"/>
                <w:szCs w:val="20"/>
              </w:rPr>
            </w:pPr>
            <w:bookmarkStart w:id="38" w:name="_heading=h.1pxezwc" w:colFirst="0" w:colLast="0"/>
            <w:bookmarkEnd w:id="38"/>
            <w:r>
              <w:rPr>
                <w:rFonts w:ascii="Calibri" w:eastAsia="Calibri" w:hAnsi="Calibri" w:cs="Calibri"/>
                <w:color w:val="000000"/>
                <w:sz w:val="20"/>
                <w:szCs w:val="20"/>
              </w:rPr>
              <w:t>Ponadto, niektóre podmioty finansujące przedsięwzięcia mogą oczekiwać rozważenia zachowawczych prognoz ruchu. Na przykład, zgodnie ze swoją polityką kredytową EBI (zgodnie z założeniami ‘’</w:t>
            </w:r>
            <w:hyperlink r:id="rId103">
              <w:r>
                <w:rPr>
                  <w:rFonts w:ascii="Calibri" w:eastAsia="Calibri" w:hAnsi="Calibri" w:cs="Calibri"/>
                  <w:color w:val="0000FF"/>
                  <w:sz w:val="20"/>
                  <w:szCs w:val="20"/>
                  <w:u w:val="single"/>
                </w:rPr>
                <w:t xml:space="preserve">The EIB </w:t>
              </w:r>
              <w:proofErr w:type="spellStart"/>
              <w:r>
                <w:rPr>
                  <w:rFonts w:ascii="Calibri" w:eastAsia="Calibri" w:hAnsi="Calibri" w:cs="Calibri"/>
                  <w:color w:val="0000FF"/>
                  <w:sz w:val="20"/>
                  <w:szCs w:val="20"/>
                  <w:u w:val="single"/>
                </w:rPr>
                <w:t>Group</w:t>
              </w:r>
              <w:proofErr w:type="spellEnd"/>
              <w:r>
                <w:rPr>
                  <w:rFonts w:ascii="Calibri" w:eastAsia="Calibri" w:hAnsi="Calibri" w:cs="Calibri"/>
                  <w:color w:val="0000FF"/>
                  <w:sz w:val="20"/>
                  <w:szCs w:val="20"/>
                  <w:u w:val="single"/>
                </w:rPr>
                <w:t xml:space="preserve"> </w:t>
              </w:r>
              <w:proofErr w:type="spellStart"/>
              <w:r>
                <w:rPr>
                  <w:rFonts w:ascii="Calibri" w:eastAsia="Calibri" w:hAnsi="Calibri" w:cs="Calibri"/>
                  <w:color w:val="0000FF"/>
                  <w:sz w:val="20"/>
                  <w:szCs w:val="20"/>
                  <w:u w:val="single"/>
                </w:rPr>
                <w:t>Climate</w:t>
              </w:r>
              <w:proofErr w:type="spellEnd"/>
              <w:r>
                <w:rPr>
                  <w:rFonts w:ascii="Calibri" w:eastAsia="Calibri" w:hAnsi="Calibri" w:cs="Calibri"/>
                  <w:color w:val="0000FF"/>
                  <w:sz w:val="20"/>
                  <w:szCs w:val="20"/>
                  <w:u w:val="single"/>
                </w:rPr>
                <w:t xml:space="preserve"> Bank </w:t>
              </w:r>
              <w:proofErr w:type="spellStart"/>
              <w:r>
                <w:rPr>
                  <w:rFonts w:ascii="Calibri" w:eastAsia="Calibri" w:hAnsi="Calibri" w:cs="Calibri"/>
                  <w:color w:val="0000FF"/>
                  <w:sz w:val="20"/>
                  <w:szCs w:val="20"/>
                  <w:u w:val="single"/>
                </w:rPr>
                <w:t>Roadmap</w:t>
              </w:r>
              <w:proofErr w:type="spellEnd"/>
              <w:r>
                <w:rPr>
                  <w:rFonts w:ascii="Calibri" w:eastAsia="Calibri" w:hAnsi="Calibri" w:cs="Calibri"/>
                  <w:color w:val="0000FF"/>
                  <w:sz w:val="20"/>
                  <w:szCs w:val="20"/>
                  <w:u w:val="single"/>
                </w:rPr>
                <w:t xml:space="preserve"> 2021-2025</w:t>
              </w:r>
            </w:hyperlink>
            <w:r>
              <w:rPr>
                <w:rFonts w:ascii="Calibri" w:eastAsia="Calibri" w:hAnsi="Calibri" w:cs="Calibri"/>
                <w:color w:val="0000FF"/>
                <w:sz w:val="20"/>
                <w:szCs w:val="20"/>
                <w:u w:val="single"/>
              </w:rPr>
              <w:t>’’</w:t>
            </w:r>
            <w:r>
              <w:rPr>
                <w:rFonts w:ascii="Calibri" w:eastAsia="Calibri" w:hAnsi="Calibri" w:cs="Calibri"/>
                <w:color w:val="000000"/>
                <w:sz w:val="20"/>
                <w:szCs w:val="20"/>
              </w:rPr>
              <w:t>), będzie nadal wspierać projekty drogowe, o ile wykażą solidne uzasadnienie ekonomiczne, nawet w restrykcyjnych scenariuszach popytowych zakładających przyrost ruchu na poziomie 1,0% rocznie przez pierwsze 10 lat i 0,5% rocznie przez kolejne 20 lat prognozy, co jest poziomem znacznie poniżej innych rozważanych scenariuszy (również tych uwzględniających dekarbonizację floty pojazdów oraz zaktualizowany koszt ukryty emisji gazów cieplarnianych). Dlatego w przypadku każdego nowego wniosku o dotację/pożyczkę który będzie wspófinansowany przez EBI warto przeanalizować taki scenariusz w ramach analizy wrażliwości.</w:t>
            </w:r>
          </w:p>
          <w:p w14:paraId="45252B2A" w14:textId="77777777" w:rsidR="00600DEE" w:rsidRDefault="00600DEE">
            <w:pPr>
              <w:jc w:val="both"/>
              <w:rPr>
                <w:rFonts w:ascii="Calibri" w:eastAsia="Calibri" w:hAnsi="Calibri" w:cs="Calibri"/>
                <w:sz w:val="20"/>
                <w:szCs w:val="20"/>
              </w:rPr>
            </w:pPr>
          </w:p>
          <w:p w14:paraId="3DF5B1D1" w14:textId="6066393F" w:rsidR="00600DEE" w:rsidRDefault="00641FB5">
            <w:pPr>
              <w:jc w:val="both"/>
              <w:rPr>
                <w:rFonts w:ascii="Calibri" w:eastAsia="Calibri" w:hAnsi="Calibri" w:cs="Calibri"/>
                <w:sz w:val="20"/>
                <w:szCs w:val="20"/>
              </w:rPr>
            </w:pPr>
            <w:r>
              <w:rPr>
                <w:rFonts w:ascii="Calibri" w:eastAsia="Calibri" w:hAnsi="Calibri" w:cs="Calibri"/>
                <w:sz w:val="20"/>
                <w:szCs w:val="20"/>
              </w:rPr>
              <w:t>W przypadku projektów dotyczących dróg miejskich, zdecydowanie zaleca się, by założenia dotyczące wzrostu ruchu wynikały z lokalnie stosowanych prognoz makroekonomicznych i/lub prognoz potencjalnej zmiany ruchu przygotowanych dla konkretnego miasta lub aglomeracji i </w:t>
            </w:r>
            <w:r>
              <w:rPr>
                <w:rFonts w:ascii="Calibri" w:eastAsia="Calibri" w:hAnsi="Calibri" w:cs="Calibri"/>
                <w:color w:val="222222"/>
                <w:sz w:val="20"/>
                <w:szCs w:val="20"/>
              </w:rPr>
              <w:t>w oparciu o kompleksowy wielogałęziowy model ruchu. Niebieska Księga dla Transportu Publicznego zawiera stosowne zalecenia i wskazówki odnośnie</w:t>
            </w:r>
            <w:r w:rsidR="001B2F24">
              <w:rPr>
                <w:rFonts w:ascii="Calibri" w:eastAsia="Calibri" w:hAnsi="Calibri" w:cs="Calibri"/>
                <w:color w:val="222222"/>
                <w:sz w:val="20"/>
                <w:szCs w:val="20"/>
              </w:rPr>
              <w:t xml:space="preserve"> modelowania ruchu w miastach. W</w:t>
            </w:r>
            <w:r>
              <w:rPr>
                <w:rFonts w:ascii="Calibri" w:eastAsia="Calibri" w:hAnsi="Calibri" w:cs="Calibri"/>
                <w:color w:val="222222"/>
                <w:sz w:val="20"/>
                <w:szCs w:val="20"/>
              </w:rPr>
              <w:t> związku z tym, wszelkie odniesienia w treści niniejszego podręcznika do projektów dróg realizowanych w miastach, należy rozpatrywać w kontekście takiej metody modelowania ruchu.</w:t>
            </w:r>
          </w:p>
          <w:p w14:paraId="15B36450" w14:textId="77777777" w:rsidR="00600DEE" w:rsidRDefault="00641FB5">
            <w:pPr>
              <w:pBdr>
                <w:top w:val="nil"/>
                <w:left w:val="nil"/>
                <w:bottom w:val="nil"/>
                <w:right w:val="nil"/>
                <w:between w:val="nil"/>
              </w:pBdr>
              <w:spacing w:before="120"/>
              <w:ind w:right="26"/>
              <w:jc w:val="both"/>
              <w:rPr>
                <w:rFonts w:ascii="Calibri" w:eastAsia="Calibri" w:hAnsi="Calibri" w:cs="Calibri"/>
                <w:color w:val="000000"/>
                <w:sz w:val="20"/>
                <w:szCs w:val="20"/>
              </w:rPr>
            </w:pPr>
            <w:r>
              <w:rPr>
                <w:rFonts w:ascii="Calibri" w:eastAsia="Calibri" w:hAnsi="Calibri" w:cs="Calibri"/>
                <w:color w:val="000000"/>
                <w:sz w:val="20"/>
                <w:szCs w:val="20"/>
              </w:rPr>
              <w:t>Należy przedstawić zarówno założenia wyjściowe jak i źródła wykorzystane w przygotowaniu prognoz wzrostu makroekonomicznego i sektora transportu.</w:t>
            </w:r>
          </w:p>
          <w:p w14:paraId="2E323013" w14:textId="225ED1C9" w:rsidR="00600DEE" w:rsidRDefault="00600DEE" w:rsidP="00737E3B">
            <w:pPr>
              <w:pBdr>
                <w:top w:val="nil"/>
                <w:left w:val="nil"/>
                <w:bottom w:val="nil"/>
                <w:right w:val="nil"/>
                <w:between w:val="nil"/>
              </w:pBdr>
              <w:jc w:val="both"/>
              <w:rPr>
                <w:rFonts w:ascii="Calibri" w:eastAsia="Calibri" w:hAnsi="Calibri" w:cs="Calibri"/>
                <w:b/>
                <w:color w:val="4F81BD"/>
                <w:sz w:val="20"/>
                <w:szCs w:val="20"/>
              </w:rPr>
            </w:pPr>
          </w:p>
          <w:p w14:paraId="566B16FA" w14:textId="51AB8453" w:rsidR="00600DEE" w:rsidRDefault="00641FB5" w:rsidP="002C1CA0">
            <w:pPr>
              <w:pBdr>
                <w:top w:val="nil"/>
                <w:left w:val="nil"/>
                <w:bottom w:val="nil"/>
                <w:right w:val="nil"/>
                <w:between w:val="nil"/>
              </w:pBd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5. Wymagane makroekonomiczne dane wejściowe</w:t>
            </w:r>
          </w:p>
          <w:tbl>
            <w:tblPr>
              <w:tblStyle w:val="af9"/>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14:paraId="3E36297A" w14:textId="77777777">
              <w:trPr>
                <w:trHeight w:val="1168"/>
              </w:trPr>
              <w:tc>
                <w:tcPr>
                  <w:tcW w:w="6946" w:type="dxa"/>
                  <w:shd w:val="clear" w:color="auto" w:fill="DBE5F1"/>
                  <w:vAlign w:val="center"/>
                </w:tcPr>
                <w:p w14:paraId="655D58FF" w14:textId="77777777" w:rsidR="00600DEE" w:rsidRDefault="00641FB5">
                  <w:pPr>
                    <w:numPr>
                      <w:ilvl w:val="0"/>
                      <w:numId w:val="3"/>
                    </w:numPr>
                    <w:spacing w:before="40" w:line="276" w:lineRule="auto"/>
                    <w:ind w:left="510" w:right="170" w:hanging="540"/>
                    <w:jc w:val="both"/>
                    <w:rPr>
                      <w:rFonts w:ascii="Calibri" w:eastAsia="Calibri" w:hAnsi="Calibri" w:cs="Calibri"/>
                      <w:color w:val="4F81BD"/>
                      <w:sz w:val="20"/>
                      <w:szCs w:val="20"/>
                    </w:rPr>
                  </w:pPr>
                  <w:r>
                    <w:rPr>
                      <w:rFonts w:ascii="Calibri" w:eastAsia="Calibri" w:hAnsi="Calibri" w:cs="Calibri"/>
                      <w:color w:val="4F81BD"/>
                      <w:sz w:val="20"/>
                      <w:szCs w:val="20"/>
                    </w:rPr>
                    <w:t>Wzrost PKB i PKB per capita.</w:t>
                  </w:r>
                </w:p>
                <w:p w14:paraId="492C2938" w14:textId="77777777" w:rsidR="00600DEE" w:rsidRDefault="00641FB5">
                  <w:pPr>
                    <w:numPr>
                      <w:ilvl w:val="0"/>
                      <w:numId w:val="3"/>
                    </w:numPr>
                    <w:spacing w:line="276" w:lineRule="auto"/>
                    <w:ind w:left="510" w:right="170" w:hanging="510"/>
                    <w:jc w:val="both"/>
                    <w:rPr>
                      <w:rFonts w:ascii="Calibri" w:eastAsia="Calibri" w:hAnsi="Calibri" w:cs="Calibri"/>
                      <w:color w:val="4F81BD"/>
                      <w:sz w:val="20"/>
                      <w:szCs w:val="20"/>
                    </w:rPr>
                  </w:pPr>
                  <w:r>
                    <w:rPr>
                      <w:rFonts w:ascii="Calibri" w:eastAsia="Calibri" w:hAnsi="Calibri" w:cs="Calibri"/>
                      <w:color w:val="4F81BD"/>
                      <w:sz w:val="20"/>
                      <w:szCs w:val="20"/>
                    </w:rPr>
                    <w:t>Obecne i przyszłe parametry popytu na transport (elastyczność popytu, skutki przyszłego poziomu dochodów i skłonność do ponoszenia opłat za przejazd i inne (np. wzrost cen energii) jeżeli są uwzględniane).</w:t>
                  </w:r>
                </w:p>
              </w:tc>
            </w:tr>
          </w:tbl>
          <w:p w14:paraId="3EE208E2"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04" w:type="dxa"/>
            <w:tcBorders>
              <w:left w:val="single" w:sz="4" w:space="0" w:color="000000"/>
            </w:tcBorders>
            <w:shd w:val="clear" w:color="auto" w:fill="auto"/>
            <w:tcMar>
              <w:left w:w="284" w:type="dxa"/>
              <w:right w:w="284" w:type="dxa"/>
            </w:tcMar>
          </w:tcPr>
          <w:p w14:paraId="007B9E99" w14:textId="77777777" w:rsidR="00600DEE" w:rsidRPr="0045151D" w:rsidRDefault="00641FB5">
            <w:pPr>
              <w:pBdr>
                <w:top w:val="nil"/>
                <w:left w:val="nil"/>
                <w:bottom w:val="nil"/>
                <w:right w:val="nil"/>
                <w:between w:val="nil"/>
              </w:pBdr>
              <w:spacing w:before="120"/>
              <w:ind w:right="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Traffic forecasting and transport projects impacts analysis need to consider the macro-economic context conditions of a country and/or a region, which can normally be obtained from published data.</w:t>
            </w:r>
          </w:p>
          <w:p w14:paraId="217FF48D" w14:textId="77777777" w:rsidR="00600DEE" w:rsidRPr="0045151D" w:rsidRDefault="00641FB5">
            <w:pPr>
              <w:pBdr>
                <w:top w:val="nil"/>
                <w:left w:val="nil"/>
                <w:bottom w:val="nil"/>
                <w:right w:val="nil"/>
                <w:between w:val="nil"/>
              </w:pBdr>
              <w:spacing w:before="120"/>
              <w:ind w:right="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road sector projects, the following assumptions required for traffic forecasting and impacts analysis ought to be presented (and/or defined as to the extent they match the assumptions for the traffic model from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described below):</w:t>
            </w:r>
          </w:p>
          <w:p w14:paraId="44D59C11" w14:textId="77777777" w:rsidR="00600DEE" w:rsidRPr="0045151D" w:rsidRDefault="00641FB5" w:rsidP="00D5736B">
            <w:pPr>
              <w:numPr>
                <w:ilvl w:val="0"/>
                <w:numId w:val="19"/>
              </w:numPr>
              <w:pBdr>
                <w:top w:val="nil"/>
                <w:left w:val="nil"/>
                <w:bottom w:val="nil"/>
                <w:right w:val="nil"/>
                <w:between w:val="nil"/>
              </w:pBdr>
              <w:spacing w:before="120"/>
              <w:ind w:left="825" w:right="26" w:hanging="82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GDP (Gross Domestic Product) growth in absolute terms and per capita, and, if relevant, in specific regions (it is recommended to refer to the data published by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 see Appendix A), and population growth forecasts, </w:t>
            </w:r>
          </w:p>
          <w:p w14:paraId="51D10B28" w14:textId="77777777" w:rsidR="00600DEE" w:rsidRPr="0045151D" w:rsidRDefault="00641FB5" w:rsidP="00D5736B">
            <w:pPr>
              <w:numPr>
                <w:ilvl w:val="0"/>
                <w:numId w:val="19"/>
              </w:numPr>
              <w:pBdr>
                <w:top w:val="nil"/>
                <w:left w:val="nil"/>
                <w:bottom w:val="nil"/>
                <w:right w:val="nil"/>
                <w:between w:val="nil"/>
              </w:pBdr>
              <w:spacing w:before="120"/>
              <w:ind w:left="825" w:right="26" w:hanging="82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current and future parameters affecting transport demand (elasticity of demand, effects of future level of income and willingness to pay tolls, different levels of tolls and toll collection systems (closed/open, etc.),</w:t>
            </w:r>
          </w:p>
          <w:p w14:paraId="5BA5F0EB" w14:textId="77777777" w:rsidR="00600DEE" w:rsidRPr="0045151D" w:rsidRDefault="00641FB5" w:rsidP="00D5736B">
            <w:pPr>
              <w:numPr>
                <w:ilvl w:val="0"/>
                <w:numId w:val="19"/>
              </w:numPr>
              <w:pBdr>
                <w:top w:val="nil"/>
                <w:left w:val="nil"/>
                <w:bottom w:val="nil"/>
                <w:right w:val="nil"/>
                <w:between w:val="nil"/>
              </w:pBdr>
              <w:spacing w:before="120"/>
              <w:ind w:left="825" w:right="26" w:hanging="82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expected indicators of real wage/salary and energy cost growth, if they are used for the purposes of forecasting operating and maintenance costs.</w:t>
            </w:r>
          </w:p>
          <w:p w14:paraId="08185D16" w14:textId="77777777" w:rsidR="00600DEE" w:rsidRPr="0045151D" w:rsidRDefault="00641FB5">
            <w:pPr>
              <w:pBdr>
                <w:top w:val="nil"/>
                <w:left w:val="nil"/>
                <w:bottom w:val="nil"/>
                <w:right w:val="nil"/>
                <w:between w:val="nil"/>
              </w:pBdr>
              <w:spacing w:before="120"/>
              <w:ind w:right="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All growth factors described above must cover the entire </w:t>
            </w:r>
            <w:proofErr w:type="spellStart"/>
            <w:r w:rsidRPr="0045151D">
              <w:rPr>
                <w:rFonts w:ascii="Calibri" w:eastAsia="Calibri" w:hAnsi="Calibri" w:cs="Calibri"/>
                <w:color w:val="000000"/>
                <w:sz w:val="20"/>
                <w:szCs w:val="20"/>
                <w:lang w:val="en-GB"/>
              </w:rPr>
              <w:t>analyzed</w:t>
            </w:r>
            <w:proofErr w:type="spellEnd"/>
            <w:r w:rsidRPr="0045151D">
              <w:rPr>
                <w:rFonts w:ascii="Calibri" w:eastAsia="Calibri" w:hAnsi="Calibri" w:cs="Calibri"/>
                <w:color w:val="000000"/>
                <w:sz w:val="20"/>
                <w:szCs w:val="20"/>
                <w:lang w:val="en-GB"/>
              </w:rPr>
              <w:t xml:space="preserve"> period. Possible future changes of macroeconomic conditions and transport development should also be taken into consideration. </w:t>
            </w:r>
          </w:p>
          <w:p w14:paraId="2F2BBD97" w14:textId="77777777" w:rsidR="003E2A27" w:rsidRDefault="003E2A27" w:rsidP="003E2A27">
            <w:pPr>
              <w:pStyle w:val="anxnormalZnak"/>
              <w:ind w:left="0" w:right="26"/>
              <w:rPr>
                <w:rFonts w:asciiTheme="minorHAnsi" w:hAnsiTheme="minorHAnsi" w:cstheme="minorHAnsi"/>
                <w:lang w:val="en-GB"/>
              </w:rPr>
            </w:pPr>
          </w:p>
          <w:p w14:paraId="16C563EF" w14:textId="65D81F0A" w:rsidR="003E2A27" w:rsidRPr="008F5884" w:rsidRDefault="003E2A27" w:rsidP="003E2A27">
            <w:pPr>
              <w:pStyle w:val="anxnormalZnak"/>
              <w:ind w:left="0" w:right="28"/>
              <w:rPr>
                <w:rFonts w:asciiTheme="minorHAnsi" w:hAnsiTheme="minorHAnsi" w:cstheme="minorHAnsi"/>
                <w:lang w:val="en-GB"/>
              </w:rPr>
            </w:pPr>
            <w:r w:rsidRPr="008F5884">
              <w:rPr>
                <w:rFonts w:asciiTheme="minorHAnsi" w:hAnsiTheme="minorHAnsi" w:cstheme="minorHAnsi"/>
                <w:lang w:val="en-GB"/>
              </w:rPr>
              <w:t>In addition, some project financiers might</w:t>
            </w:r>
            <w:r>
              <w:rPr>
                <w:rFonts w:asciiTheme="minorHAnsi" w:hAnsiTheme="minorHAnsi" w:cstheme="minorHAnsi"/>
                <w:lang w:val="en-GB"/>
              </w:rPr>
              <w:t xml:space="preserve"> be</w:t>
            </w:r>
            <w:r w:rsidRPr="008F5884">
              <w:rPr>
                <w:rFonts w:asciiTheme="minorHAnsi" w:hAnsiTheme="minorHAnsi" w:cstheme="minorHAnsi"/>
                <w:lang w:val="en-GB"/>
              </w:rPr>
              <w:t xml:space="preserve"> expected to consider conservative </w:t>
            </w:r>
            <w:r w:rsidRPr="005B04FA">
              <w:rPr>
                <w:rFonts w:asciiTheme="minorHAnsi" w:hAnsiTheme="minorHAnsi" w:cstheme="minorHAnsi"/>
                <w:lang w:val="en-GB"/>
              </w:rPr>
              <w:t xml:space="preserve">traffic forecasts. For example, EIB’s lending policy following </w:t>
            </w:r>
            <w:r w:rsidRPr="00AA289E">
              <w:rPr>
                <w:rFonts w:asciiTheme="minorHAnsi" w:hAnsiTheme="minorHAnsi"/>
                <w:spacing w:val="-3"/>
                <w:lang w:val="en-GB"/>
              </w:rPr>
              <w:t>‘’</w:t>
            </w:r>
            <w:hyperlink r:id="rId104" w:history="1">
              <w:r w:rsidRPr="00AA289E">
                <w:rPr>
                  <w:rStyle w:val="Hipercze"/>
                  <w:rFonts w:asciiTheme="minorHAnsi" w:hAnsiTheme="minorHAnsi" w:cstheme="minorHAnsi"/>
                  <w:lang w:val="en-GB"/>
                </w:rPr>
                <w:t>The EIB Group Climate Bank Roadmap 2021-2025</w:t>
              </w:r>
            </w:hyperlink>
            <w:r w:rsidRPr="00AA289E">
              <w:rPr>
                <w:rStyle w:val="Hipercze"/>
                <w:rFonts w:asciiTheme="minorHAnsi" w:hAnsiTheme="minorHAnsi" w:cstheme="minorHAnsi"/>
                <w:lang w:val="en-GB"/>
              </w:rPr>
              <w:t>’’</w:t>
            </w:r>
            <w:r w:rsidRPr="005B04FA">
              <w:rPr>
                <w:rFonts w:asciiTheme="minorHAnsi" w:hAnsiTheme="minorHAnsi" w:cstheme="minorHAnsi"/>
                <w:lang w:val="en-GB"/>
              </w:rPr>
              <w:t xml:space="preserve"> will continue to support new road projects if they demonstrate a strong economic case even under restrictive demand scenarios of traffic growth rates of 1.0</w:t>
            </w:r>
            <w:r w:rsidRPr="00087C50">
              <w:rPr>
                <w:rFonts w:asciiTheme="minorHAnsi" w:hAnsiTheme="minorHAnsi" w:cstheme="minorHAnsi"/>
                <w:lang w:val="en-GB"/>
              </w:rPr>
              <w:t>% per annum during first 10 years and 0.5% per annum during consecutive 20 years of the forecast, well below any other mainstream projections</w:t>
            </w:r>
            <w:r w:rsidRPr="004A2941">
              <w:rPr>
                <w:rFonts w:asciiTheme="minorHAnsi" w:hAnsiTheme="minorHAnsi" w:cstheme="minorHAnsi"/>
                <w:lang w:val="en-GB"/>
              </w:rPr>
              <w:t xml:space="preserve"> (</w:t>
            </w:r>
            <w:r>
              <w:rPr>
                <w:rFonts w:asciiTheme="minorHAnsi" w:hAnsiTheme="minorHAnsi" w:cstheme="minorHAnsi"/>
                <w:lang w:val="en-GB"/>
              </w:rPr>
              <w:t>even those</w:t>
            </w:r>
            <w:r w:rsidRPr="004A2941">
              <w:rPr>
                <w:rFonts w:asciiTheme="minorHAnsi" w:hAnsiTheme="minorHAnsi" w:cstheme="minorHAnsi"/>
                <w:lang w:val="en-GB"/>
              </w:rPr>
              <w:t xml:space="preserve"> </w:t>
            </w:r>
            <w:r>
              <w:rPr>
                <w:rFonts w:asciiTheme="minorHAnsi" w:hAnsiTheme="minorHAnsi" w:cstheme="minorHAnsi"/>
                <w:lang w:val="en-GB"/>
              </w:rPr>
              <w:t xml:space="preserve">including </w:t>
            </w:r>
            <w:r w:rsidRPr="004A2941">
              <w:rPr>
                <w:rFonts w:asciiTheme="minorHAnsi" w:hAnsiTheme="minorHAnsi" w:cstheme="minorHAnsi"/>
                <w:lang w:val="en-GB"/>
              </w:rPr>
              <w:t>decarbonisation of vehicle fleet and revised shadow cost of GHG emissions).</w:t>
            </w:r>
            <w:r w:rsidRPr="008F5884">
              <w:rPr>
                <w:rFonts w:asciiTheme="minorHAnsi" w:hAnsiTheme="minorHAnsi" w:cstheme="minorHAnsi"/>
                <w:lang w:val="en-GB"/>
              </w:rPr>
              <w:t xml:space="preserve"> Therefore, for any of the new grant/loan applications </w:t>
            </w:r>
            <w:r>
              <w:rPr>
                <w:rFonts w:asciiTheme="minorHAnsi" w:hAnsiTheme="minorHAnsi" w:cstheme="minorHAnsi"/>
                <w:lang w:val="en-GB"/>
              </w:rPr>
              <w:t xml:space="preserve">to be co-financed by EIB </w:t>
            </w:r>
            <w:r w:rsidRPr="008F5884">
              <w:rPr>
                <w:rFonts w:asciiTheme="minorHAnsi" w:hAnsiTheme="minorHAnsi" w:cstheme="minorHAnsi"/>
                <w:lang w:val="en-GB"/>
              </w:rPr>
              <w:t xml:space="preserve">such scenario </w:t>
            </w:r>
            <w:r>
              <w:rPr>
                <w:rFonts w:asciiTheme="minorHAnsi" w:hAnsiTheme="minorHAnsi" w:cstheme="minorHAnsi"/>
                <w:lang w:val="en-GB"/>
              </w:rPr>
              <w:t xml:space="preserve">is worth </w:t>
            </w:r>
            <w:r w:rsidRPr="008F5884">
              <w:rPr>
                <w:rFonts w:asciiTheme="minorHAnsi" w:hAnsiTheme="minorHAnsi" w:cstheme="minorHAnsi"/>
                <w:lang w:val="en-GB"/>
              </w:rPr>
              <w:t>analys</w:t>
            </w:r>
            <w:r>
              <w:rPr>
                <w:rFonts w:asciiTheme="minorHAnsi" w:hAnsiTheme="minorHAnsi" w:cstheme="minorHAnsi"/>
                <w:lang w:val="en-GB"/>
              </w:rPr>
              <w:t>ing as part of the sensitivity analysis</w:t>
            </w:r>
            <w:r w:rsidRPr="008F5884">
              <w:rPr>
                <w:rFonts w:asciiTheme="minorHAnsi" w:hAnsiTheme="minorHAnsi" w:cstheme="minorHAnsi"/>
                <w:lang w:val="en-GB"/>
              </w:rPr>
              <w:t xml:space="preserve">. </w:t>
            </w:r>
          </w:p>
          <w:p w14:paraId="2D979779" w14:textId="77777777" w:rsidR="003E2A27" w:rsidRPr="00731E4E" w:rsidRDefault="003E2A27" w:rsidP="003E2A27">
            <w:pPr>
              <w:pStyle w:val="anxnormalZnak"/>
              <w:ind w:left="0" w:right="26"/>
              <w:rPr>
                <w:rFonts w:asciiTheme="minorHAnsi" w:eastAsia="Arial" w:hAnsiTheme="minorHAnsi"/>
                <w:bCs/>
                <w:spacing w:val="1"/>
                <w:position w:val="-1"/>
                <w:lang w:val="en-GB"/>
              </w:rPr>
            </w:pPr>
            <w:r w:rsidRPr="00731E4E">
              <w:rPr>
                <w:rFonts w:asciiTheme="minorHAnsi" w:eastAsia="Arial" w:hAnsiTheme="minorHAnsi"/>
                <w:bCs/>
                <w:spacing w:val="1"/>
                <w:position w:val="-1"/>
                <w:lang w:val="en-GB"/>
              </w:rPr>
              <w:t>For urban roads projects, it is highly recommended to apply assumptions on traffic growth based on locally applicable macroeconomic forecasts and/or forecasts of potential traffic changes prepared for the specific city or agglomeration and based on</w:t>
            </w:r>
            <w:r>
              <w:rPr>
                <w:rFonts w:asciiTheme="minorHAnsi" w:eastAsia="Arial" w:hAnsiTheme="minorHAnsi"/>
                <w:bCs/>
                <w:spacing w:val="1"/>
                <w:position w:val="-1"/>
                <w:lang w:val="en-GB"/>
              </w:rPr>
              <w:t xml:space="preserve"> a </w:t>
            </w:r>
            <w:r w:rsidRPr="00731E4E">
              <w:rPr>
                <w:rFonts w:asciiTheme="minorHAnsi" w:eastAsia="Arial" w:hAnsiTheme="minorHAnsi"/>
                <w:bCs/>
                <w:spacing w:val="1"/>
                <w:position w:val="-1"/>
                <w:lang w:val="en-GB"/>
              </w:rPr>
              <w:t xml:space="preserve">comprehensive multi-modal model. Refer to “Public Transport Blue Book” for modelling recommendations and guidance. All references to urban road projects in the present manual are therefore to be considered based on this </w:t>
            </w:r>
            <w:proofErr w:type="spellStart"/>
            <w:r>
              <w:rPr>
                <w:rFonts w:asciiTheme="minorHAnsi" w:eastAsia="Arial" w:hAnsiTheme="minorHAnsi"/>
                <w:bCs/>
                <w:spacing w:val="1"/>
                <w:position w:val="-1"/>
                <w:lang w:val="en-GB"/>
              </w:rPr>
              <w:t>trafiic</w:t>
            </w:r>
            <w:proofErr w:type="spellEnd"/>
            <w:r w:rsidRPr="00731E4E">
              <w:rPr>
                <w:rFonts w:asciiTheme="minorHAnsi" w:eastAsia="Arial" w:hAnsiTheme="minorHAnsi"/>
                <w:bCs/>
                <w:spacing w:val="1"/>
                <w:position w:val="-1"/>
                <w:lang w:val="en-GB"/>
              </w:rPr>
              <w:t xml:space="preserve"> modelling approach.  </w:t>
            </w:r>
          </w:p>
          <w:p w14:paraId="2B9ADA05" w14:textId="77777777" w:rsidR="003E2A27" w:rsidRPr="00731E4E" w:rsidRDefault="003E2A27" w:rsidP="003E2A27">
            <w:pPr>
              <w:pStyle w:val="anxnormalZnak"/>
              <w:ind w:left="0" w:right="26"/>
              <w:rPr>
                <w:rFonts w:asciiTheme="minorHAnsi" w:eastAsia="Arial" w:hAnsiTheme="minorHAnsi"/>
                <w:bCs/>
                <w:spacing w:val="1"/>
                <w:position w:val="-1"/>
                <w:lang w:val="en-GB"/>
              </w:rPr>
            </w:pPr>
            <w:r w:rsidRPr="00731E4E">
              <w:rPr>
                <w:rFonts w:asciiTheme="minorHAnsi" w:eastAsia="Arial" w:hAnsiTheme="minorHAnsi"/>
                <w:bCs/>
                <w:spacing w:val="1"/>
                <w:position w:val="-1"/>
                <w:lang w:val="en-GB"/>
              </w:rPr>
              <w:t xml:space="preserve">It is required to present both underlying assumptions and sources used for macroeconomic growth and transport </w:t>
            </w:r>
            <w:r>
              <w:rPr>
                <w:rFonts w:asciiTheme="minorHAnsi" w:eastAsia="Arial" w:hAnsiTheme="minorHAnsi"/>
                <w:bCs/>
                <w:spacing w:val="1"/>
                <w:position w:val="-1"/>
                <w:lang w:val="en-GB"/>
              </w:rPr>
              <w:t>forecasts</w:t>
            </w:r>
            <w:r w:rsidRPr="00731E4E">
              <w:rPr>
                <w:rFonts w:asciiTheme="minorHAnsi" w:eastAsia="Arial" w:hAnsiTheme="minorHAnsi"/>
                <w:bCs/>
                <w:spacing w:val="1"/>
                <w:position w:val="-1"/>
                <w:lang w:val="en-GB"/>
              </w:rPr>
              <w:t>.</w:t>
            </w:r>
          </w:p>
          <w:p w14:paraId="69013531" w14:textId="77777777" w:rsidR="00600DEE" w:rsidRPr="0045151D" w:rsidRDefault="00600DEE">
            <w:pPr>
              <w:pBdr>
                <w:top w:val="nil"/>
                <w:left w:val="nil"/>
                <w:bottom w:val="nil"/>
                <w:right w:val="nil"/>
                <w:between w:val="nil"/>
              </w:pBdr>
              <w:spacing w:before="120"/>
              <w:ind w:right="26"/>
              <w:jc w:val="both"/>
              <w:rPr>
                <w:rFonts w:ascii="Calibri" w:eastAsia="Calibri" w:hAnsi="Calibri" w:cs="Calibri"/>
                <w:sz w:val="20"/>
                <w:szCs w:val="20"/>
                <w:lang w:val="en-GB"/>
              </w:rPr>
            </w:pPr>
          </w:p>
          <w:p w14:paraId="75A2181B" w14:textId="7208B68A" w:rsidR="00600DEE" w:rsidRDefault="00641FB5" w:rsidP="00737E3B">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rPr>
            </w:pPr>
            <w:proofErr w:type="spellStart"/>
            <w:r>
              <w:rPr>
                <w:rFonts w:ascii="Calibri" w:eastAsia="Calibri" w:hAnsi="Calibri" w:cs="Calibri"/>
                <w:b/>
                <w:color w:val="4F81BD"/>
                <w:sz w:val="20"/>
                <w:szCs w:val="20"/>
              </w:rPr>
              <w:lastRenderedPageBreak/>
              <w:t>Table</w:t>
            </w:r>
            <w:proofErr w:type="spellEnd"/>
            <w:r>
              <w:rPr>
                <w:rFonts w:ascii="Calibri" w:eastAsia="Calibri" w:hAnsi="Calibri" w:cs="Calibri"/>
                <w:b/>
                <w:color w:val="4F81BD"/>
                <w:sz w:val="20"/>
                <w:szCs w:val="20"/>
              </w:rPr>
              <w:t xml:space="preserve"> 5. </w:t>
            </w:r>
            <w:proofErr w:type="spellStart"/>
            <w:r>
              <w:rPr>
                <w:rFonts w:ascii="Calibri" w:eastAsia="Calibri" w:hAnsi="Calibri" w:cs="Calibri"/>
                <w:b/>
                <w:color w:val="4F81BD"/>
                <w:sz w:val="20"/>
                <w:szCs w:val="20"/>
              </w:rPr>
              <w:t>Required</w:t>
            </w:r>
            <w:proofErr w:type="spellEnd"/>
            <w:r>
              <w:rPr>
                <w:rFonts w:ascii="Calibri" w:eastAsia="Calibri" w:hAnsi="Calibri" w:cs="Calibri"/>
                <w:b/>
                <w:color w:val="4F81BD"/>
                <w:sz w:val="20"/>
                <w:szCs w:val="20"/>
              </w:rPr>
              <w:t xml:space="preserve"> Macro-</w:t>
            </w:r>
            <w:proofErr w:type="spellStart"/>
            <w:r>
              <w:rPr>
                <w:rFonts w:ascii="Calibri" w:eastAsia="Calibri" w:hAnsi="Calibri" w:cs="Calibri"/>
                <w:b/>
                <w:color w:val="4F81BD"/>
                <w:sz w:val="20"/>
                <w:szCs w:val="20"/>
              </w:rPr>
              <w:t>economic</w:t>
            </w:r>
            <w:proofErr w:type="spellEnd"/>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Inputs</w:t>
            </w:r>
            <w:proofErr w:type="spellEnd"/>
          </w:p>
          <w:tbl>
            <w:tblPr>
              <w:tblStyle w:val="afa"/>
              <w:tblW w:w="7032" w:type="dxa"/>
              <w:tblBorders>
                <w:insideH w:val="single" w:sz="4" w:space="0" w:color="000000"/>
                <w:insideV w:val="single" w:sz="4" w:space="0" w:color="000000"/>
              </w:tblBorders>
              <w:tblLayout w:type="fixed"/>
              <w:tblLook w:val="0400" w:firstRow="0" w:lastRow="0" w:firstColumn="0" w:lastColumn="0" w:noHBand="0" w:noVBand="1"/>
            </w:tblPr>
            <w:tblGrid>
              <w:gridCol w:w="7032"/>
            </w:tblGrid>
            <w:tr w:rsidR="00600DEE" w:rsidRPr="007463B9" w14:paraId="58ADF223" w14:textId="77777777">
              <w:trPr>
                <w:trHeight w:val="1146"/>
              </w:trPr>
              <w:tc>
                <w:tcPr>
                  <w:tcW w:w="7032" w:type="dxa"/>
                  <w:shd w:val="clear" w:color="auto" w:fill="DBE5F1"/>
                  <w:vAlign w:val="center"/>
                </w:tcPr>
                <w:p w14:paraId="6683BD0A" w14:textId="77777777" w:rsidR="00600DEE" w:rsidRPr="0045151D" w:rsidRDefault="00641FB5">
                  <w:pPr>
                    <w:numPr>
                      <w:ilvl w:val="0"/>
                      <w:numId w:val="3"/>
                    </w:numPr>
                    <w:spacing w:before="40" w:line="276" w:lineRule="auto"/>
                    <w:ind w:left="858" w:right="284" w:hanging="85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GDP growth, absolute and per capita.</w:t>
                  </w:r>
                </w:p>
                <w:p w14:paraId="66F824F0" w14:textId="77777777" w:rsidR="00600DEE" w:rsidRPr="0045151D" w:rsidRDefault="00641FB5">
                  <w:pPr>
                    <w:numPr>
                      <w:ilvl w:val="0"/>
                      <w:numId w:val="3"/>
                    </w:numPr>
                    <w:spacing w:line="276" w:lineRule="auto"/>
                    <w:ind w:left="858" w:right="284" w:hanging="85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Present and future parameters affecting transport demand (elasticity of demand, effects of future level of income and willingness to pay tolls and others (e.g. energy cost growth) if used).</w:t>
                  </w:r>
                </w:p>
              </w:tc>
            </w:tr>
          </w:tbl>
          <w:p w14:paraId="242F189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 xml:space="preserve">Source: </w:t>
            </w:r>
            <w:proofErr w:type="spellStart"/>
            <w:r>
              <w:rPr>
                <w:rFonts w:ascii="Calibri" w:eastAsia="Calibri" w:hAnsi="Calibri" w:cs="Calibri"/>
                <w:b/>
                <w:i/>
                <w:color w:val="000000"/>
                <w:sz w:val="16"/>
                <w:szCs w:val="16"/>
              </w:rPr>
              <w:t>proprietary</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work</w:t>
            </w:r>
            <w:proofErr w:type="spellEnd"/>
            <w:r>
              <w:rPr>
                <w:rFonts w:ascii="Calibri" w:eastAsia="Calibri" w:hAnsi="Calibri" w:cs="Calibri"/>
                <w:b/>
                <w:i/>
                <w:color w:val="000000"/>
                <w:sz w:val="16"/>
                <w:szCs w:val="16"/>
              </w:rPr>
              <w:t>.</w:t>
            </w:r>
          </w:p>
        </w:tc>
      </w:tr>
    </w:tbl>
    <w:p w14:paraId="46700039" w14:textId="48838BC9" w:rsidR="00600DEE" w:rsidRDefault="00641FB5" w:rsidP="00D5736B">
      <w:pPr>
        <w:pStyle w:val="Nagwek2"/>
        <w:numPr>
          <w:ilvl w:val="1"/>
          <w:numId w:val="17"/>
        </w:numPr>
        <w:ind w:left="0" w:firstLine="0"/>
        <w:rPr>
          <w:rFonts w:ascii="Calibri" w:eastAsia="Calibri" w:hAnsi="Calibri" w:cs="Calibri"/>
          <w:i/>
          <w:color w:val="4F81BD"/>
        </w:rPr>
      </w:pPr>
      <w:bookmarkStart w:id="39" w:name="_Toc95377973"/>
      <w:proofErr w:type="spellStart"/>
      <w:r>
        <w:rPr>
          <w:rFonts w:ascii="Calibri" w:eastAsia="Calibri" w:hAnsi="Calibri" w:cs="Calibri"/>
          <w:color w:val="4F81BD"/>
        </w:rPr>
        <w:lastRenderedPageBreak/>
        <w:t>Prognozy</w:t>
      </w:r>
      <w:proofErr w:type="spellEnd"/>
      <w:r>
        <w:rPr>
          <w:rFonts w:ascii="Calibri" w:eastAsia="Calibri" w:hAnsi="Calibri" w:cs="Calibri"/>
          <w:color w:val="4F81BD"/>
        </w:rPr>
        <w:t xml:space="preserve"> </w:t>
      </w:r>
      <w:proofErr w:type="spellStart"/>
      <w:r>
        <w:rPr>
          <w:rFonts w:ascii="Calibri" w:eastAsia="Calibri" w:hAnsi="Calibri" w:cs="Calibri"/>
          <w:color w:val="4F81BD"/>
        </w:rPr>
        <w:t>ruchu</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sidR="00737E3B">
        <w:rPr>
          <w:rFonts w:ascii="Calibri" w:eastAsia="Calibri" w:hAnsi="Calibri" w:cs="Calibri"/>
          <w:color w:val="4F81BD"/>
        </w:rPr>
        <w:tab/>
      </w:r>
      <w:r w:rsidR="00737E3B">
        <w:rPr>
          <w:rFonts w:ascii="Calibri" w:eastAsia="Calibri" w:hAnsi="Calibri" w:cs="Calibri"/>
          <w:color w:val="4F81BD"/>
        </w:rPr>
        <w:tab/>
      </w:r>
      <w:r>
        <w:rPr>
          <w:rFonts w:ascii="Calibri" w:eastAsia="Calibri" w:hAnsi="Calibri" w:cs="Calibri"/>
          <w:i/>
          <w:color w:val="4F81BD"/>
        </w:rPr>
        <w:t>1.8   Traffic forecasts</w:t>
      </w:r>
      <w:bookmarkEnd w:id="39"/>
    </w:p>
    <w:tbl>
      <w:tblPr>
        <w:tblStyle w:val="afb"/>
        <w:tblW w:w="14571" w:type="dxa"/>
        <w:tblLayout w:type="fixed"/>
        <w:tblLook w:val="0400" w:firstRow="0" w:lastRow="0" w:firstColumn="0" w:lastColumn="0" w:noHBand="0" w:noVBand="1"/>
      </w:tblPr>
      <w:tblGrid>
        <w:gridCol w:w="7367"/>
        <w:gridCol w:w="7204"/>
      </w:tblGrid>
      <w:tr w:rsidR="00600DEE" w:rsidRPr="007463B9" w14:paraId="46C505CB" w14:textId="77777777">
        <w:tc>
          <w:tcPr>
            <w:tcW w:w="7367" w:type="dxa"/>
            <w:tcBorders>
              <w:right w:val="single" w:sz="4" w:space="0" w:color="000000"/>
            </w:tcBorders>
            <w:tcMar>
              <w:left w:w="284" w:type="dxa"/>
              <w:right w:w="284" w:type="dxa"/>
            </w:tcMar>
          </w:tcPr>
          <w:p w14:paraId="51C553F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bookmarkStart w:id="40" w:name="_heading=h.2p2csry" w:colFirst="0" w:colLast="0"/>
            <w:bookmarkEnd w:id="40"/>
            <w:r>
              <w:rPr>
                <w:rFonts w:ascii="Calibri" w:eastAsia="Calibri" w:hAnsi="Calibri" w:cs="Calibri"/>
                <w:color w:val="000000"/>
                <w:sz w:val="20"/>
                <w:szCs w:val="20"/>
              </w:rPr>
              <w:t xml:space="preserve">Przygotowanie prawidłowych prognoz natężenia ruchu ma zasadnicze znaczenie dla AKK. Prognozy te muszą uwzględniać zmiany na analizowanym odcinku oraz skutki planowanej inwestycji dla sieci drogowej z uwzględnieniem – w uzasadnionych przypadkach – innych gałęzi transportu. </w:t>
            </w:r>
          </w:p>
          <w:p w14:paraId="1A33DD1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Mając na uwadze wymagania analizy ekonomicznej, prognozy ruchu należy opracować w szczególności dla:</w:t>
            </w:r>
          </w:p>
          <w:p w14:paraId="52B670F5" w14:textId="77777777"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wariantu bezinwestycyjnego W0,</w:t>
            </w:r>
          </w:p>
          <w:p w14:paraId="3C185586" w14:textId="77777777"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każdego z wariantu/ów analizowanych w ramach AKK.</w:t>
            </w:r>
          </w:p>
          <w:p w14:paraId="0C95CC7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Ponieważ niniejszy podręcznik ma służyć głównie do opracowywania AKK dla tzw. „dużych projektów” drogowych, dla których zaleca się stosowanie indywidualnego podejścia przy prognozowaniu natężeń ruchu, zakłada się, że projekty takie będą miały znaczący wpływ na zmiany potoków ruchu na większym obszarze oddziaływania projektu z uwzględnieniem – w uzasadnionych przypadkach – innych gałęzi transportu. </w:t>
            </w:r>
          </w:p>
          <w:p w14:paraId="69D1184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Podstawą do wykonywania analiz oraz prognoz ruchu dla takich projektów jest przygotowanie aktualnego modelu ruchu, który wykonuje się opisanymi poniżej metodami.</w:t>
            </w:r>
          </w:p>
          <w:p w14:paraId="159DB7C9" w14:textId="77777777"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Modelowanie</w:t>
            </w:r>
            <w:r>
              <w:rPr>
                <w:rFonts w:ascii="Calibri" w:eastAsia="Calibri" w:hAnsi="Calibri" w:cs="Calibri"/>
                <w:color w:val="000000"/>
                <w:sz w:val="20"/>
                <w:szCs w:val="20"/>
              </w:rPr>
              <w:t xml:space="preserve"> – metoda, której podstawą jest numeryczny model sieci transportowej (drogowej, kolejowej, lotniczej. wodnej) oraz macierz źródeł/celów podróży, z uwzględnieniem danych demograficznych, PKB, poziomu motoryzacji i innych. Klasyczny proces modelowania składa się z 4 etapów i jest przeprowadzany przy pomocy specjalistycznego oprogramowania. Model drogowy jest weryfikowany ruchem na danej </w:t>
            </w:r>
            <w:r>
              <w:rPr>
                <w:rFonts w:ascii="Calibri" w:eastAsia="Calibri" w:hAnsi="Calibri" w:cs="Calibri"/>
                <w:color w:val="000000"/>
                <w:sz w:val="20"/>
                <w:szCs w:val="20"/>
              </w:rPr>
              <w:lastRenderedPageBreak/>
              <w:t>istniejącej sieci drogowej wg najnowszych wyników GPR (Generalny Pomiar Ruchu) oraz pomiarami lokalnymi z uwzględnieniem sezonowości zmian, a także ankietami wśród kierowców.</w:t>
            </w:r>
          </w:p>
          <w:p w14:paraId="5EA058E2" w14:textId="77777777" w:rsidR="00600DEE" w:rsidRDefault="00641FB5">
            <w:pPr>
              <w:pBdr>
                <w:top w:val="nil"/>
                <w:left w:val="nil"/>
                <w:bottom w:val="nil"/>
                <w:right w:val="nil"/>
                <w:between w:val="nil"/>
              </w:pBdr>
              <w:spacing w:before="120" w:after="120"/>
              <w:ind w:left="851"/>
              <w:jc w:val="both"/>
              <w:rPr>
                <w:rFonts w:ascii="Calibri" w:eastAsia="Calibri" w:hAnsi="Calibri" w:cs="Calibri"/>
                <w:color w:val="000000"/>
                <w:sz w:val="20"/>
                <w:szCs w:val="20"/>
              </w:rPr>
            </w:pPr>
            <w:r>
              <w:rPr>
                <w:rFonts w:ascii="Calibri" w:eastAsia="Calibri" w:hAnsi="Calibri" w:cs="Calibri"/>
                <w:color w:val="000000"/>
                <w:sz w:val="20"/>
                <w:szCs w:val="20"/>
              </w:rPr>
              <w:t xml:space="preserve">Modele sieci transportowej dla projektów dotyczących dróg krajowych powinny  być oparte na Intermodalnym Krajowym Modelu Ruchu (należącym do GDDKiA, opisany poniżej). W oparciu o ten model można również przygotować projekty dla dróg wojewódzkich. W  zależności od potrzeb modele mogą być </w:t>
            </w:r>
            <w:proofErr w:type="spellStart"/>
            <w:r>
              <w:rPr>
                <w:rFonts w:ascii="Calibri" w:eastAsia="Calibri" w:hAnsi="Calibri" w:cs="Calibri"/>
                <w:color w:val="000000"/>
                <w:sz w:val="20"/>
                <w:szCs w:val="20"/>
              </w:rPr>
              <w:t>doszczegóławiane</w:t>
            </w:r>
            <w:proofErr w:type="spellEnd"/>
            <w:r>
              <w:rPr>
                <w:rFonts w:ascii="Calibri" w:eastAsia="Calibri" w:hAnsi="Calibri" w:cs="Calibri"/>
                <w:color w:val="000000"/>
                <w:sz w:val="20"/>
                <w:szCs w:val="20"/>
              </w:rPr>
              <w:t xml:space="preserve"> np. poprzez zwiększenie liczby rejonów generujących ruch, dodanie odcinków sieci lub dodatkowych macierzy. </w:t>
            </w:r>
          </w:p>
          <w:p w14:paraId="487EBF27" w14:textId="2C716616"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Metody uproszczone</w:t>
            </w:r>
            <w:r>
              <w:rPr>
                <w:rFonts w:ascii="Calibri" w:eastAsia="Calibri" w:hAnsi="Calibri" w:cs="Calibri"/>
                <w:color w:val="000000"/>
                <w:sz w:val="20"/>
                <w:szCs w:val="20"/>
              </w:rPr>
              <w:t xml:space="preserve"> – metody trendu, metody wskaźników wzrostu, wskaź</w:t>
            </w:r>
            <w:r w:rsidR="001B2F24">
              <w:rPr>
                <w:rFonts w:ascii="Calibri" w:eastAsia="Calibri" w:hAnsi="Calibri" w:cs="Calibri"/>
                <w:color w:val="000000"/>
                <w:sz w:val="20"/>
                <w:szCs w:val="20"/>
              </w:rPr>
              <w:t>niki przejęcia ruchu lub inne. W</w:t>
            </w:r>
            <w:r>
              <w:rPr>
                <w:rFonts w:ascii="Calibri" w:eastAsia="Calibri" w:hAnsi="Calibri" w:cs="Calibri"/>
                <w:color w:val="000000"/>
                <w:sz w:val="20"/>
                <w:szCs w:val="20"/>
              </w:rPr>
              <w:t> przypadku stosowania takich metod prognozowania należy przedstawić zarówno założenia merytoryczne, jak i przesłanki do stosowania danej metody.</w:t>
            </w:r>
          </w:p>
          <w:p w14:paraId="417807F8" w14:textId="22F5BA8D"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Zasadniczo, na potrzeby projektów drogowych należy wykonywać prognozy ruchu za pomocą modelowania. Jedynie w uzasadni</w:t>
            </w:r>
            <w:r w:rsidR="003E2A27">
              <w:rPr>
                <w:rFonts w:ascii="Calibri" w:eastAsia="Calibri" w:hAnsi="Calibri" w:cs="Calibri"/>
                <w:color w:val="000000"/>
                <w:sz w:val="20"/>
                <w:szCs w:val="20"/>
              </w:rPr>
              <w:t xml:space="preserve">onych merytoryczne przypadkach </w:t>
            </w:r>
            <w:r>
              <w:rPr>
                <w:rFonts w:ascii="Calibri" w:eastAsia="Calibri" w:hAnsi="Calibri" w:cs="Calibri"/>
                <w:color w:val="000000"/>
                <w:sz w:val="20"/>
                <w:szCs w:val="20"/>
              </w:rPr>
              <w:t>mogą być stosowane metody uproszczone (np. ograniczenia czasowe, weryfikacja wyników). Jednakże należy mieć świadomość, że otrzymane wyniki będą mniej dokładne niż w przypadku modelowania.</w:t>
            </w:r>
          </w:p>
          <w:p w14:paraId="34D695E7"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Intermodalny Krajowy Model Ruchu (IKMR) został opracowany na zlecenie GDDKiA i  obejmuje obszar całej Polski. Wpływy otoczenia, takie jak obszary poza granicami państwa, porty morskie, porty lotnicze, uwzględniono w modelu w postaci tzw. rejonów zewnętrznych. Model IKMR zawiera zarówno model sieci drogowej (wszystkie odcinki dróg krajowych i wojewódzkich) jak i sieci kolejowej (wszystkie odcinki sieci, również nieczynne) oraz macierze ruchu osobowego (drogowego i kolejowego) i towarowego (drogowego). Obecnie rokiem bazowym dla IKMR jest rok 2015.</w:t>
            </w:r>
          </w:p>
          <w:p w14:paraId="27418C78" w14:textId="5D2F8E94" w:rsidR="001F6CAA"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Mając na uwadze </w:t>
            </w:r>
            <w:r w:rsidR="001B2F24">
              <w:rPr>
                <w:rFonts w:ascii="Calibri" w:eastAsia="Calibri" w:hAnsi="Calibri" w:cs="Calibri"/>
                <w:color w:val="000000"/>
                <w:sz w:val="20"/>
                <w:szCs w:val="20"/>
              </w:rPr>
              <w:t>ciągłą potrzebę przygotowywania</w:t>
            </w:r>
            <w:r>
              <w:rPr>
                <w:rFonts w:ascii="Calibri" w:eastAsia="Calibri" w:hAnsi="Calibri" w:cs="Calibri"/>
                <w:color w:val="000000"/>
                <w:sz w:val="20"/>
                <w:szCs w:val="20"/>
              </w:rPr>
              <w:t xml:space="preserve"> wysokiej jakości prognoz, GDDKiA uczestniczy w pracach dotyczących aktualizacji i udoskonalenia Intermodalnego Krajowego Modelu Ruchu z uwzględnieniem jego aspektów </w:t>
            </w:r>
            <w:proofErr w:type="spellStart"/>
            <w:r>
              <w:rPr>
                <w:rFonts w:ascii="Calibri" w:eastAsia="Calibri" w:hAnsi="Calibri" w:cs="Calibri"/>
                <w:color w:val="000000"/>
                <w:sz w:val="20"/>
                <w:szCs w:val="20"/>
              </w:rPr>
              <w:t>wielogałęziowości</w:t>
            </w:r>
            <w:proofErr w:type="spellEnd"/>
            <w:r>
              <w:rPr>
                <w:rFonts w:ascii="Calibri" w:eastAsia="Calibri" w:hAnsi="Calibri" w:cs="Calibri"/>
                <w:color w:val="000000"/>
                <w:sz w:val="20"/>
                <w:szCs w:val="20"/>
              </w:rPr>
              <w:t xml:space="preserve">. Zastosowanie takiego podejścia jest zgodne z wymaganiami dla funduszy europejskich 2021-2027 opracowania kompleksowego planu transportowego. Model będzie udostępniany przez właściwą jednostkę GDDKiA (aktualnie Departament Strategii i Studiów).  </w:t>
            </w:r>
          </w:p>
        </w:tc>
        <w:tc>
          <w:tcPr>
            <w:tcW w:w="7204" w:type="dxa"/>
            <w:tcBorders>
              <w:left w:val="single" w:sz="4" w:space="0" w:color="000000"/>
            </w:tcBorders>
            <w:tcMar>
              <w:left w:w="284" w:type="dxa"/>
              <w:right w:w="284" w:type="dxa"/>
            </w:tcMar>
          </w:tcPr>
          <w:p w14:paraId="170ACC9E" w14:textId="77777777" w:rsidR="003E2A27" w:rsidRPr="00FD7BF1" w:rsidRDefault="003E2A27" w:rsidP="003E2A27">
            <w:pPr>
              <w:jc w:val="both"/>
              <w:rPr>
                <w:rFonts w:asciiTheme="minorHAnsi" w:hAnsiTheme="minorHAnsi"/>
                <w:spacing w:val="-3"/>
                <w:sz w:val="20"/>
                <w:szCs w:val="20"/>
                <w:lang w:val="en-GB"/>
              </w:rPr>
            </w:pPr>
            <w:r w:rsidRPr="008F5884">
              <w:rPr>
                <w:rFonts w:asciiTheme="minorHAnsi" w:hAnsiTheme="minorHAnsi"/>
                <w:spacing w:val="-3"/>
                <w:sz w:val="20"/>
                <w:szCs w:val="20"/>
                <w:lang w:val="en-GB"/>
              </w:rPr>
              <w:lastRenderedPageBreak/>
              <w:t xml:space="preserve">Preparation of correct traffic forecasts is essential for the CBA. These forecasts must include changes on the analysed section as well as the effects of the planned investment on the road network and </w:t>
            </w:r>
            <w:proofErr w:type="spellStart"/>
            <w:r w:rsidRPr="00FD7BF1">
              <w:rPr>
                <w:rFonts w:asciiTheme="minorHAnsi" w:hAnsiTheme="minorHAnsi"/>
                <w:spacing w:val="-3"/>
                <w:sz w:val="20"/>
                <w:szCs w:val="20"/>
                <w:lang w:val="en-GB"/>
              </w:rPr>
              <w:t>incuding</w:t>
            </w:r>
            <w:proofErr w:type="spellEnd"/>
            <w:r w:rsidRPr="00FD7BF1">
              <w:rPr>
                <w:rFonts w:asciiTheme="minorHAnsi" w:hAnsiTheme="minorHAnsi"/>
                <w:spacing w:val="-3"/>
                <w:sz w:val="20"/>
                <w:szCs w:val="20"/>
                <w:lang w:val="en-GB"/>
              </w:rPr>
              <w:t xml:space="preserve"> – if relevant – other transport modes.</w:t>
            </w:r>
          </w:p>
          <w:p w14:paraId="14587576" w14:textId="77777777" w:rsidR="003E2A27" w:rsidRPr="00731E4E" w:rsidRDefault="003E2A27" w:rsidP="003E2A27">
            <w:pPr>
              <w:pStyle w:val="anxnormalZnak"/>
              <w:spacing w:after="120"/>
              <w:ind w:left="0"/>
              <w:rPr>
                <w:rFonts w:asciiTheme="minorHAnsi" w:hAnsiTheme="minorHAnsi"/>
                <w:spacing w:val="-3"/>
                <w:lang w:val="en-GB"/>
              </w:rPr>
            </w:pPr>
            <w:r w:rsidRPr="00731E4E">
              <w:rPr>
                <w:rFonts w:asciiTheme="minorHAnsi" w:hAnsiTheme="minorHAnsi"/>
                <w:spacing w:val="-3"/>
                <w:lang w:val="en-GB"/>
              </w:rPr>
              <w:t>Considering the economic analysis requirements, traffic forecasts should be specifically prepared for the following:</w:t>
            </w:r>
          </w:p>
          <w:p w14:paraId="209EDBDA" w14:textId="77777777" w:rsidR="003E2A27" w:rsidRPr="00731E4E" w:rsidRDefault="003E2A27" w:rsidP="003E2A27">
            <w:pPr>
              <w:pStyle w:val="anxnormalZnak"/>
              <w:numPr>
                <w:ilvl w:val="0"/>
                <w:numId w:val="93"/>
              </w:numPr>
              <w:spacing w:after="120"/>
              <w:ind w:left="795" w:hanging="795"/>
              <w:rPr>
                <w:rFonts w:asciiTheme="minorHAnsi" w:hAnsiTheme="minorHAnsi"/>
                <w:spacing w:val="-3"/>
                <w:lang w:val="en-GB"/>
              </w:rPr>
            </w:pPr>
            <w:r w:rsidRPr="00731E4E">
              <w:rPr>
                <w:rFonts w:asciiTheme="minorHAnsi" w:hAnsiTheme="minorHAnsi"/>
                <w:spacing w:val="-3"/>
                <w:lang w:val="en-GB"/>
              </w:rPr>
              <w:t>Without-the-Project Option (W0),</w:t>
            </w:r>
          </w:p>
          <w:p w14:paraId="09650594" w14:textId="77777777" w:rsidR="003E2A27" w:rsidRPr="00731E4E" w:rsidRDefault="003E2A27" w:rsidP="003E2A27">
            <w:pPr>
              <w:pStyle w:val="anxnormalZnak"/>
              <w:numPr>
                <w:ilvl w:val="0"/>
                <w:numId w:val="93"/>
              </w:numPr>
              <w:spacing w:after="120"/>
              <w:ind w:left="795" w:hanging="795"/>
              <w:rPr>
                <w:rFonts w:asciiTheme="minorHAnsi" w:hAnsiTheme="minorHAnsi"/>
                <w:spacing w:val="-3"/>
                <w:lang w:val="en-GB"/>
              </w:rPr>
            </w:pPr>
            <w:r>
              <w:rPr>
                <w:rFonts w:asciiTheme="minorHAnsi" w:hAnsiTheme="minorHAnsi"/>
                <w:spacing w:val="-3"/>
                <w:lang w:val="en-GB"/>
              </w:rPr>
              <w:t>e</w:t>
            </w:r>
            <w:r w:rsidRPr="00731E4E">
              <w:rPr>
                <w:rFonts w:asciiTheme="minorHAnsi" w:hAnsiTheme="minorHAnsi"/>
                <w:spacing w:val="-3"/>
                <w:lang w:val="en-GB"/>
              </w:rPr>
              <w:t>ach of the Project Investment Option/s analysed in the CBA.</w:t>
            </w:r>
          </w:p>
          <w:p w14:paraId="0393A7E8" w14:textId="77777777" w:rsidR="003E2A27" w:rsidRPr="00FD7BF1" w:rsidRDefault="003E2A27" w:rsidP="003E2A27">
            <w:pPr>
              <w:jc w:val="both"/>
              <w:rPr>
                <w:rFonts w:asciiTheme="minorHAnsi" w:eastAsia="Arial" w:hAnsiTheme="minorHAnsi" w:cs="Arial"/>
                <w:bCs/>
                <w:snapToGrid w:val="0"/>
                <w:spacing w:val="1"/>
                <w:position w:val="-1"/>
                <w:sz w:val="20"/>
                <w:szCs w:val="20"/>
                <w:lang w:val="en-GB"/>
              </w:rPr>
            </w:pPr>
            <w:r w:rsidRPr="00FD7BF1">
              <w:rPr>
                <w:rFonts w:asciiTheme="minorHAnsi" w:eastAsia="Arial" w:hAnsiTheme="minorHAnsi" w:cs="Arial"/>
                <w:bCs/>
                <w:snapToGrid w:val="0"/>
                <w:spacing w:val="1"/>
                <w:position w:val="-1"/>
                <w:sz w:val="20"/>
                <w:szCs w:val="20"/>
                <w:lang w:val="en-GB"/>
              </w:rPr>
              <w:t xml:space="preserve">Since this Manual is aimed at providing guidance, mainly, for preparation of the required CBA for road “major projects”, it is recommended to use an individual approach in traffic forecasting, as they will usually have a significant impact on traffic flow changes in a larger surrounding road network area, </w:t>
            </w:r>
            <w:proofErr w:type="spellStart"/>
            <w:r w:rsidRPr="00FD7BF1">
              <w:rPr>
                <w:rFonts w:asciiTheme="minorHAnsi" w:eastAsia="Arial" w:hAnsiTheme="minorHAnsi" w:cs="Arial"/>
                <w:bCs/>
                <w:snapToGrid w:val="0"/>
                <w:spacing w:val="1"/>
                <w:position w:val="-1"/>
                <w:sz w:val="20"/>
                <w:szCs w:val="20"/>
                <w:lang w:val="en-GB"/>
              </w:rPr>
              <w:t>incuding</w:t>
            </w:r>
            <w:proofErr w:type="spellEnd"/>
            <w:r w:rsidRPr="00FD7BF1">
              <w:rPr>
                <w:rFonts w:asciiTheme="minorHAnsi" w:eastAsia="Arial" w:hAnsiTheme="minorHAnsi" w:cs="Arial"/>
                <w:bCs/>
                <w:snapToGrid w:val="0"/>
                <w:spacing w:val="1"/>
                <w:position w:val="-1"/>
                <w:sz w:val="20"/>
                <w:szCs w:val="20"/>
                <w:lang w:val="en-GB"/>
              </w:rPr>
              <w:t xml:space="preserve"> - if relevant - other transport modes.</w:t>
            </w:r>
          </w:p>
          <w:p w14:paraId="68D77A02"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basis for elaboration of traffic analysis and forecasting for these projects is the current traffic model prepared using the methods described below.</w:t>
            </w:r>
          </w:p>
          <w:p w14:paraId="2D708BAC" w14:textId="1FB83082"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Modelling</w:t>
            </w:r>
            <w:r w:rsidR="003E2A27">
              <w:rPr>
                <w:rFonts w:asciiTheme="minorHAnsi" w:hAnsiTheme="minorHAnsi"/>
                <w:b/>
                <w:spacing w:val="-3"/>
                <w:lang w:val="en-GB"/>
              </w:rPr>
              <w:t xml:space="preserve"> </w:t>
            </w:r>
            <w:r w:rsidR="003E2A27">
              <w:rPr>
                <w:rFonts w:asciiTheme="minorHAnsi" w:hAnsiTheme="minorHAnsi"/>
                <w:spacing w:val="-3"/>
                <w:lang w:val="en-GB"/>
              </w:rPr>
              <w:t xml:space="preserve">– </w:t>
            </w:r>
            <w:r w:rsidRPr="0045151D">
              <w:rPr>
                <w:rFonts w:ascii="Calibri" w:eastAsia="Calibri" w:hAnsi="Calibri" w:cs="Calibri"/>
                <w:color w:val="000000"/>
                <w:sz w:val="20"/>
                <w:szCs w:val="20"/>
                <w:lang w:val="en-GB"/>
              </w:rPr>
              <w:t>a</w:t>
            </w:r>
            <w:r w:rsidRPr="0045151D">
              <w:rPr>
                <w:rFonts w:ascii="Calibri" w:eastAsia="Calibri" w:hAnsi="Calibri" w:cs="Calibri"/>
                <w:b/>
                <w:color w:val="000000"/>
                <w:sz w:val="20"/>
                <w:szCs w:val="20"/>
                <w:lang w:val="en-GB"/>
              </w:rPr>
              <w:t> </w:t>
            </w:r>
            <w:r w:rsidRPr="0045151D">
              <w:rPr>
                <w:rFonts w:ascii="Calibri" w:eastAsia="Calibri" w:hAnsi="Calibri" w:cs="Calibri"/>
                <w:color w:val="000000"/>
                <w:sz w:val="20"/>
                <w:szCs w:val="20"/>
                <w:lang w:val="en-GB"/>
              </w:rPr>
              <w:t xml:space="preserve">method in which the basis is a digital model of the transport network (road, rail, air, water) and a matrix of origin/destination pairs, considering population, GDP, level of vehicle ownership, etc. The classic modelling process consists of 4 stages and uses specialised software. The road model is verified on the existing traffic network according to the most recent results of the GPR (General Traffic Counting, </w:t>
            </w:r>
            <w:proofErr w:type="spellStart"/>
            <w:r w:rsidRPr="0045151D">
              <w:rPr>
                <w:rFonts w:ascii="Calibri" w:eastAsia="Calibri" w:hAnsi="Calibri" w:cs="Calibri"/>
                <w:i/>
                <w:color w:val="000000"/>
                <w:sz w:val="20"/>
                <w:szCs w:val="20"/>
                <w:lang w:val="en-GB"/>
              </w:rPr>
              <w:t>Generalny</w:t>
            </w:r>
            <w:proofErr w:type="spellEnd"/>
            <w:r w:rsidRPr="0045151D">
              <w:rPr>
                <w:rFonts w:ascii="Calibri" w:eastAsia="Calibri" w:hAnsi="Calibri" w:cs="Calibri"/>
                <w:i/>
                <w:color w:val="000000"/>
                <w:sz w:val="20"/>
                <w:szCs w:val="20"/>
                <w:lang w:val="en-GB"/>
              </w:rPr>
              <w:t xml:space="preserve"> </w:t>
            </w:r>
            <w:proofErr w:type="spellStart"/>
            <w:r w:rsidRPr="0045151D">
              <w:rPr>
                <w:rFonts w:ascii="Calibri" w:eastAsia="Calibri" w:hAnsi="Calibri" w:cs="Calibri"/>
                <w:i/>
                <w:color w:val="000000"/>
                <w:sz w:val="20"/>
                <w:szCs w:val="20"/>
                <w:lang w:val="en-GB"/>
              </w:rPr>
              <w:t>Pomiar</w:t>
            </w:r>
            <w:proofErr w:type="spellEnd"/>
            <w:r w:rsidRPr="0045151D">
              <w:rPr>
                <w:rFonts w:ascii="Calibri" w:eastAsia="Calibri" w:hAnsi="Calibri" w:cs="Calibri"/>
                <w:i/>
                <w:color w:val="000000"/>
                <w:sz w:val="20"/>
                <w:szCs w:val="20"/>
                <w:lang w:val="en-GB"/>
              </w:rPr>
              <w:t xml:space="preserve"> </w:t>
            </w:r>
            <w:proofErr w:type="spellStart"/>
            <w:r w:rsidRPr="0045151D">
              <w:rPr>
                <w:rFonts w:ascii="Calibri" w:eastAsia="Calibri" w:hAnsi="Calibri" w:cs="Calibri"/>
                <w:i/>
                <w:color w:val="000000"/>
                <w:sz w:val="20"/>
                <w:szCs w:val="20"/>
                <w:lang w:val="en-GB"/>
              </w:rPr>
              <w:t>Ruchu</w:t>
            </w:r>
            <w:proofErr w:type="spellEnd"/>
            <w:r w:rsidRPr="0045151D">
              <w:rPr>
                <w:rFonts w:ascii="Calibri" w:eastAsia="Calibri" w:hAnsi="Calibri" w:cs="Calibri"/>
                <w:i/>
                <w:color w:val="000000"/>
                <w:sz w:val="20"/>
                <w:szCs w:val="20"/>
                <w:lang w:val="en-GB"/>
              </w:rPr>
              <w:t>)</w:t>
            </w:r>
            <w:r w:rsidRPr="0045151D">
              <w:rPr>
                <w:rFonts w:ascii="Calibri" w:eastAsia="Calibri" w:hAnsi="Calibri" w:cs="Calibri"/>
                <w:color w:val="000000"/>
                <w:sz w:val="20"/>
                <w:szCs w:val="20"/>
                <w:lang w:val="en-GB"/>
              </w:rPr>
              <w:t xml:space="preserve"> and local measurements taking into account seasonal changes and including surveys among drivers. </w:t>
            </w:r>
          </w:p>
          <w:p w14:paraId="51AB235E" w14:textId="6E4F728A"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Transport network models for national roads projects should be based on the Multimodal National Traffic Model (owned by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described below). The voivodeship roads projects also can be based on this model. When using the model to appraise specific projects, it might need to be enhanced – e.g</w:t>
            </w:r>
            <w:r w:rsidR="003E2A27">
              <w:rPr>
                <w:rFonts w:ascii="Calibri" w:eastAsia="Calibri" w:hAnsi="Calibri" w:cs="Calibri"/>
                <w:color w:val="000000"/>
                <w:sz w:val="20"/>
                <w:szCs w:val="20"/>
                <w:lang w:val="en-GB"/>
              </w:rPr>
              <w:t>. by defining additional zones,</w:t>
            </w:r>
            <w:r w:rsidRPr="0045151D">
              <w:rPr>
                <w:rFonts w:ascii="Calibri" w:eastAsia="Calibri" w:hAnsi="Calibri" w:cs="Calibri"/>
                <w:color w:val="000000"/>
                <w:sz w:val="20"/>
                <w:szCs w:val="20"/>
                <w:lang w:val="en-GB"/>
              </w:rPr>
              <w:t xml:space="preserve"> adding network sections or additional matrices.</w:t>
            </w:r>
          </w:p>
          <w:p w14:paraId="2D78BDD8"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Simplified methods</w:t>
            </w:r>
            <w:r w:rsidRPr="0045151D">
              <w:rPr>
                <w:rFonts w:ascii="Calibri" w:eastAsia="Calibri" w:hAnsi="Calibri" w:cs="Calibri"/>
                <w:color w:val="000000"/>
                <w:sz w:val="20"/>
                <w:szCs w:val="20"/>
                <w:lang w:val="en-GB"/>
              </w:rPr>
              <w:t xml:space="preserve"> – trend method, methods of growth rates, traffic acquisition rates or others. In case of using such methods, assumptions and methodology should be described.</w:t>
            </w:r>
          </w:p>
          <w:p w14:paraId="0C17C224" w14:textId="15C9A479"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a general principle, road projects traffic forecasts should be developed by means of modelling. Only in justified cases, simplified methods may be used (</w:t>
            </w:r>
            <w:proofErr w:type="spellStart"/>
            <w:r w:rsidRPr="0045151D">
              <w:rPr>
                <w:rFonts w:ascii="Calibri" w:eastAsia="Calibri" w:hAnsi="Calibri" w:cs="Calibri"/>
                <w:color w:val="000000"/>
                <w:sz w:val="20"/>
                <w:szCs w:val="20"/>
                <w:lang w:val="en-GB"/>
              </w:rPr>
              <w:t>eg.</w:t>
            </w:r>
            <w:proofErr w:type="spellEnd"/>
            <w:r w:rsidRPr="0045151D">
              <w:rPr>
                <w:rFonts w:ascii="Calibri" w:eastAsia="Calibri" w:hAnsi="Calibri" w:cs="Calibri"/>
                <w:color w:val="000000"/>
                <w:sz w:val="20"/>
                <w:szCs w:val="20"/>
                <w:lang w:val="en-GB"/>
              </w:rPr>
              <w:t xml:space="preserve"> time constraints, forecast</w:t>
            </w:r>
            <w:r w:rsidR="001B2F24">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verification). How</w:t>
            </w:r>
            <w:r w:rsidR="001B2F24">
              <w:rPr>
                <w:rFonts w:ascii="Calibri" w:eastAsia="Calibri" w:hAnsi="Calibri" w:cs="Calibri"/>
                <w:color w:val="000000"/>
                <w:sz w:val="20"/>
                <w:szCs w:val="20"/>
                <w:lang w:val="en-GB"/>
              </w:rPr>
              <w:t>ever, on</w:t>
            </w:r>
            <w:r w:rsidRPr="0045151D">
              <w:rPr>
                <w:rFonts w:ascii="Calibri" w:eastAsia="Calibri" w:hAnsi="Calibri" w:cs="Calibri"/>
                <w:color w:val="000000"/>
                <w:sz w:val="20"/>
                <w:szCs w:val="20"/>
                <w:lang w:val="en-GB"/>
              </w:rPr>
              <w:t>e should be aware the results would be less accurate than in the case of modelling.</w:t>
            </w:r>
          </w:p>
          <w:p w14:paraId="067F9B2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Multimodal National Traffic Model (IKMR) was commissioned by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and covers the entire territory of Poland. Surrounding impacts, such as </w:t>
            </w:r>
            <w:proofErr w:type="spellStart"/>
            <w:r w:rsidRPr="0045151D">
              <w:rPr>
                <w:rFonts w:ascii="Calibri" w:eastAsia="Calibri" w:hAnsi="Calibri" w:cs="Calibri"/>
                <w:color w:val="000000"/>
                <w:sz w:val="20"/>
                <w:szCs w:val="20"/>
                <w:lang w:val="en-GB"/>
              </w:rPr>
              <w:t>crossborder</w:t>
            </w:r>
            <w:proofErr w:type="spellEnd"/>
            <w:r w:rsidRPr="0045151D">
              <w:rPr>
                <w:rFonts w:ascii="Calibri" w:eastAsia="Calibri" w:hAnsi="Calibri" w:cs="Calibri"/>
                <w:color w:val="000000"/>
                <w:sz w:val="20"/>
                <w:szCs w:val="20"/>
                <w:lang w:val="en-GB"/>
              </w:rPr>
              <w:t xml:space="preserve"> traffic, seaports, airports, were included in the model in the form of the so-called external zones. The IKMR model includes both the road network model (all sections of national and voivodeship roads) and the rail network (all network sections, also closed ones) as well as passenger (road and rail) and freight (road) matrices. Currently, the base year for IKMR is 2015.</w:t>
            </w:r>
          </w:p>
          <w:p w14:paraId="6870B462" w14:textId="76E9A41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maintain high quality of the forecasting,  General Directorate for National Roads and Motorways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is involved in the work aiming at updating and enhancing the </w:t>
            </w:r>
            <w:proofErr w:type="spellStart"/>
            <w:r w:rsidRPr="0045151D">
              <w:rPr>
                <w:rFonts w:ascii="Calibri" w:eastAsia="Calibri" w:hAnsi="Calibri" w:cs="Calibri"/>
                <w:color w:val="000000"/>
                <w:sz w:val="20"/>
                <w:szCs w:val="20"/>
                <w:lang w:val="en-GB"/>
              </w:rPr>
              <w:t>the</w:t>
            </w:r>
            <w:proofErr w:type="spellEnd"/>
            <w:r w:rsidRPr="0045151D">
              <w:rPr>
                <w:rFonts w:ascii="Calibri" w:eastAsia="Calibri" w:hAnsi="Calibri" w:cs="Calibri"/>
                <w:color w:val="000000"/>
                <w:sz w:val="20"/>
                <w:szCs w:val="20"/>
                <w:lang w:val="en-GB"/>
              </w:rPr>
              <w:t xml:space="preserve"> Multimodal National Transport Model, including its  multi-modality aspects. Such approach is in accordance with the requirements for EU funds 2021 - 2027 aiming at a comprehensive transport plan. The model will be available from the relevant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unit (currently: Department for Planning).</w:t>
            </w:r>
          </w:p>
        </w:tc>
      </w:tr>
      <w:tr w:rsidR="001F6CAA" w:rsidRPr="007463B9" w14:paraId="418AF8B5" w14:textId="77777777">
        <w:tc>
          <w:tcPr>
            <w:tcW w:w="7367" w:type="dxa"/>
            <w:tcBorders>
              <w:right w:val="single" w:sz="4" w:space="0" w:color="000000"/>
            </w:tcBorders>
            <w:tcMar>
              <w:left w:w="284" w:type="dxa"/>
              <w:right w:w="284" w:type="dxa"/>
            </w:tcMar>
          </w:tcPr>
          <w:p w14:paraId="0F7C0FB2" w14:textId="77777777" w:rsidR="001F6CAA" w:rsidRPr="0045151D" w:rsidRDefault="001F6CAA">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c>
          <w:tcPr>
            <w:tcW w:w="7204" w:type="dxa"/>
            <w:tcBorders>
              <w:left w:val="single" w:sz="4" w:space="0" w:color="000000"/>
            </w:tcBorders>
            <w:tcMar>
              <w:left w:w="284" w:type="dxa"/>
              <w:right w:w="284" w:type="dxa"/>
            </w:tcMar>
          </w:tcPr>
          <w:p w14:paraId="2572D610" w14:textId="77777777" w:rsidR="001F6CAA" w:rsidRPr="0045151D" w:rsidRDefault="001F6CAA">
            <w:pPr>
              <w:rPr>
                <w:rFonts w:ascii="Calibri" w:eastAsia="Calibri" w:hAnsi="Calibri" w:cs="Calibri"/>
                <w:sz w:val="20"/>
                <w:szCs w:val="20"/>
                <w:lang w:val="en-GB"/>
              </w:rPr>
            </w:pPr>
          </w:p>
        </w:tc>
      </w:tr>
    </w:tbl>
    <w:p w14:paraId="7DABB335" w14:textId="190C4B2B" w:rsidR="00600DEE" w:rsidRDefault="00641FB5" w:rsidP="00D5736B">
      <w:pPr>
        <w:pStyle w:val="Nagwek3"/>
        <w:numPr>
          <w:ilvl w:val="2"/>
          <w:numId w:val="17"/>
        </w:numPr>
        <w:ind w:left="0" w:firstLine="0"/>
        <w:rPr>
          <w:rFonts w:ascii="Calibri" w:eastAsia="Calibri" w:hAnsi="Calibri" w:cs="Calibri"/>
          <w:color w:val="4F81BD"/>
        </w:rPr>
      </w:pPr>
      <w:bookmarkStart w:id="41" w:name="_Toc91596236"/>
      <w:bookmarkStart w:id="42" w:name="_Toc95377974"/>
      <w:r>
        <w:rPr>
          <w:rFonts w:ascii="Calibri" w:eastAsia="Calibri" w:hAnsi="Calibri" w:cs="Calibri"/>
          <w:color w:val="4F81BD"/>
        </w:rPr>
        <w:t>Klasyfikacja projektów ze względu na zalecane indywidualne podejście do prognozowania</w:t>
      </w:r>
      <w:bookmarkEnd w:id="41"/>
      <w:bookmarkEnd w:id="42"/>
    </w:p>
    <w:p w14:paraId="3F06FA7B" w14:textId="2E6D84B7" w:rsidR="00600DEE" w:rsidRPr="0045151D" w:rsidRDefault="00641FB5" w:rsidP="001F6CAA">
      <w:pPr>
        <w:pStyle w:val="Nagwek3"/>
        <w:spacing w:after="120"/>
        <w:rPr>
          <w:rFonts w:ascii="Calibri" w:eastAsia="Calibri" w:hAnsi="Calibri" w:cs="Calibri"/>
          <w:color w:val="4F81BD"/>
          <w:lang w:val="en-GB"/>
        </w:rPr>
      </w:pPr>
      <w:bookmarkStart w:id="43" w:name="_Toc95377975"/>
      <w:r w:rsidRPr="0045151D">
        <w:rPr>
          <w:rFonts w:ascii="Calibri" w:eastAsia="Calibri" w:hAnsi="Calibri" w:cs="Calibri"/>
          <w:i/>
          <w:color w:val="4F81BD"/>
          <w:lang w:val="en-GB"/>
        </w:rPr>
        <w:t>1.8.1   Classification of projects based on the recommended forecasting method</w:t>
      </w:r>
      <w:bookmarkEnd w:id="43"/>
    </w:p>
    <w:tbl>
      <w:tblPr>
        <w:tblStyle w:val="afc"/>
        <w:tblW w:w="14571" w:type="dxa"/>
        <w:tblLayout w:type="fixed"/>
        <w:tblLook w:val="0400" w:firstRow="0" w:lastRow="0" w:firstColumn="0" w:lastColumn="0" w:noHBand="0" w:noVBand="1"/>
      </w:tblPr>
      <w:tblGrid>
        <w:gridCol w:w="7367"/>
        <w:gridCol w:w="7204"/>
      </w:tblGrid>
      <w:tr w:rsidR="00600DEE" w:rsidRPr="007463B9" w14:paraId="12182CB7" w14:textId="77777777">
        <w:tc>
          <w:tcPr>
            <w:tcW w:w="7367" w:type="dxa"/>
            <w:tcBorders>
              <w:right w:val="single" w:sz="4" w:space="0" w:color="000000"/>
            </w:tcBorders>
            <w:tcMar>
              <w:left w:w="284" w:type="dxa"/>
              <w:right w:w="284" w:type="dxa"/>
            </w:tcMar>
          </w:tcPr>
          <w:p w14:paraId="09C40ED6" w14:textId="77777777" w:rsidR="00600DEE" w:rsidRDefault="00641FB5" w:rsidP="001F6CAA">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 punktu widzenia AKK, wśród dużych inwestycji drogowych, dla których zalecane jest stosowanie indywidualnego podejścia do prognozowania ruchu oraz sposobu obliczania pracy przewozowej dla celów AKK, można wyróżnić następujące typy projektów zależne od rodzaju planowanej inwestycji:</w:t>
            </w:r>
          </w:p>
          <w:p w14:paraId="4179EC87" w14:textId="77777777" w:rsidR="00600DEE" w:rsidRDefault="00641FB5" w:rsidP="001F6CAA">
            <w:pPr>
              <w:pBdr>
                <w:top w:val="nil"/>
                <w:left w:val="nil"/>
                <w:bottom w:val="nil"/>
                <w:right w:val="nil"/>
                <w:between w:val="nil"/>
              </w:pBdr>
              <w:spacing w:before="240" w:after="120"/>
              <w:ind w:left="851" w:hanging="851"/>
              <w:jc w:val="both"/>
              <w:rPr>
                <w:rFonts w:ascii="Calibri" w:eastAsia="Calibri" w:hAnsi="Calibri" w:cs="Calibri"/>
                <w:b/>
                <w:color w:val="4F81BD"/>
                <w:sz w:val="20"/>
                <w:szCs w:val="20"/>
              </w:rPr>
            </w:pPr>
            <w:r>
              <w:rPr>
                <w:rFonts w:ascii="Calibri" w:eastAsia="Calibri" w:hAnsi="Calibri" w:cs="Calibri"/>
                <w:b/>
                <w:color w:val="4F81BD"/>
                <w:sz w:val="20"/>
                <w:szCs w:val="20"/>
              </w:rPr>
              <w:t>Tabela 6. Rekomendowany (wg. JASPERS) zakres obszarowy analizy ruchu oraz obliczenie pracy przewozowej na potrzeby AKK</w:t>
            </w:r>
          </w:p>
          <w:tbl>
            <w:tblPr>
              <w:tblStyle w:val="afd"/>
              <w:tblW w:w="701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65"/>
              <w:gridCol w:w="1429"/>
              <w:gridCol w:w="1119"/>
              <w:gridCol w:w="2685"/>
              <w:gridCol w:w="1421"/>
            </w:tblGrid>
            <w:tr w:rsidR="00600DEE" w14:paraId="047F673D" w14:textId="77777777" w:rsidTr="008107FB">
              <w:trPr>
                <w:trHeight w:val="1134"/>
                <w:jc w:val="center"/>
              </w:trPr>
              <w:tc>
                <w:tcPr>
                  <w:tcW w:w="365" w:type="dxa"/>
                  <w:tcBorders>
                    <w:top w:val="single" w:sz="4" w:space="0" w:color="FFFFFF"/>
                    <w:left w:val="single" w:sz="4" w:space="0" w:color="FFFFFF"/>
                    <w:bottom w:val="single" w:sz="4" w:space="0" w:color="FFFFFF"/>
                    <w:right w:val="single" w:sz="4" w:space="0" w:color="FFFFFF"/>
                  </w:tcBorders>
                  <w:shd w:val="clear" w:color="auto" w:fill="A6A6A6"/>
                </w:tcPr>
                <w:p w14:paraId="7D73C723" w14:textId="77777777" w:rsidR="00600DEE" w:rsidRDefault="00600DEE">
                  <w:pPr>
                    <w:spacing w:before="120" w:after="120"/>
                    <w:jc w:val="center"/>
                    <w:rPr>
                      <w:rFonts w:ascii="Calibri" w:eastAsia="Calibri" w:hAnsi="Calibri" w:cs="Calibri"/>
                      <w:b/>
                      <w:color w:val="FFFFFF"/>
                      <w:sz w:val="17"/>
                      <w:szCs w:val="17"/>
                    </w:rPr>
                  </w:pPr>
                </w:p>
              </w:tc>
              <w:tc>
                <w:tcPr>
                  <w:tcW w:w="2548"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5DAB9096" w14:textId="77777777" w:rsidR="00600DEE" w:rsidRDefault="00641FB5">
                  <w:pPr>
                    <w:spacing w:before="120" w:after="120"/>
                    <w:jc w:val="center"/>
                    <w:rPr>
                      <w:rFonts w:ascii="Calibri" w:eastAsia="Calibri" w:hAnsi="Calibri" w:cs="Calibri"/>
                      <w:b/>
                      <w:color w:val="FFFFFF"/>
                      <w:sz w:val="17"/>
                      <w:szCs w:val="17"/>
                    </w:rPr>
                  </w:pPr>
                  <w:r>
                    <w:rPr>
                      <w:rFonts w:ascii="Calibri" w:eastAsia="Calibri" w:hAnsi="Calibri" w:cs="Calibri"/>
                      <w:b/>
                      <w:color w:val="FFFFFF"/>
                      <w:sz w:val="17"/>
                      <w:szCs w:val="17"/>
                    </w:rPr>
                    <w:t>Rodzaj inwestycji</w:t>
                  </w:r>
                </w:p>
              </w:tc>
              <w:tc>
                <w:tcPr>
                  <w:tcW w:w="2685" w:type="dxa"/>
                  <w:tcBorders>
                    <w:top w:val="single" w:sz="4" w:space="0" w:color="FFFFFF"/>
                    <w:left w:val="single" w:sz="4" w:space="0" w:color="FFFFFF"/>
                    <w:right w:val="single" w:sz="4" w:space="0" w:color="FFFFFF"/>
                  </w:tcBorders>
                  <w:shd w:val="clear" w:color="auto" w:fill="A6A6A6"/>
                  <w:vAlign w:val="center"/>
                </w:tcPr>
                <w:p w14:paraId="19D6A289" w14:textId="77777777" w:rsidR="00600DEE" w:rsidRDefault="00641FB5">
                  <w:pPr>
                    <w:spacing w:before="60" w:after="60"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Zakres obszarowy i metoda analizy ruchu</w:t>
                  </w:r>
                </w:p>
              </w:tc>
              <w:tc>
                <w:tcPr>
                  <w:tcW w:w="142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A2625A7" w14:textId="77777777" w:rsidR="00600DEE" w:rsidRDefault="00641FB5">
                  <w:pPr>
                    <w:spacing w:before="60" w:after="60"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Sposób obliczenia pracy przewozowej do AKK*</w:t>
                  </w:r>
                </w:p>
              </w:tc>
            </w:tr>
            <w:tr w:rsidR="00600DEE" w14:paraId="6C874ABB" w14:textId="77777777" w:rsidTr="001F6CAA">
              <w:trPr>
                <w:trHeight w:hRule="exact" w:val="1418"/>
                <w:jc w:val="center"/>
              </w:trPr>
              <w:tc>
                <w:tcPr>
                  <w:tcW w:w="365" w:type="dxa"/>
                  <w:tcBorders>
                    <w:top w:val="single" w:sz="4" w:space="0" w:color="FFFFFF"/>
                    <w:left w:val="single" w:sz="4" w:space="0" w:color="FFFFFF"/>
                    <w:bottom w:val="single" w:sz="4" w:space="0" w:color="FFFFFF"/>
                    <w:right w:val="single" w:sz="4" w:space="0" w:color="FFFFFF"/>
                  </w:tcBorders>
                  <w:shd w:val="clear" w:color="auto" w:fill="DBE5F1"/>
                </w:tcPr>
                <w:p w14:paraId="26A85465"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1.</w:t>
                  </w:r>
                </w:p>
              </w:tc>
              <w:tc>
                <w:tcPr>
                  <w:tcW w:w="25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22BA7A3D" w14:textId="003DCB99"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Inwestycje punktowe lub liniowe zmierzające do poprawy jakości lub bezpieczeństwa bez zwiększenia przepustowości.</w:t>
                  </w:r>
                </w:p>
                <w:p w14:paraId="5DB859D6" w14:textId="045B5BDC" w:rsidR="001F6CAA" w:rsidRDefault="001F6CAA">
                  <w:pPr>
                    <w:spacing w:before="120" w:after="120"/>
                    <w:rPr>
                      <w:rFonts w:ascii="Calibri" w:eastAsia="Calibri" w:hAnsi="Calibri" w:cs="Calibri"/>
                      <w:color w:val="4F81BD"/>
                      <w:sz w:val="18"/>
                      <w:szCs w:val="18"/>
                    </w:rPr>
                  </w:pPr>
                </w:p>
                <w:p w14:paraId="3FDFC51D" w14:textId="0699BA3D" w:rsidR="001F6CAA" w:rsidRDefault="001F6CAA">
                  <w:pPr>
                    <w:spacing w:before="120" w:after="120"/>
                    <w:rPr>
                      <w:rFonts w:ascii="Calibri" w:eastAsia="Calibri" w:hAnsi="Calibri" w:cs="Calibri"/>
                      <w:color w:val="4F81BD"/>
                      <w:sz w:val="18"/>
                      <w:szCs w:val="18"/>
                    </w:rPr>
                  </w:pPr>
                </w:p>
                <w:p w14:paraId="528A5B53" w14:textId="20DE5C97" w:rsidR="001F6CAA" w:rsidRDefault="001F6CAA">
                  <w:pPr>
                    <w:spacing w:before="120" w:after="120"/>
                    <w:rPr>
                      <w:rFonts w:ascii="Calibri" w:eastAsia="Calibri" w:hAnsi="Calibri" w:cs="Calibri"/>
                      <w:color w:val="4F81BD"/>
                      <w:sz w:val="18"/>
                      <w:szCs w:val="18"/>
                    </w:rPr>
                  </w:pPr>
                </w:p>
                <w:p w14:paraId="0D92D3BE" w14:textId="54D1CD0E" w:rsidR="001F6CAA" w:rsidRDefault="001F6CAA">
                  <w:pPr>
                    <w:spacing w:before="120" w:after="120"/>
                    <w:rPr>
                      <w:rFonts w:ascii="Calibri" w:eastAsia="Calibri" w:hAnsi="Calibri" w:cs="Calibri"/>
                      <w:color w:val="4F81BD"/>
                      <w:sz w:val="18"/>
                      <w:szCs w:val="18"/>
                    </w:rPr>
                  </w:pPr>
                </w:p>
                <w:p w14:paraId="0FB4724C" w14:textId="189189C8" w:rsidR="001F6CAA" w:rsidRDefault="001F6CAA">
                  <w:pPr>
                    <w:spacing w:before="120" w:after="120"/>
                    <w:rPr>
                      <w:rFonts w:ascii="Calibri" w:eastAsia="Calibri" w:hAnsi="Calibri" w:cs="Calibri"/>
                      <w:color w:val="4F81BD"/>
                      <w:sz w:val="18"/>
                      <w:szCs w:val="18"/>
                    </w:rPr>
                  </w:pPr>
                </w:p>
                <w:p w14:paraId="225F6BAA" w14:textId="41B22077" w:rsidR="001F6CAA" w:rsidRDefault="001F6CAA">
                  <w:pPr>
                    <w:spacing w:before="120" w:after="120"/>
                    <w:rPr>
                      <w:rFonts w:ascii="Calibri" w:eastAsia="Calibri" w:hAnsi="Calibri" w:cs="Calibri"/>
                      <w:color w:val="4F81BD"/>
                      <w:sz w:val="18"/>
                      <w:szCs w:val="18"/>
                    </w:rPr>
                  </w:pPr>
                </w:p>
                <w:p w14:paraId="6994488C" w14:textId="77777777" w:rsidR="001F6CAA" w:rsidRDefault="001F6CAA">
                  <w:pPr>
                    <w:spacing w:before="120" w:after="120"/>
                    <w:rPr>
                      <w:rFonts w:ascii="Calibri" w:eastAsia="Calibri" w:hAnsi="Calibri" w:cs="Calibri"/>
                      <w:color w:val="4F81BD"/>
                      <w:sz w:val="18"/>
                      <w:szCs w:val="18"/>
                    </w:rPr>
                  </w:pPr>
                </w:p>
                <w:p w14:paraId="66F03DF0" w14:textId="77777777" w:rsidR="00600DEE" w:rsidRDefault="00600DEE">
                  <w:pPr>
                    <w:spacing w:before="120" w:after="120"/>
                    <w:rPr>
                      <w:rFonts w:ascii="Calibri" w:eastAsia="Calibri" w:hAnsi="Calibri" w:cs="Calibri"/>
                      <w:color w:val="4F81BD"/>
                      <w:sz w:val="18"/>
                      <w:szCs w:val="18"/>
                    </w:rPr>
                  </w:pPr>
                </w:p>
              </w:tc>
              <w:tc>
                <w:tcPr>
                  <w:tcW w:w="2685" w:type="dxa"/>
                  <w:tcBorders>
                    <w:top w:val="single" w:sz="4" w:space="0" w:color="FFFFFF"/>
                    <w:left w:val="single" w:sz="4" w:space="0" w:color="FFFFFF"/>
                    <w:bottom w:val="single" w:sz="4" w:space="0" w:color="FFFFFF"/>
                    <w:right w:val="single" w:sz="4" w:space="0" w:color="FFFFFF"/>
                  </w:tcBorders>
                  <w:shd w:val="clear" w:color="auto" w:fill="DBE5F1"/>
                </w:tcPr>
                <w:p w14:paraId="298520D7" w14:textId="130B7173"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Nie ma potrzeby stosowania  sieciowego modelu ru</w:t>
                  </w:r>
                  <w:r w:rsidR="001B2F24">
                    <w:rPr>
                      <w:rFonts w:ascii="Calibri" w:eastAsia="Calibri" w:hAnsi="Calibri" w:cs="Calibri"/>
                      <w:color w:val="4F81BD"/>
                      <w:sz w:val="18"/>
                      <w:szCs w:val="18"/>
                    </w:rPr>
                    <w:t>chu jeśli nie wystąpią ogranicze</w:t>
                  </w:r>
                  <w:r>
                    <w:rPr>
                      <w:rFonts w:ascii="Calibri" w:eastAsia="Calibri" w:hAnsi="Calibri" w:cs="Calibri"/>
                      <w:color w:val="4F81BD"/>
                      <w:sz w:val="18"/>
                      <w:szCs w:val="18"/>
                    </w:rPr>
                    <w:t>nia przepustowości</w:t>
                  </w:r>
                </w:p>
              </w:tc>
              <w:tc>
                <w:tcPr>
                  <w:tcW w:w="1421" w:type="dxa"/>
                  <w:tcBorders>
                    <w:top w:val="single" w:sz="4" w:space="0" w:color="FFFFFF"/>
                    <w:left w:val="single" w:sz="4" w:space="0" w:color="FFFFFF"/>
                    <w:bottom w:val="single" w:sz="4" w:space="0" w:color="FFFFFF"/>
                    <w:right w:val="single" w:sz="4" w:space="0" w:color="FFFFFF"/>
                  </w:tcBorders>
                  <w:shd w:val="clear" w:color="auto" w:fill="DBE5F1"/>
                </w:tcPr>
                <w:p w14:paraId="7349AD39"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Odcinkowo</w:t>
                  </w:r>
                </w:p>
              </w:tc>
            </w:tr>
            <w:tr w:rsidR="00600DEE" w14:paraId="0E2D509E" w14:textId="77777777" w:rsidTr="001F6CAA">
              <w:trPr>
                <w:trHeight w:hRule="exact" w:val="1247"/>
                <w:jc w:val="center"/>
              </w:trPr>
              <w:tc>
                <w:tcPr>
                  <w:tcW w:w="365" w:type="dxa"/>
                  <w:tcBorders>
                    <w:top w:val="single" w:sz="4" w:space="0" w:color="FFFFFF"/>
                    <w:left w:val="single" w:sz="4" w:space="0" w:color="FFFFFF"/>
                    <w:right w:val="single" w:sz="4" w:space="0" w:color="FFFFFF"/>
                  </w:tcBorders>
                  <w:shd w:val="clear" w:color="auto" w:fill="A6A6A6"/>
                  <w:vAlign w:val="center"/>
                </w:tcPr>
                <w:p w14:paraId="1D4ADED9" w14:textId="77777777" w:rsidR="00600DEE" w:rsidRDefault="00600DEE">
                  <w:pPr>
                    <w:jc w:val="center"/>
                    <w:rPr>
                      <w:rFonts w:ascii="Calibri" w:eastAsia="Calibri" w:hAnsi="Calibri" w:cs="Calibri"/>
                      <w:color w:val="4F81BD"/>
                      <w:sz w:val="18"/>
                      <w:szCs w:val="18"/>
                    </w:rPr>
                  </w:pPr>
                </w:p>
              </w:tc>
              <w:tc>
                <w:tcPr>
                  <w:tcW w:w="2548" w:type="dxa"/>
                  <w:gridSpan w:val="2"/>
                  <w:tcBorders>
                    <w:top w:val="single" w:sz="4" w:space="0" w:color="FFFFFF"/>
                    <w:left w:val="single" w:sz="4" w:space="0" w:color="FFFFFF"/>
                    <w:right w:val="single" w:sz="4" w:space="0" w:color="FFFFFF"/>
                  </w:tcBorders>
                  <w:shd w:val="clear" w:color="auto" w:fill="A6A6A6"/>
                  <w:vAlign w:val="center"/>
                </w:tcPr>
                <w:p w14:paraId="5C53E87F" w14:textId="77777777" w:rsidR="00600DEE" w:rsidRDefault="00600DEE">
                  <w:pPr>
                    <w:jc w:val="center"/>
                    <w:rPr>
                      <w:rFonts w:ascii="Calibri" w:eastAsia="Calibri" w:hAnsi="Calibri" w:cs="Calibri"/>
                      <w:color w:val="4F81BD"/>
                      <w:sz w:val="18"/>
                      <w:szCs w:val="18"/>
                    </w:rPr>
                  </w:pPr>
                </w:p>
                <w:p w14:paraId="1A0B3CC9" w14:textId="77777777" w:rsidR="00600DEE" w:rsidRDefault="00600DEE">
                  <w:pPr>
                    <w:jc w:val="center"/>
                    <w:rPr>
                      <w:rFonts w:ascii="Calibri" w:eastAsia="Calibri" w:hAnsi="Calibri" w:cs="Calibri"/>
                      <w:color w:val="4F81BD"/>
                      <w:sz w:val="18"/>
                      <w:szCs w:val="18"/>
                    </w:rPr>
                  </w:pPr>
                </w:p>
                <w:p w14:paraId="3C27AD08" w14:textId="77777777" w:rsidR="00600DEE" w:rsidRDefault="00641FB5">
                  <w:pPr>
                    <w:jc w:val="center"/>
                    <w:rPr>
                      <w:rFonts w:ascii="Calibri" w:eastAsia="Calibri" w:hAnsi="Calibri" w:cs="Calibri"/>
                      <w:color w:val="4F81BD"/>
                      <w:sz w:val="18"/>
                      <w:szCs w:val="18"/>
                    </w:rPr>
                  </w:pPr>
                  <w:r>
                    <w:rPr>
                      <w:rFonts w:ascii="Calibri" w:eastAsia="Calibri" w:hAnsi="Calibri" w:cs="Calibri"/>
                      <w:b/>
                      <w:color w:val="FFFFFF"/>
                      <w:sz w:val="17"/>
                      <w:szCs w:val="17"/>
                    </w:rPr>
                    <w:t>Rodzaj inwestycji</w:t>
                  </w:r>
                </w:p>
                <w:p w14:paraId="5925E6B8" w14:textId="77777777" w:rsidR="00600DEE" w:rsidRDefault="00600DEE">
                  <w:pPr>
                    <w:jc w:val="center"/>
                    <w:rPr>
                      <w:rFonts w:ascii="Calibri" w:eastAsia="Calibri" w:hAnsi="Calibri" w:cs="Calibri"/>
                      <w:color w:val="4F81BD"/>
                      <w:sz w:val="18"/>
                      <w:szCs w:val="18"/>
                    </w:rPr>
                  </w:pPr>
                </w:p>
                <w:p w14:paraId="1E110061" w14:textId="77777777" w:rsidR="00600DEE" w:rsidRDefault="00600DEE">
                  <w:pPr>
                    <w:jc w:val="center"/>
                    <w:rPr>
                      <w:rFonts w:ascii="Calibri" w:eastAsia="Calibri" w:hAnsi="Calibri" w:cs="Calibri"/>
                      <w:color w:val="4F81BD"/>
                      <w:sz w:val="18"/>
                      <w:szCs w:val="18"/>
                    </w:rPr>
                  </w:pPr>
                </w:p>
              </w:tc>
              <w:tc>
                <w:tcPr>
                  <w:tcW w:w="2685" w:type="dxa"/>
                  <w:tcBorders>
                    <w:top w:val="single" w:sz="4" w:space="0" w:color="FFFFFF"/>
                    <w:left w:val="single" w:sz="4" w:space="0" w:color="FFFFFF"/>
                    <w:right w:val="single" w:sz="4" w:space="0" w:color="FFFFFF"/>
                  </w:tcBorders>
                  <w:shd w:val="clear" w:color="auto" w:fill="A6A6A6"/>
                  <w:vAlign w:val="center"/>
                </w:tcPr>
                <w:p w14:paraId="0D48536C" w14:textId="77777777" w:rsidR="00600DEE" w:rsidRDefault="00641FB5">
                  <w:pPr>
                    <w:jc w:val="center"/>
                    <w:rPr>
                      <w:rFonts w:ascii="Calibri" w:eastAsia="Calibri" w:hAnsi="Calibri" w:cs="Calibri"/>
                      <w:color w:val="4F81BD"/>
                      <w:sz w:val="18"/>
                      <w:szCs w:val="18"/>
                    </w:rPr>
                  </w:pPr>
                  <w:r>
                    <w:rPr>
                      <w:rFonts w:ascii="Calibri" w:eastAsia="Calibri" w:hAnsi="Calibri" w:cs="Calibri"/>
                      <w:b/>
                      <w:color w:val="FFFFFF"/>
                      <w:sz w:val="17"/>
                      <w:szCs w:val="17"/>
                    </w:rPr>
                    <w:t>Zakres obszarowy i metoda analizy ruchu</w:t>
                  </w:r>
                </w:p>
              </w:tc>
              <w:tc>
                <w:tcPr>
                  <w:tcW w:w="1421" w:type="dxa"/>
                  <w:tcBorders>
                    <w:top w:val="single" w:sz="4" w:space="0" w:color="FFFFFF"/>
                    <w:left w:val="single" w:sz="4" w:space="0" w:color="FFFFFF"/>
                    <w:right w:val="single" w:sz="4" w:space="0" w:color="FFFFFF"/>
                  </w:tcBorders>
                  <w:shd w:val="clear" w:color="auto" w:fill="A6A6A6"/>
                  <w:vAlign w:val="center"/>
                </w:tcPr>
                <w:p w14:paraId="2AB502F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Sposób</w:t>
                  </w:r>
                </w:p>
                <w:p w14:paraId="7D3FA86D" w14:textId="77777777" w:rsidR="00600DEE" w:rsidRDefault="00641FB5">
                  <w:pPr>
                    <w:jc w:val="center"/>
                    <w:rPr>
                      <w:rFonts w:ascii="Calibri" w:eastAsia="Calibri" w:hAnsi="Calibri" w:cs="Calibri"/>
                      <w:color w:val="4F81BD"/>
                      <w:sz w:val="18"/>
                      <w:szCs w:val="18"/>
                    </w:rPr>
                  </w:pPr>
                  <w:r>
                    <w:rPr>
                      <w:rFonts w:ascii="Calibri" w:eastAsia="Calibri" w:hAnsi="Calibri" w:cs="Calibri"/>
                      <w:b/>
                      <w:color w:val="FFFFFF"/>
                      <w:sz w:val="17"/>
                      <w:szCs w:val="17"/>
                    </w:rPr>
                    <w:t>obliczenia pracy przewozowej do AKK*</w:t>
                  </w:r>
                </w:p>
              </w:tc>
            </w:tr>
            <w:tr w:rsidR="00600DEE" w14:paraId="32B38965" w14:textId="77777777" w:rsidTr="00AA0139">
              <w:trPr>
                <w:trHeight w:hRule="exact" w:val="3686"/>
                <w:jc w:val="center"/>
              </w:trPr>
              <w:tc>
                <w:tcPr>
                  <w:tcW w:w="365" w:type="dxa"/>
                  <w:tcBorders>
                    <w:top w:val="single" w:sz="4" w:space="0" w:color="FFFFFF"/>
                    <w:left w:val="single" w:sz="4" w:space="0" w:color="FFFFFF"/>
                    <w:bottom w:val="single" w:sz="4" w:space="0" w:color="FFFFFF"/>
                    <w:right w:val="single" w:sz="4" w:space="0" w:color="FFFFFF"/>
                  </w:tcBorders>
                  <w:shd w:val="clear" w:color="auto" w:fill="DBE5F1"/>
                </w:tcPr>
                <w:p w14:paraId="7B7A69FA"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lastRenderedPageBreak/>
                    <w:t>2.</w:t>
                  </w:r>
                </w:p>
              </w:tc>
              <w:tc>
                <w:tcPr>
                  <w:tcW w:w="1429" w:type="dxa"/>
                  <w:vMerge w:val="restart"/>
                  <w:tcBorders>
                    <w:top w:val="single" w:sz="4" w:space="0" w:color="FFFFFF"/>
                    <w:left w:val="single" w:sz="4" w:space="0" w:color="FFFFFF"/>
                    <w:bottom w:val="single" w:sz="4" w:space="0" w:color="FFFFFF"/>
                    <w:right w:val="single" w:sz="4" w:space="0" w:color="FFFFFF"/>
                  </w:tcBorders>
                  <w:shd w:val="clear" w:color="auto" w:fill="DBE5F1"/>
                  <w:vAlign w:val="center"/>
                </w:tcPr>
                <w:p w14:paraId="22409EF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Przebudowa istniejącej drogi skutkująca większą przepustowością, np. przez poszerzenie (rozbudowa do drogi dwujezdniowej lub dodanie dodatkowych pasów ruchu).</w:t>
                  </w:r>
                </w:p>
              </w:tc>
              <w:tc>
                <w:tcPr>
                  <w:tcW w:w="1119" w:type="dxa"/>
                  <w:tcBorders>
                    <w:top w:val="single" w:sz="4" w:space="0" w:color="FFFFFF"/>
                    <w:left w:val="single" w:sz="4" w:space="0" w:color="FFFFFF"/>
                    <w:bottom w:val="single" w:sz="4" w:space="0" w:color="FFFFFF"/>
                    <w:right w:val="single" w:sz="4" w:space="0" w:color="FFFFFF"/>
                  </w:tcBorders>
                  <w:shd w:val="clear" w:color="auto" w:fill="DBE5F1"/>
                </w:tcPr>
                <w:p w14:paraId="241E7EF6"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Ograniczone oddziaływanie na pozostałą sieć drogową (np. z uwagi na krótki odcinek inwestycyjny, ograniczone wyłącznie do korytarza)</w:t>
                  </w:r>
                </w:p>
              </w:tc>
              <w:tc>
                <w:tcPr>
                  <w:tcW w:w="2685" w:type="dxa"/>
                  <w:tcBorders>
                    <w:top w:val="single" w:sz="4" w:space="0" w:color="FFFFFF"/>
                    <w:left w:val="single" w:sz="4" w:space="0" w:color="FFFFFF"/>
                    <w:bottom w:val="single" w:sz="4" w:space="0" w:color="FFFFFF"/>
                    <w:right w:val="single" w:sz="4" w:space="0" w:color="FFFFFF"/>
                  </w:tcBorders>
                  <w:shd w:val="clear" w:color="auto" w:fill="DBE5F1"/>
                </w:tcPr>
                <w:p w14:paraId="40F95D1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Nie ma potrzeby stosowania  sieciowego modelu ruchu</w:t>
                  </w:r>
                </w:p>
              </w:tc>
              <w:tc>
                <w:tcPr>
                  <w:tcW w:w="1421" w:type="dxa"/>
                  <w:tcBorders>
                    <w:top w:val="single" w:sz="4" w:space="0" w:color="FFFFFF"/>
                    <w:left w:val="single" w:sz="4" w:space="0" w:color="FFFFFF"/>
                    <w:bottom w:val="single" w:sz="4" w:space="0" w:color="FFFFFF"/>
                    <w:right w:val="single" w:sz="4" w:space="0" w:color="FFFFFF"/>
                  </w:tcBorders>
                  <w:shd w:val="clear" w:color="auto" w:fill="DBE5F1"/>
                </w:tcPr>
                <w:p w14:paraId="3974036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Odcinkowo</w:t>
                  </w:r>
                </w:p>
              </w:tc>
            </w:tr>
            <w:tr w:rsidR="00600DEE" w14:paraId="6B57237C" w14:textId="77777777">
              <w:trPr>
                <w:trHeight w:val="350"/>
                <w:jc w:val="center"/>
              </w:trPr>
              <w:tc>
                <w:tcPr>
                  <w:tcW w:w="365" w:type="dxa"/>
                  <w:tcBorders>
                    <w:top w:val="single" w:sz="4" w:space="0" w:color="FFFFFF"/>
                    <w:left w:val="single" w:sz="4" w:space="0" w:color="FFFFFF"/>
                    <w:bottom w:val="single" w:sz="4" w:space="0" w:color="FFFFFF"/>
                    <w:right w:val="single" w:sz="4" w:space="0" w:color="FFFFFF"/>
                  </w:tcBorders>
                  <w:shd w:val="clear" w:color="auto" w:fill="DBE5F1"/>
                </w:tcPr>
                <w:p w14:paraId="2CAAAEA6" w14:textId="77777777" w:rsidR="00600DEE" w:rsidRDefault="00600DEE">
                  <w:pPr>
                    <w:rPr>
                      <w:rFonts w:ascii="Calibri" w:eastAsia="Calibri" w:hAnsi="Calibri" w:cs="Calibri"/>
                      <w:color w:val="4F81BD"/>
                      <w:sz w:val="18"/>
                      <w:szCs w:val="18"/>
                    </w:rPr>
                  </w:pPr>
                </w:p>
              </w:tc>
              <w:tc>
                <w:tcPr>
                  <w:tcW w:w="1429" w:type="dxa"/>
                  <w:vMerge/>
                  <w:tcBorders>
                    <w:top w:val="single" w:sz="4" w:space="0" w:color="FFFFFF"/>
                    <w:left w:val="single" w:sz="4" w:space="0" w:color="FFFFFF"/>
                    <w:bottom w:val="single" w:sz="4" w:space="0" w:color="FFFFFF"/>
                    <w:right w:val="single" w:sz="4" w:space="0" w:color="FFFFFF"/>
                  </w:tcBorders>
                  <w:shd w:val="clear" w:color="auto" w:fill="DBE5F1"/>
                  <w:vAlign w:val="center"/>
                </w:tcPr>
                <w:p w14:paraId="2AFAF0AB"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1119" w:type="dxa"/>
                  <w:tcBorders>
                    <w:top w:val="single" w:sz="4" w:space="0" w:color="FFFFFF"/>
                    <w:left w:val="single" w:sz="4" w:space="0" w:color="FFFFFF"/>
                    <w:bottom w:val="single" w:sz="4" w:space="0" w:color="FFFFFF"/>
                    <w:right w:val="single" w:sz="4" w:space="0" w:color="FFFFFF"/>
                  </w:tcBorders>
                  <w:shd w:val="clear" w:color="auto" w:fill="DBE5F1"/>
                </w:tcPr>
                <w:p w14:paraId="77EFAC3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Znaczące oddziaływanie na pozostałą sieć drogową</w:t>
                  </w:r>
                </w:p>
              </w:tc>
              <w:tc>
                <w:tcPr>
                  <w:tcW w:w="2685" w:type="dxa"/>
                  <w:tcBorders>
                    <w:top w:val="single" w:sz="4" w:space="0" w:color="FFFFFF"/>
                    <w:left w:val="single" w:sz="4" w:space="0" w:color="FFFFFF"/>
                    <w:bottom w:val="single" w:sz="4" w:space="0" w:color="FFFFFF"/>
                    <w:right w:val="single" w:sz="4" w:space="0" w:color="FFFFFF"/>
                  </w:tcBorders>
                  <w:shd w:val="clear" w:color="auto" w:fill="DBE5F1"/>
                </w:tcPr>
                <w:p w14:paraId="40AE502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Model regionalny lub krajowy z uszczegółowieniem obszaru znaczącego odziaływania planowanej inwestycji</w:t>
                  </w:r>
                </w:p>
              </w:tc>
              <w:tc>
                <w:tcPr>
                  <w:tcW w:w="1421" w:type="dxa"/>
                  <w:tcBorders>
                    <w:top w:val="single" w:sz="4" w:space="0" w:color="FFFFFF"/>
                    <w:left w:val="single" w:sz="4" w:space="0" w:color="FFFFFF"/>
                    <w:bottom w:val="single" w:sz="4" w:space="0" w:color="FFFFFF"/>
                    <w:right w:val="single" w:sz="4" w:space="0" w:color="FFFFFF"/>
                  </w:tcBorders>
                  <w:shd w:val="clear" w:color="auto" w:fill="DBE5F1"/>
                </w:tcPr>
                <w:p w14:paraId="7A4605BD"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Sieciowo /Bufor** lub odcinkowo</w:t>
                  </w:r>
                </w:p>
              </w:tc>
            </w:tr>
            <w:tr w:rsidR="00600DEE" w14:paraId="1F2CE2B9" w14:textId="77777777" w:rsidTr="00AA0139">
              <w:trPr>
                <w:trHeight w:hRule="exact" w:val="2268"/>
                <w:jc w:val="center"/>
              </w:trPr>
              <w:tc>
                <w:tcPr>
                  <w:tcW w:w="365" w:type="dxa"/>
                  <w:tcBorders>
                    <w:top w:val="single" w:sz="4" w:space="0" w:color="FFFFFF"/>
                    <w:left w:val="single" w:sz="4" w:space="0" w:color="FFFFFF"/>
                    <w:right w:val="single" w:sz="4" w:space="0" w:color="FFFFFF"/>
                  </w:tcBorders>
                  <w:shd w:val="clear" w:color="auto" w:fill="DBE5F1"/>
                </w:tcPr>
                <w:p w14:paraId="08F947C2"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 xml:space="preserve">3. </w:t>
                  </w:r>
                </w:p>
                <w:p w14:paraId="5E428CC1"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 xml:space="preserve"> </w:t>
                  </w:r>
                </w:p>
              </w:tc>
              <w:tc>
                <w:tcPr>
                  <w:tcW w:w="142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A1EB98E"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Budowa nowej drogi o nowym przebiegu (w tym obwodnic miast).</w:t>
                  </w:r>
                </w:p>
              </w:tc>
              <w:tc>
                <w:tcPr>
                  <w:tcW w:w="1119" w:type="dxa"/>
                  <w:tcBorders>
                    <w:top w:val="single" w:sz="4" w:space="0" w:color="FFFFFF"/>
                    <w:left w:val="single" w:sz="4" w:space="0" w:color="FFFFFF"/>
                    <w:right w:val="single" w:sz="4" w:space="0" w:color="FFFFFF"/>
                  </w:tcBorders>
                  <w:shd w:val="clear" w:color="auto" w:fill="DBE5F1"/>
                </w:tcPr>
                <w:p w14:paraId="47C15693" w14:textId="77777777" w:rsidR="00600DEE" w:rsidRDefault="00600DEE">
                  <w:pPr>
                    <w:rPr>
                      <w:rFonts w:ascii="Calibri" w:eastAsia="Calibri" w:hAnsi="Calibri" w:cs="Calibri"/>
                      <w:color w:val="4F81BD"/>
                      <w:sz w:val="18"/>
                      <w:szCs w:val="18"/>
                    </w:rPr>
                  </w:pPr>
                </w:p>
                <w:p w14:paraId="5F232502" w14:textId="77777777" w:rsidR="00600DEE" w:rsidRDefault="00600DEE">
                  <w:pPr>
                    <w:rPr>
                      <w:rFonts w:ascii="Calibri" w:eastAsia="Calibri" w:hAnsi="Calibri" w:cs="Calibri"/>
                      <w:color w:val="4F81BD"/>
                      <w:sz w:val="18"/>
                      <w:szCs w:val="18"/>
                    </w:rPr>
                  </w:pPr>
                </w:p>
              </w:tc>
              <w:tc>
                <w:tcPr>
                  <w:tcW w:w="2685" w:type="dxa"/>
                  <w:tcBorders>
                    <w:top w:val="single" w:sz="4" w:space="0" w:color="FFFFFF"/>
                    <w:left w:val="single" w:sz="4" w:space="0" w:color="FFFFFF"/>
                    <w:right w:val="single" w:sz="4" w:space="0" w:color="FFFFFF"/>
                  </w:tcBorders>
                  <w:shd w:val="clear" w:color="auto" w:fill="DBE5F1"/>
                </w:tcPr>
                <w:p w14:paraId="624FB53C" w14:textId="77777777" w:rsidR="00600DEE" w:rsidRDefault="00600DEE">
                  <w:pPr>
                    <w:rPr>
                      <w:rFonts w:ascii="Calibri" w:eastAsia="Calibri" w:hAnsi="Calibri" w:cs="Calibri"/>
                      <w:color w:val="4F81BD"/>
                      <w:sz w:val="18"/>
                      <w:szCs w:val="18"/>
                    </w:rPr>
                  </w:pPr>
                </w:p>
                <w:p w14:paraId="26E8B423" w14:textId="77777777" w:rsidR="00600DEE" w:rsidRDefault="00600DEE">
                  <w:pPr>
                    <w:rPr>
                      <w:rFonts w:ascii="Calibri" w:eastAsia="Calibri" w:hAnsi="Calibri" w:cs="Calibri"/>
                      <w:color w:val="4F81BD"/>
                      <w:sz w:val="18"/>
                      <w:szCs w:val="18"/>
                    </w:rPr>
                  </w:pPr>
                </w:p>
                <w:p w14:paraId="4853676D"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Model regionalny lub krajowy z uszczegółowieniem obszaru znaczącego oddziaływania planowanej inwestycji***</w:t>
                  </w:r>
                </w:p>
                <w:p w14:paraId="42B389BA" w14:textId="77777777" w:rsidR="00600DEE" w:rsidRDefault="00600DEE">
                  <w:pPr>
                    <w:rPr>
                      <w:rFonts w:ascii="Calibri" w:eastAsia="Calibri" w:hAnsi="Calibri" w:cs="Calibri"/>
                      <w:color w:val="4F81BD"/>
                      <w:sz w:val="18"/>
                      <w:szCs w:val="18"/>
                    </w:rPr>
                  </w:pPr>
                </w:p>
              </w:tc>
              <w:tc>
                <w:tcPr>
                  <w:tcW w:w="1421" w:type="dxa"/>
                  <w:tcBorders>
                    <w:top w:val="single" w:sz="4" w:space="0" w:color="FFFFFF"/>
                    <w:left w:val="single" w:sz="4" w:space="0" w:color="FFFFFF"/>
                    <w:right w:val="single" w:sz="4" w:space="0" w:color="FFFFFF"/>
                  </w:tcBorders>
                  <w:shd w:val="clear" w:color="auto" w:fill="DBE5F1"/>
                </w:tcPr>
                <w:p w14:paraId="7CB78932" w14:textId="77777777" w:rsidR="00600DEE" w:rsidRDefault="00600DEE">
                  <w:pPr>
                    <w:rPr>
                      <w:rFonts w:ascii="Calibri" w:eastAsia="Calibri" w:hAnsi="Calibri" w:cs="Calibri"/>
                      <w:color w:val="4F81BD"/>
                      <w:sz w:val="18"/>
                      <w:szCs w:val="18"/>
                    </w:rPr>
                  </w:pPr>
                </w:p>
                <w:p w14:paraId="2817413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Sieciowo/ Bufor** lub odcinkowo</w:t>
                  </w:r>
                </w:p>
              </w:tc>
            </w:tr>
          </w:tbl>
          <w:p w14:paraId="18029898"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36A4BA57" w14:textId="77777777" w:rsidR="00600DEE" w:rsidRDefault="00600DEE">
            <w:pPr>
              <w:ind w:right="170"/>
              <w:jc w:val="both"/>
              <w:rPr>
                <w:rFonts w:ascii="Calibri" w:eastAsia="Calibri" w:hAnsi="Calibri" w:cs="Calibri"/>
                <w:sz w:val="16"/>
                <w:szCs w:val="16"/>
              </w:rPr>
            </w:pPr>
          </w:p>
          <w:p w14:paraId="688D5B24" w14:textId="77777777" w:rsidR="00600DEE" w:rsidRDefault="00641FB5">
            <w:pPr>
              <w:tabs>
                <w:tab w:val="left" w:pos="6946"/>
              </w:tabs>
              <w:jc w:val="both"/>
              <w:rPr>
                <w:rFonts w:ascii="Calibri" w:eastAsia="Calibri" w:hAnsi="Calibri" w:cs="Calibri"/>
                <w:sz w:val="16"/>
                <w:szCs w:val="16"/>
              </w:rPr>
            </w:pPr>
            <w:r>
              <w:rPr>
                <w:rFonts w:ascii="Calibri" w:eastAsia="Calibri" w:hAnsi="Calibri" w:cs="Calibri"/>
                <w:sz w:val="16"/>
                <w:szCs w:val="16"/>
              </w:rPr>
              <w:t>Odcinkowo: analiza ruchu i obliczenie pracy przewozowej (</w:t>
            </w:r>
            <w:proofErr w:type="spellStart"/>
            <w:r>
              <w:rPr>
                <w:rFonts w:ascii="Calibri" w:eastAsia="Calibri" w:hAnsi="Calibri" w:cs="Calibri"/>
                <w:sz w:val="16"/>
                <w:szCs w:val="16"/>
              </w:rPr>
              <w:t>poj</w:t>
            </w:r>
            <w:proofErr w:type="spellEnd"/>
            <w:r>
              <w:rPr>
                <w:rFonts w:ascii="Calibri" w:eastAsia="Calibri" w:hAnsi="Calibri" w:cs="Calibri"/>
                <w:sz w:val="16"/>
                <w:szCs w:val="16"/>
              </w:rPr>
              <w:t>-km i </w:t>
            </w:r>
            <w:proofErr w:type="spellStart"/>
            <w:r>
              <w:rPr>
                <w:rFonts w:ascii="Calibri" w:eastAsia="Calibri" w:hAnsi="Calibri" w:cs="Calibri"/>
                <w:sz w:val="16"/>
                <w:szCs w:val="16"/>
              </w:rPr>
              <w:t>poj-godz</w:t>
            </w:r>
            <w:proofErr w:type="spellEnd"/>
            <w:r>
              <w:rPr>
                <w:rFonts w:ascii="Calibri" w:eastAsia="Calibri" w:hAnsi="Calibri" w:cs="Calibri"/>
                <w:sz w:val="16"/>
                <w:szCs w:val="16"/>
              </w:rPr>
              <w:t xml:space="preserve">) oraz kosztów i korzyści do AKK dla indywidualnych jednorodnych odcinków o znanej długości. </w:t>
            </w:r>
          </w:p>
          <w:p w14:paraId="11EE757B"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Sieciowo/Bufor: wykorzystanie pracy przewozowej obliczonej dla określonego obszaru obejmującego odcinki o znaczącym oddziaływaniu do obliczenia kosztów i korzyści w ramach AKK.</w:t>
            </w:r>
          </w:p>
          <w:p w14:paraId="041DBDC3"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xml:space="preserve">Bufor, obszar oddziaływania projektu: wyodrębniany na potrzeby analiz finansowo-ekonomicznych, obszar obejmujący sieć dróg, na której różnica w natężeniach ruchu pomiędzy wariantem </w:t>
            </w:r>
            <w:proofErr w:type="spellStart"/>
            <w:r>
              <w:rPr>
                <w:rFonts w:ascii="Calibri" w:eastAsia="Calibri" w:hAnsi="Calibri" w:cs="Calibri"/>
                <w:sz w:val="16"/>
                <w:szCs w:val="16"/>
              </w:rPr>
              <w:t>Wn</w:t>
            </w:r>
            <w:proofErr w:type="spellEnd"/>
            <w:r>
              <w:rPr>
                <w:rFonts w:ascii="Calibri" w:eastAsia="Calibri" w:hAnsi="Calibri" w:cs="Calibri"/>
                <w:sz w:val="16"/>
                <w:szCs w:val="16"/>
              </w:rPr>
              <w:t xml:space="preserve"> i W0 dla danego odcinka jest znacząca (np. jest większa niż 10-15% w pierwszym roku prognozy). Należy zapewnić możliwość uzyskania wglądu w wartości pracy przewozowej dla każdego odcinka. </w:t>
            </w:r>
          </w:p>
          <w:p w14:paraId="04059FA9" w14:textId="77777777" w:rsidR="00600DEE" w:rsidRDefault="00600DEE">
            <w:pPr>
              <w:tabs>
                <w:tab w:val="left" w:pos="6946"/>
              </w:tabs>
              <w:ind w:right="170"/>
              <w:jc w:val="both"/>
              <w:rPr>
                <w:rFonts w:ascii="Calibri" w:eastAsia="Calibri" w:hAnsi="Calibri" w:cs="Calibri"/>
                <w:sz w:val="16"/>
                <w:szCs w:val="16"/>
              </w:rPr>
            </w:pPr>
          </w:p>
          <w:p w14:paraId="66CAC440"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xml:space="preserve">* w każdym przypadku należy upewnić się, że w danym roku liczba pojazdów (lub równoważnych dla liczby podróży transportu indywidualnego) w modelu w wariancie inwestycyjnym jest równa liczbie pojazdów (podróży) w wariancie bezinwestycyjnym (to znaczy, że nie ma ruchu wzbudzonego zgodnie z założeniami w modelu). </w:t>
            </w:r>
          </w:p>
          <w:p w14:paraId="0BD7AB63" w14:textId="77777777" w:rsidR="00600DEE" w:rsidRDefault="00600DEE">
            <w:pPr>
              <w:tabs>
                <w:tab w:val="left" w:pos="6946"/>
              </w:tabs>
              <w:ind w:right="170"/>
              <w:jc w:val="both"/>
              <w:rPr>
                <w:rFonts w:ascii="Calibri" w:eastAsia="Calibri" w:hAnsi="Calibri" w:cs="Calibri"/>
                <w:sz w:val="16"/>
                <w:szCs w:val="16"/>
              </w:rPr>
            </w:pPr>
          </w:p>
          <w:p w14:paraId="6BD6AA29" w14:textId="18896074"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xml:space="preserve">** Podejście sieciowe niesie ze sobą konieczność uśredniania niektórych kosztów jednostkowych (eksploatacji pojazdów, bezpieczeństwa ruchu drogowego, zanieczyszczenia środowiska, zmian klimatu) w obrębie danej grupy dróg wyróżnionych w zestawieniu pracy przewozowej pochodzącej z modelu, podczas gdy podejście odcinkowe nie jest obarczone takim uśrednieniem, a co więcej pozwala sprawniej przeprowadzić analizę </w:t>
            </w:r>
            <w:proofErr w:type="spellStart"/>
            <w:r>
              <w:rPr>
                <w:rFonts w:ascii="Calibri" w:eastAsia="Calibri" w:hAnsi="Calibri" w:cs="Calibri"/>
                <w:sz w:val="16"/>
                <w:szCs w:val="16"/>
              </w:rPr>
              <w:t>porealizacyjną</w:t>
            </w:r>
            <w:proofErr w:type="spellEnd"/>
            <w:r>
              <w:rPr>
                <w:rFonts w:ascii="Calibri" w:eastAsia="Calibri" w:hAnsi="Calibri" w:cs="Calibri"/>
                <w:sz w:val="16"/>
                <w:szCs w:val="16"/>
              </w:rPr>
              <w:t xml:space="preserve"> i porównanie rzeczywistych paramen</w:t>
            </w:r>
            <w:r w:rsidR="001B2F24">
              <w:rPr>
                <w:rFonts w:ascii="Calibri" w:eastAsia="Calibri" w:hAnsi="Calibri" w:cs="Calibri"/>
                <w:sz w:val="16"/>
                <w:szCs w:val="16"/>
              </w:rPr>
              <w:t>tów projektu z prognozowanymi. W</w:t>
            </w:r>
            <w:r>
              <w:rPr>
                <w:rFonts w:ascii="Calibri" w:eastAsia="Calibri" w:hAnsi="Calibri" w:cs="Calibri"/>
                <w:sz w:val="16"/>
                <w:szCs w:val="16"/>
              </w:rPr>
              <w:t> przypadku, gdy sieć wykorzystana w modelu obejmuje większy zakres niż sieć wykorzystana w obliczeniach prac przewozowych, należy także zapewnić możliwość uzyskania prac przewozowych dla całego modelu (w celach porównawczych).</w:t>
            </w:r>
          </w:p>
          <w:p w14:paraId="254AE5C0" w14:textId="77777777" w:rsidR="00600DEE" w:rsidRDefault="00600DEE">
            <w:pPr>
              <w:tabs>
                <w:tab w:val="left" w:pos="6946"/>
              </w:tabs>
              <w:ind w:right="170"/>
              <w:jc w:val="both"/>
              <w:rPr>
                <w:rFonts w:ascii="Calibri" w:eastAsia="Calibri" w:hAnsi="Calibri" w:cs="Calibri"/>
                <w:sz w:val="16"/>
                <w:szCs w:val="16"/>
              </w:rPr>
            </w:pPr>
          </w:p>
          <w:p w14:paraId="455CBE28"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xml:space="preserve">*** w przypadku sieciowego modelu ruchu, dla potrzeb analizy AKK, można wydzielić na sieci obszar oddziaływania projektu tzw. bufor. </w:t>
            </w:r>
          </w:p>
        </w:tc>
        <w:tc>
          <w:tcPr>
            <w:tcW w:w="7204" w:type="dxa"/>
            <w:tcBorders>
              <w:left w:val="single" w:sz="4" w:space="0" w:color="000000"/>
            </w:tcBorders>
            <w:tcMar>
              <w:left w:w="284" w:type="dxa"/>
              <w:right w:w="284" w:type="dxa"/>
            </w:tcMar>
          </w:tcPr>
          <w:p w14:paraId="11F7E258" w14:textId="77777777" w:rsidR="00600DEE" w:rsidRPr="0045151D" w:rsidRDefault="00641FB5" w:rsidP="001F6CAA">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From the CBA perspective, major road projects that should use individual approach to traffic forecasting and transport work calculation may be divided into the following types depending on the type of investment:</w:t>
            </w:r>
          </w:p>
          <w:p w14:paraId="7DB9B57B" w14:textId="529FB7A5" w:rsidR="008107FB" w:rsidRPr="0045151D" w:rsidRDefault="008107FB" w:rsidP="008107FB">
            <w:pPr>
              <w:keepNext/>
              <w:pBdr>
                <w:top w:val="nil"/>
                <w:left w:val="nil"/>
                <w:bottom w:val="nil"/>
                <w:right w:val="nil"/>
                <w:between w:val="nil"/>
              </w:pBdr>
              <w:tabs>
                <w:tab w:val="left" w:pos="720"/>
                <w:tab w:val="left" w:pos="710"/>
              </w:tabs>
              <w:ind w:left="710" w:right="26" w:hanging="710"/>
              <w:jc w:val="both"/>
              <w:rPr>
                <w:rFonts w:ascii="Calibri" w:eastAsia="Calibri" w:hAnsi="Calibri" w:cs="Calibri"/>
                <w:b/>
                <w:color w:val="4F81BD"/>
                <w:sz w:val="20"/>
                <w:szCs w:val="20"/>
                <w:lang w:val="en-GB"/>
              </w:rPr>
            </w:pPr>
          </w:p>
          <w:p w14:paraId="6DB30D54" w14:textId="04AC86EC" w:rsidR="00600DEE" w:rsidRPr="0045151D" w:rsidRDefault="00641FB5" w:rsidP="001F6CAA">
            <w:pPr>
              <w:keepNext/>
              <w:pBdr>
                <w:top w:val="nil"/>
                <w:left w:val="nil"/>
                <w:bottom w:val="nil"/>
                <w:right w:val="nil"/>
                <w:between w:val="nil"/>
              </w:pBdr>
              <w:tabs>
                <w:tab w:val="left" w:pos="720"/>
                <w:tab w:val="left" w:pos="710"/>
              </w:tabs>
              <w:spacing w:before="240" w:after="120"/>
              <w:ind w:right="26"/>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6. Recommended (by JASPERS) territorial scope of traffic analysis and transport work calculation for CBA</w:t>
            </w:r>
          </w:p>
          <w:tbl>
            <w:tblPr>
              <w:tblStyle w:val="afe"/>
              <w:tblW w:w="70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23"/>
              <w:gridCol w:w="1295"/>
              <w:gridCol w:w="1295"/>
              <w:gridCol w:w="2570"/>
              <w:gridCol w:w="1480"/>
            </w:tblGrid>
            <w:tr w:rsidR="00600DEE" w14:paraId="288A73FA" w14:textId="77777777" w:rsidTr="008107FB">
              <w:trPr>
                <w:trHeight w:hRule="exact" w:val="1134"/>
              </w:trPr>
              <w:tc>
                <w:tcPr>
                  <w:tcW w:w="423" w:type="dxa"/>
                  <w:tcBorders>
                    <w:top w:val="single" w:sz="4" w:space="0" w:color="FFFFFF"/>
                    <w:left w:val="single" w:sz="4" w:space="0" w:color="FFFFFF"/>
                    <w:bottom w:val="single" w:sz="4" w:space="0" w:color="FFFFFF"/>
                    <w:right w:val="single" w:sz="4" w:space="0" w:color="FFFFFF"/>
                  </w:tcBorders>
                  <w:shd w:val="clear" w:color="auto" w:fill="A6A6A6"/>
                </w:tcPr>
                <w:p w14:paraId="091334AC" w14:textId="77777777" w:rsidR="00600DEE" w:rsidRPr="0045151D" w:rsidRDefault="00600DEE">
                  <w:pPr>
                    <w:spacing w:before="60" w:after="60" w:line="264" w:lineRule="auto"/>
                    <w:jc w:val="center"/>
                    <w:rPr>
                      <w:rFonts w:ascii="Calibri" w:eastAsia="Calibri" w:hAnsi="Calibri" w:cs="Calibri"/>
                      <w:b/>
                      <w:color w:val="FFFFFF"/>
                      <w:sz w:val="17"/>
                      <w:szCs w:val="17"/>
                      <w:lang w:val="en-GB"/>
                    </w:rPr>
                  </w:pPr>
                </w:p>
              </w:tc>
              <w:tc>
                <w:tcPr>
                  <w:tcW w:w="2590"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0D8665A" w14:textId="77777777" w:rsidR="00600DEE" w:rsidRPr="0045151D" w:rsidRDefault="00600DEE">
                  <w:pPr>
                    <w:spacing w:before="60" w:after="60" w:line="264" w:lineRule="auto"/>
                    <w:jc w:val="center"/>
                    <w:rPr>
                      <w:rFonts w:ascii="Calibri" w:eastAsia="Calibri" w:hAnsi="Calibri" w:cs="Calibri"/>
                      <w:b/>
                      <w:color w:val="FFFFFF"/>
                      <w:sz w:val="17"/>
                      <w:szCs w:val="17"/>
                      <w:lang w:val="en-GB"/>
                    </w:rPr>
                  </w:pPr>
                </w:p>
                <w:p w14:paraId="48DB698E" w14:textId="77777777" w:rsidR="00600DEE" w:rsidRDefault="00641FB5">
                  <w:pPr>
                    <w:spacing w:before="60" w:after="60" w:line="264" w:lineRule="auto"/>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Type</w:t>
                  </w:r>
                  <w:proofErr w:type="spellEnd"/>
                  <w:r>
                    <w:rPr>
                      <w:rFonts w:ascii="Calibri" w:eastAsia="Calibri" w:hAnsi="Calibri" w:cs="Calibri"/>
                      <w:b/>
                      <w:color w:val="FFFFFF"/>
                      <w:sz w:val="17"/>
                      <w:szCs w:val="17"/>
                    </w:rPr>
                    <w:t xml:space="preserve"> of investment</w:t>
                  </w:r>
                </w:p>
                <w:p w14:paraId="246D44C7" w14:textId="77777777" w:rsidR="00600DEE" w:rsidRDefault="00600DEE">
                  <w:pPr>
                    <w:spacing w:before="120" w:after="120"/>
                    <w:jc w:val="center"/>
                    <w:rPr>
                      <w:rFonts w:ascii="Calibri" w:eastAsia="Calibri" w:hAnsi="Calibri" w:cs="Calibri"/>
                      <w:b/>
                      <w:color w:val="FFFFFF"/>
                      <w:sz w:val="17"/>
                      <w:szCs w:val="17"/>
                    </w:rPr>
                  </w:pPr>
                </w:p>
              </w:tc>
              <w:tc>
                <w:tcPr>
                  <w:tcW w:w="2570" w:type="dxa"/>
                  <w:tcBorders>
                    <w:top w:val="single" w:sz="4" w:space="0" w:color="FFFFFF"/>
                    <w:left w:val="single" w:sz="4" w:space="0" w:color="FFFFFF"/>
                    <w:right w:val="single" w:sz="4" w:space="0" w:color="FFFFFF"/>
                  </w:tcBorders>
                  <w:shd w:val="clear" w:color="auto" w:fill="A6A6A6"/>
                  <w:vAlign w:val="center"/>
                </w:tcPr>
                <w:p w14:paraId="0EF4581E" w14:textId="77777777" w:rsidR="00600DEE" w:rsidRPr="0045151D" w:rsidRDefault="00641FB5">
                  <w:pPr>
                    <w:spacing w:before="60" w:after="60" w:line="264" w:lineRule="auto"/>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Traffic analysis method and territorial scope</w:t>
                  </w:r>
                </w:p>
              </w:tc>
              <w:tc>
                <w:tcPr>
                  <w:tcW w:w="14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EE537DC"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Calculation approach</w:t>
                  </w:r>
                </w:p>
                <w:p w14:paraId="4A9CDF45"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to transport work for</w:t>
                  </w:r>
                </w:p>
                <w:p w14:paraId="7F2E2691" w14:textId="77777777" w:rsidR="00600DEE" w:rsidRDefault="00641FB5">
                  <w:pPr>
                    <w:spacing w:before="60" w:after="60" w:line="264" w:lineRule="auto"/>
                    <w:jc w:val="center"/>
                    <w:rPr>
                      <w:rFonts w:ascii="Calibri" w:eastAsia="Calibri" w:hAnsi="Calibri" w:cs="Calibri"/>
                      <w:b/>
                      <w:color w:val="FFFFFF"/>
                      <w:sz w:val="16"/>
                      <w:szCs w:val="16"/>
                    </w:rPr>
                  </w:pPr>
                  <w:r>
                    <w:rPr>
                      <w:rFonts w:ascii="Calibri" w:eastAsia="Calibri" w:hAnsi="Calibri" w:cs="Calibri"/>
                      <w:b/>
                      <w:color w:val="FFFFFF"/>
                      <w:sz w:val="16"/>
                      <w:szCs w:val="16"/>
                    </w:rPr>
                    <w:t xml:space="preserve">CBA </w:t>
                  </w:r>
                  <w:proofErr w:type="spellStart"/>
                  <w:r>
                    <w:rPr>
                      <w:rFonts w:ascii="Calibri" w:eastAsia="Calibri" w:hAnsi="Calibri" w:cs="Calibri"/>
                      <w:b/>
                      <w:color w:val="FFFFFF"/>
                      <w:sz w:val="16"/>
                      <w:szCs w:val="16"/>
                    </w:rPr>
                    <w:t>purposes</w:t>
                  </w:r>
                  <w:proofErr w:type="spellEnd"/>
                  <w:r>
                    <w:rPr>
                      <w:rFonts w:ascii="Calibri" w:eastAsia="Calibri" w:hAnsi="Calibri" w:cs="Calibri"/>
                      <w:b/>
                      <w:color w:val="FFFFFF"/>
                      <w:sz w:val="16"/>
                      <w:szCs w:val="16"/>
                    </w:rPr>
                    <w:t xml:space="preserve"> *)</w:t>
                  </w:r>
                </w:p>
              </w:tc>
            </w:tr>
            <w:tr w:rsidR="00600DEE" w14:paraId="18F56152" w14:textId="77777777" w:rsidTr="001F6CAA">
              <w:trPr>
                <w:trHeight w:hRule="exact" w:val="1418"/>
              </w:trPr>
              <w:tc>
                <w:tcPr>
                  <w:tcW w:w="423" w:type="dxa"/>
                  <w:tcBorders>
                    <w:top w:val="single" w:sz="4" w:space="0" w:color="FFFFFF"/>
                    <w:left w:val="single" w:sz="4" w:space="0" w:color="FFFFFF"/>
                    <w:bottom w:val="single" w:sz="4" w:space="0" w:color="FFFFFF"/>
                    <w:right w:val="single" w:sz="4" w:space="0" w:color="FFFFFF"/>
                  </w:tcBorders>
                  <w:shd w:val="clear" w:color="auto" w:fill="DBE5F1"/>
                </w:tcPr>
                <w:p w14:paraId="628FF57E"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1.</w:t>
                  </w:r>
                </w:p>
              </w:tc>
              <w:tc>
                <w:tcPr>
                  <w:tcW w:w="2590" w:type="dxa"/>
                  <w:gridSpan w:val="2"/>
                  <w:tcBorders>
                    <w:top w:val="single" w:sz="4" w:space="0" w:color="FFFFFF"/>
                    <w:left w:val="single" w:sz="4" w:space="0" w:color="FFFFFF"/>
                    <w:bottom w:val="single" w:sz="4" w:space="0" w:color="FFFFFF"/>
                    <w:right w:val="single" w:sz="4" w:space="0" w:color="FFFFFF"/>
                  </w:tcBorders>
                  <w:shd w:val="clear" w:color="auto" w:fill="DBE5F1"/>
                </w:tcPr>
                <w:p w14:paraId="47C9BB0A"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Single location or linear investment to improve quality and safety conditions without increasing capacity.</w:t>
                  </w:r>
                </w:p>
                <w:p w14:paraId="61D5DD70" w14:textId="77777777" w:rsidR="00600DEE" w:rsidRPr="0045151D" w:rsidRDefault="00600DEE">
                  <w:pPr>
                    <w:spacing w:before="120" w:after="120"/>
                    <w:rPr>
                      <w:rFonts w:ascii="Calibri" w:eastAsia="Calibri" w:hAnsi="Calibri" w:cs="Calibri"/>
                      <w:color w:val="4F81BD"/>
                      <w:sz w:val="18"/>
                      <w:szCs w:val="18"/>
                      <w:lang w:val="en-GB"/>
                    </w:rPr>
                  </w:pPr>
                </w:p>
              </w:tc>
              <w:tc>
                <w:tcPr>
                  <w:tcW w:w="2570" w:type="dxa"/>
                  <w:tcBorders>
                    <w:top w:val="single" w:sz="4" w:space="0" w:color="FFFFFF"/>
                    <w:left w:val="single" w:sz="4" w:space="0" w:color="FFFFFF"/>
                    <w:bottom w:val="single" w:sz="4" w:space="0" w:color="FFFFFF"/>
                    <w:right w:val="single" w:sz="4" w:space="0" w:color="FFFFFF"/>
                  </w:tcBorders>
                  <w:shd w:val="clear" w:color="auto" w:fill="DBE5F1"/>
                </w:tcPr>
                <w:p w14:paraId="649CFE68"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There is no need to develop/use a network traffic model if no capacity constraints exist</w:t>
                  </w:r>
                </w:p>
              </w:tc>
              <w:tc>
                <w:tcPr>
                  <w:tcW w:w="1480" w:type="dxa"/>
                  <w:tcBorders>
                    <w:top w:val="single" w:sz="4" w:space="0" w:color="FFFFFF"/>
                    <w:left w:val="single" w:sz="4" w:space="0" w:color="FFFFFF"/>
                    <w:bottom w:val="single" w:sz="4" w:space="0" w:color="FFFFFF"/>
                    <w:right w:val="single" w:sz="4" w:space="0" w:color="FFFFFF"/>
                  </w:tcBorders>
                  <w:shd w:val="clear" w:color="auto" w:fill="DBE5F1"/>
                </w:tcPr>
                <w:p w14:paraId="75D8CB1F"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 xml:space="preserve">By </w:t>
                  </w:r>
                  <w:proofErr w:type="spellStart"/>
                  <w:r>
                    <w:rPr>
                      <w:rFonts w:ascii="Calibri" w:eastAsia="Calibri" w:hAnsi="Calibri" w:cs="Calibri"/>
                      <w:color w:val="4F81BD"/>
                      <w:sz w:val="18"/>
                      <w:szCs w:val="18"/>
                    </w:rPr>
                    <w:t>section</w:t>
                  </w:r>
                  <w:proofErr w:type="spellEnd"/>
                </w:p>
              </w:tc>
            </w:tr>
            <w:tr w:rsidR="00600DEE" w14:paraId="53019745" w14:textId="77777777" w:rsidTr="001F6CAA">
              <w:trPr>
                <w:trHeight w:hRule="exact" w:val="1247"/>
              </w:trPr>
              <w:tc>
                <w:tcPr>
                  <w:tcW w:w="423" w:type="dxa"/>
                  <w:tcBorders>
                    <w:top w:val="single" w:sz="4" w:space="0" w:color="FFFFFF"/>
                    <w:left w:val="single" w:sz="4" w:space="0" w:color="FFFFFF"/>
                    <w:right w:val="single" w:sz="4" w:space="0" w:color="FFFFFF"/>
                  </w:tcBorders>
                  <w:shd w:val="clear" w:color="auto" w:fill="A6A6A6"/>
                  <w:vAlign w:val="center"/>
                </w:tcPr>
                <w:p w14:paraId="18A34069" w14:textId="77777777" w:rsidR="00600DEE" w:rsidRDefault="00600DEE">
                  <w:pPr>
                    <w:spacing w:before="120" w:after="120"/>
                    <w:jc w:val="center"/>
                    <w:rPr>
                      <w:rFonts w:ascii="Calibri" w:eastAsia="Calibri" w:hAnsi="Calibri" w:cs="Calibri"/>
                      <w:color w:val="4F81BD"/>
                      <w:sz w:val="18"/>
                      <w:szCs w:val="18"/>
                    </w:rPr>
                  </w:pPr>
                </w:p>
                <w:p w14:paraId="49EAC9C5" w14:textId="77777777" w:rsidR="00600DEE" w:rsidRDefault="00600DEE">
                  <w:pPr>
                    <w:spacing w:before="120" w:after="120"/>
                    <w:jc w:val="center"/>
                    <w:rPr>
                      <w:rFonts w:ascii="Calibri" w:eastAsia="Calibri" w:hAnsi="Calibri" w:cs="Calibri"/>
                      <w:color w:val="4F81BD"/>
                      <w:sz w:val="18"/>
                      <w:szCs w:val="18"/>
                    </w:rPr>
                  </w:pPr>
                </w:p>
                <w:p w14:paraId="4F4B6B4C" w14:textId="77777777" w:rsidR="00600DEE" w:rsidRDefault="00600DEE">
                  <w:pPr>
                    <w:spacing w:before="120" w:after="120"/>
                    <w:jc w:val="center"/>
                    <w:rPr>
                      <w:rFonts w:ascii="Calibri" w:eastAsia="Calibri" w:hAnsi="Calibri" w:cs="Calibri"/>
                      <w:color w:val="4F81BD"/>
                      <w:sz w:val="18"/>
                      <w:szCs w:val="18"/>
                    </w:rPr>
                  </w:pPr>
                </w:p>
              </w:tc>
              <w:tc>
                <w:tcPr>
                  <w:tcW w:w="2590" w:type="dxa"/>
                  <w:gridSpan w:val="2"/>
                  <w:tcBorders>
                    <w:top w:val="single" w:sz="4" w:space="0" w:color="FFFFFF"/>
                    <w:left w:val="single" w:sz="4" w:space="0" w:color="FFFFFF"/>
                    <w:right w:val="single" w:sz="4" w:space="0" w:color="FFFFFF"/>
                  </w:tcBorders>
                  <w:shd w:val="clear" w:color="auto" w:fill="A6A6A6"/>
                  <w:vAlign w:val="center"/>
                </w:tcPr>
                <w:p w14:paraId="1B602F8F" w14:textId="77777777" w:rsidR="00600DEE" w:rsidRDefault="00600DEE">
                  <w:pPr>
                    <w:spacing w:before="60" w:after="60" w:line="264" w:lineRule="auto"/>
                    <w:jc w:val="center"/>
                    <w:rPr>
                      <w:rFonts w:ascii="Calibri" w:eastAsia="Calibri" w:hAnsi="Calibri" w:cs="Calibri"/>
                      <w:b/>
                      <w:color w:val="FFFFFF"/>
                      <w:sz w:val="17"/>
                      <w:szCs w:val="17"/>
                    </w:rPr>
                  </w:pPr>
                </w:p>
                <w:p w14:paraId="540D3878" w14:textId="77777777" w:rsidR="00600DEE" w:rsidRDefault="00641FB5">
                  <w:pPr>
                    <w:spacing w:before="60" w:after="60" w:line="264" w:lineRule="auto"/>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Type</w:t>
                  </w:r>
                  <w:proofErr w:type="spellEnd"/>
                  <w:r>
                    <w:rPr>
                      <w:rFonts w:ascii="Calibri" w:eastAsia="Calibri" w:hAnsi="Calibri" w:cs="Calibri"/>
                      <w:b/>
                      <w:color w:val="FFFFFF"/>
                      <w:sz w:val="17"/>
                      <w:szCs w:val="17"/>
                    </w:rPr>
                    <w:t xml:space="preserve"> of investment</w:t>
                  </w:r>
                </w:p>
                <w:p w14:paraId="1A3C444A" w14:textId="77777777" w:rsidR="00600DEE" w:rsidRDefault="00600DEE">
                  <w:pPr>
                    <w:spacing w:before="120" w:after="120"/>
                    <w:jc w:val="center"/>
                    <w:rPr>
                      <w:rFonts w:ascii="Calibri" w:eastAsia="Calibri" w:hAnsi="Calibri" w:cs="Calibri"/>
                      <w:color w:val="4F81BD"/>
                      <w:sz w:val="18"/>
                      <w:szCs w:val="18"/>
                    </w:rPr>
                  </w:pPr>
                </w:p>
              </w:tc>
              <w:tc>
                <w:tcPr>
                  <w:tcW w:w="2570" w:type="dxa"/>
                  <w:tcBorders>
                    <w:top w:val="single" w:sz="4" w:space="0" w:color="FFFFFF"/>
                    <w:left w:val="single" w:sz="4" w:space="0" w:color="FFFFFF"/>
                    <w:right w:val="single" w:sz="4" w:space="0" w:color="FFFFFF"/>
                  </w:tcBorders>
                  <w:shd w:val="clear" w:color="auto" w:fill="A6A6A6"/>
                  <w:vAlign w:val="center"/>
                </w:tcPr>
                <w:p w14:paraId="1514858E" w14:textId="77777777" w:rsidR="00600DEE" w:rsidRPr="0045151D" w:rsidRDefault="00641FB5">
                  <w:pPr>
                    <w:spacing w:before="120" w:after="120"/>
                    <w:jc w:val="center"/>
                    <w:rPr>
                      <w:rFonts w:ascii="Calibri" w:eastAsia="Calibri" w:hAnsi="Calibri" w:cs="Calibri"/>
                      <w:color w:val="4F81BD"/>
                      <w:sz w:val="18"/>
                      <w:szCs w:val="18"/>
                      <w:lang w:val="en-GB"/>
                    </w:rPr>
                  </w:pPr>
                  <w:r w:rsidRPr="0045151D">
                    <w:rPr>
                      <w:rFonts w:ascii="Calibri" w:eastAsia="Calibri" w:hAnsi="Calibri" w:cs="Calibri"/>
                      <w:b/>
                      <w:color w:val="FFFFFF"/>
                      <w:sz w:val="17"/>
                      <w:szCs w:val="17"/>
                      <w:lang w:val="en-GB"/>
                    </w:rPr>
                    <w:t>Traffic analysis method and territorial scope</w:t>
                  </w:r>
                </w:p>
                <w:p w14:paraId="4F5454AE" w14:textId="77777777" w:rsidR="00600DEE" w:rsidRPr="0045151D" w:rsidRDefault="00641FB5">
                  <w:pPr>
                    <w:spacing w:before="60" w:after="60" w:line="264" w:lineRule="auto"/>
                    <w:jc w:val="center"/>
                    <w:rPr>
                      <w:rFonts w:ascii="Calibri" w:eastAsia="Calibri" w:hAnsi="Calibri" w:cs="Calibri"/>
                      <w:color w:val="4F81BD"/>
                      <w:sz w:val="18"/>
                      <w:szCs w:val="18"/>
                      <w:lang w:val="en-GB"/>
                    </w:rPr>
                  </w:pPr>
                  <w:r w:rsidRPr="0045151D">
                    <w:rPr>
                      <w:rFonts w:ascii="Calibri" w:eastAsia="Calibri" w:hAnsi="Calibri" w:cs="Calibri"/>
                      <w:b/>
                      <w:color w:val="FFFFFF"/>
                      <w:sz w:val="17"/>
                      <w:szCs w:val="17"/>
                      <w:lang w:val="en-GB"/>
                    </w:rPr>
                    <w:t xml:space="preserve"> </w:t>
                  </w:r>
                </w:p>
              </w:tc>
              <w:tc>
                <w:tcPr>
                  <w:tcW w:w="1480" w:type="dxa"/>
                  <w:tcBorders>
                    <w:top w:val="single" w:sz="4" w:space="0" w:color="FFFFFF"/>
                    <w:left w:val="single" w:sz="4" w:space="0" w:color="FFFFFF"/>
                    <w:right w:val="single" w:sz="4" w:space="0" w:color="FFFFFF"/>
                  </w:tcBorders>
                  <w:shd w:val="clear" w:color="auto" w:fill="A6A6A6"/>
                  <w:vAlign w:val="center"/>
                </w:tcPr>
                <w:p w14:paraId="7141649C"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Calculation approach</w:t>
                  </w:r>
                </w:p>
                <w:p w14:paraId="74BDA6DC"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of Traffic flows for</w:t>
                  </w:r>
                </w:p>
                <w:p w14:paraId="2AB73F3B" w14:textId="77777777" w:rsidR="00600DEE" w:rsidRDefault="00641FB5">
                  <w:pPr>
                    <w:spacing w:before="120" w:after="120"/>
                    <w:jc w:val="center"/>
                    <w:rPr>
                      <w:rFonts w:ascii="Calibri" w:eastAsia="Calibri" w:hAnsi="Calibri" w:cs="Calibri"/>
                      <w:color w:val="4F81BD"/>
                      <w:sz w:val="18"/>
                      <w:szCs w:val="18"/>
                    </w:rPr>
                  </w:pPr>
                  <w:r>
                    <w:rPr>
                      <w:rFonts w:ascii="Calibri" w:eastAsia="Calibri" w:hAnsi="Calibri" w:cs="Calibri"/>
                      <w:b/>
                      <w:color w:val="FFFFFF"/>
                      <w:sz w:val="16"/>
                      <w:szCs w:val="16"/>
                    </w:rPr>
                    <w:t xml:space="preserve">CBA </w:t>
                  </w:r>
                  <w:proofErr w:type="spellStart"/>
                  <w:r>
                    <w:rPr>
                      <w:rFonts w:ascii="Calibri" w:eastAsia="Calibri" w:hAnsi="Calibri" w:cs="Calibri"/>
                      <w:b/>
                      <w:color w:val="FFFFFF"/>
                      <w:sz w:val="16"/>
                      <w:szCs w:val="16"/>
                    </w:rPr>
                    <w:t>purposes</w:t>
                  </w:r>
                  <w:proofErr w:type="spellEnd"/>
                  <w:r>
                    <w:rPr>
                      <w:rFonts w:ascii="Calibri" w:eastAsia="Calibri" w:hAnsi="Calibri" w:cs="Calibri"/>
                      <w:b/>
                      <w:color w:val="FFFFFF"/>
                      <w:sz w:val="16"/>
                      <w:szCs w:val="16"/>
                    </w:rPr>
                    <w:t>*</w:t>
                  </w:r>
                </w:p>
              </w:tc>
            </w:tr>
            <w:tr w:rsidR="00600DEE" w14:paraId="1E5BB977" w14:textId="77777777" w:rsidTr="00AA0139">
              <w:trPr>
                <w:trHeight w:hRule="exact" w:val="3686"/>
              </w:trPr>
              <w:tc>
                <w:tcPr>
                  <w:tcW w:w="423" w:type="dxa"/>
                  <w:tcBorders>
                    <w:top w:val="single" w:sz="4" w:space="0" w:color="FFFFFF"/>
                    <w:left w:val="single" w:sz="4" w:space="0" w:color="FFFFFF"/>
                    <w:bottom w:val="single" w:sz="4" w:space="0" w:color="FFFFFF"/>
                    <w:right w:val="single" w:sz="4" w:space="0" w:color="FFFFFF"/>
                  </w:tcBorders>
                  <w:shd w:val="clear" w:color="auto" w:fill="DBE5F1"/>
                </w:tcPr>
                <w:p w14:paraId="7F150DED"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lastRenderedPageBreak/>
                    <w:t xml:space="preserve">2. </w:t>
                  </w:r>
                </w:p>
              </w:tc>
              <w:tc>
                <w:tcPr>
                  <w:tcW w:w="1295" w:type="dxa"/>
                  <w:vMerge w:val="restart"/>
                  <w:tcBorders>
                    <w:top w:val="single" w:sz="4" w:space="0" w:color="FFFFFF"/>
                    <w:left w:val="single" w:sz="4" w:space="0" w:color="FFFFFF"/>
                    <w:bottom w:val="single" w:sz="4" w:space="0" w:color="FFFFFF"/>
                    <w:right w:val="single" w:sz="4" w:space="0" w:color="FFFFFF"/>
                  </w:tcBorders>
                  <w:shd w:val="clear" w:color="auto" w:fill="DBE5F1"/>
                  <w:vAlign w:val="center"/>
                </w:tcPr>
                <w:p w14:paraId="65C43176" w14:textId="79C9CC99"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Upgrading</w:t>
                  </w:r>
                  <w:r w:rsidR="001B2F24">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lang w:val="en-GB"/>
                    </w:rPr>
                    <w:t>an existing road to provide higher capacity/standard e.g. widening (expansion to a double-carriageway road or addition of traffic lanes).</w:t>
                  </w:r>
                </w:p>
              </w:tc>
              <w:tc>
                <w:tcPr>
                  <w:tcW w:w="1295" w:type="dxa"/>
                  <w:tcBorders>
                    <w:top w:val="single" w:sz="4" w:space="0" w:color="FFFFFF"/>
                    <w:left w:val="single" w:sz="4" w:space="0" w:color="FFFFFF"/>
                    <w:bottom w:val="single" w:sz="4" w:space="0" w:color="FFFFFF"/>
                    <w:right w:val="single" w:sz="4" w:space="0" w:color="FFFFFF"/>
                  </w:tcBorders>
                  <w:shd w:val="clear" w:color="auto" w:fill="DBE5F1"/>
                </w:tcPr>
                <w:p w14:paraId="32AA5927"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Limited  impact  on the rest of the road network (for example, due to the short length of the investment, limited only to the corridor)</w:t>
                  </w:r>
                </w:p>
              </w:tc>
              <w:tc>
                <w:tcPr>
                  <w:tcW w:w="2570" w:type="dxa"/>
                  <w:tcBorders>
                    <w:top w:val="single" w:sz="4" w:space="0" w:color="FFFFFF"/>
                    <w:left w:val="single" w:sz="4" w:space="0" w:color="FFFFFF"/>
                    <w:bottom w:val="single" w:sz="4" w:space="0" w:color="FFFFFF"/>
                    <w:right w:val="single" w:sz="4" w:space="0" w:color="FFFFFF"/>
                  </w:tcBorders>
                  <w:shd w:val="clear" w:color="auto" w:fill="DBE5F1"/>
                </w:tcPr>
                <w:p w14:paraId="4C2B0C7A"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There is no need to develop/use a network traffic model</w:t>
                  </w:r>
                </w:p>
              </w:tc>
              <w:tc>
                <w:tcPr>
                  <w:tcW w:w="148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A8A7FF6"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 xml:space="preserve">By </w:t>
                  </w:r>
                  <w:proofErr w:type="spellStart"/>
                  <w:r>
                    <w:rPr>
                      <w:rFonts w:ascii="Calibri" w:eastAsia="Calibri" w:hAnsi="Calibri" w:cs="Calibri"/>
                      <w:color w:val="4F81BD"/>
                      <w:sz w:val="18"/>
                      <w:szCs w:val="18"/>
                    </w:rPr>
                    <w:t>section</w:t>
                  </w:r>
                  <w:proofErr w:type="spellEnd"/>
                </w:p>
              </w:tc>
            </w:tr>
            <w:tr w:rsidR="00600DEE" w:rsidRPr="007463B9" w14:paraId="258D3F5C" w14:textId="77777777" w:rsidTr="00AA0139">
              <w:trPr>
                <w:trHeight w:val="1343"/>
              </w:trPr>
              <w:tc>
                <w:tcPr>
                  <w:tcW w:w="423" w:type="dxa"/>
                  <w:tcBorders>
                    <w:top w:val="single" w:sz="4" w:space="0" w:color="FFFFFF"/>
                    <w:left w:val="single" w:sz="4" w:space="0" w:color="FFFFFF"/>
                    <w:bottom w:val="single" w:sz="4" w:space="0" w:color="FFFFFF"/>
                    <w:right w:val="single" w:sz="4" w:space="0" w:color="FFFFFF"/>
                  </w:tcBorders>
                  <w:shd w:val="clear" w:color="auto" w:fill="DBE5F1"/>
                </w:tcPr>
                <w:p w14:paraId="3FE6CD71" w14:textId="77777777" w:rsidR="00600DEE" w:rsidRDefault="00600DEE">
                  <w:pPr>
                    <w:spacing w:before="120" w:after="120"/>
                    <w:jc w:val="center"/>
                    <w:rPr>
                      <w:rFonts w:ascii="Calibri" w:eastAsia="Calibri" w:hAnsi="Calibri" w:cs="Calibri"/>
                      <w:color w:val="4F81BD"/>
                      <w:sz w:val="18"/>
                      <w:szCs w:val="18"/>
                    </w:rPr>
                  </w:pPr>
                </w:p>
              </w:tc>
              <w:tc>
                <w:tcPr>
                  <w:tcW w:w="1295" w:type="dxa"/>
                  <w:vMerge/>
                  <w:tcBorders>
                    <w:top w:val="single" w:sz="4" w:space="0" w:color="FFFFFF"/>
                    <w:left w:val="single" w:sz="4" w:space="0" w:color="FFFFFF"/>
                    <w:bottom w:val="single" w:sz="4" w:space="0" w:color="FFFFFF"/>
                    <w:right w:val="single" w:sz="4" w:space="0" w:color="FFFFFF"/>
                  </w:tcBorders>
                  <w:shd w:val="clear" w:color="auto" w:fill="DBE5F1"/>
                  <w:vAlign w:val="center"/>
                </w:tcPr>
                <w:p w14:paraId="14643F45"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1295" w:type="dxa"/>
                  <w:tcBorders>
                    <w:top w:val="single" w:sz="4" w:space="0" w:color="FFFFFF"/>
                    <w:left w:val="single" w:sz="4" w:space="0" w:color="FFFFFF"/>
                    <w:bottom w:val="single" w:sz="4" w:space="0" w:color="FFFFFF"/>
                    <w:right w:val="single" w:sz="4" w:space="0" w:color="FFFFFF"/>
                  </w:tcBorders>
                  <w:shd w:val="clear" w:color="auto" w:fill="DBE5F1"/>
                </w:tcPr>
                <w:p w14:paraId="64DBFE06"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Significant  impact on the rest of the road network</w:t>
                  </w:r>
                </w:p>
              </w:tc>
              <w:tc>
                <w:tcPr>
                  <w:tcW w:w="2570" w:type="dxa"/>
                  <w:tcBorders>
                    <w:top w:val="single" w:sz="4" w:space="0" w:color="FFFFFF"/>
                    <w:left w:val="single" w:sz="4" w:space="0" w:color="FFFFFF"/>
                    <w:bottom w:val="single" w:sz="4" w:space="0" w:color="FFFFFF"/>
                    <w:right w:val="single" w:sz="4" w:space="0" w:color="FFFFFF"/>
                  </w:tcBorders>
                  <w:shd w:val="clear" w:color="auto" w:fill="DBE5F1"/>
                </w:tcPr>
                <w:p w14:paraId="66AD22B7"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Regional or national model detailing the significant impact area of the planned investment</w:t>
                  </w:r>
                </w:p>
              </w:tc>
              <w:tc>
                <w:tcPr>
                  <w:tcW w:w="1480" w:type="dxa"/>
                  <w:tcBorders>
                    <w:top w:val="single" w:sz="4" w:space="0" w:color="FFFFFF"/>
                    <w:left w:val="single" w:sz="4" w:space="0" w:color="FFFFFF"/>
                    <w:bottom w:val="single" w:sz="4" w:space="0" w:color="FFFFFF"/>
                    <w:right w:val="single" w:sz="4" w:space="0" w:color="FFFFFF"/>
                  </w:tcBorders>
                  <w:shd w:val="clear" w:color="auto" w:fill="DBE5F1"/>
                </w:tcPr>
                <w:p w14:paraId="1B19ADF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By network/</w:t>
                  </w:r>
                </w:p>
                <w:p w14:paraId="433363EC" w14:textId="5143A2AE"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buffer**</w:t>
                  </w:r>
                  <w:r w:rsidR="001B2F24">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lang w:val="en-GB"/>
                    </w:rPr>
                    <w:t>or by section</w:t>
                  </w:r>
                </w:p>
              </w:tc>
            </w:tr>
            <w:tr w:rsidR="00600DEE" w:rsidRPr="007463B9" w14:paraId="1A8414D9" w14:textId="77777777" w:rsidTr="00AA0139">
              <w:trPr>
                <w:trHeight w:hRule="exact" w:val="2268"/>
              </w:trPr>
              <w:tc>
                <w:tcPr>
                  <w:tcW w:w="423" w:type="dxa"/>
                  <w:tcBorders>
                    <w:top w:val="single" w:sz="4" w:space="0" w:color="FFFFFF"/>
                    <w:left w:val="single" w:sz="4" w:space="0" w:color="FFFFFF"/>
                    <w:right w:val="single" w:sz="4" w:space="0" w:color="FFFFFF"/>
                  </w:tcBorders>
                  <w:shd w:val="clear" w:color="auto" w:fill="DBE5F1"/>
                </w:tcPr>
                <w:p w14:paraId="36C4721B"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3.</w:t>
                  </w:r>
                </w:p>
                <w:p w14:paraId="295A4CCD" w14:textId="77777777" w:rsidR="00600DEE" w:rsidRDefault="00600DEE">
                  <w:pPr>
                    <w:spacing w:before="120" w:after="120"/>
                    <w:rPr>
                      <w:rFonts w:ascii="Calibri" w:eastAsia="Calibri" w:hAnsi="Calibri" w:cs="Calibri"/>
                      <w:color w:val="4F81BD"/>
                      <w:sz w:val="18"/>
                      <w:szCs w:val="18"/>
                    </w:rPr>
                  </w:pPr>
                </w:p>
              </w:tc>
              <w:tc>
                <w:tcPr>
                  <w:tcW w:w="1295"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84129E5"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Construction of a new road with new alignment (including city bypasses).</w:t>
                  </w:r>
                </w:p>
              </w:tc>
              <w:tc>
                <w:tcPr>
                  <w:tcW w:w="1295" w:type="dxa"/>
                  <w:tcBorders>
                    <w:top w:val="single" w:sz="4" w:space="0" w:color="FFFFFF"/>
                    <w:left w:val="single" w:sz="4" w:space="0" w:color="FFFFFF"/>
                    <w:right w:val="single" w:sz="4" w:space="0" w:color="FFFFFF"/>
                  </w:tcBorders>
                  <w:shd w:val="clear" w:color="auto" w:fill="DBE5F1"/>
                </w:tcPr>
                <w:p w14:paraId="46F0EC5D" w14:textId="77777777" w:rsidR="00600DEE" w:rsidRPr="0045151D" w:rsidRDefault="00600DEE">
                  <w:pPr>
                    <w:spacing w:before="120" w:after="120"/>
                    <w:rPr>
                      <w:rFonts w:ascii="Calibri" w:eastAsia="Calibri" w:hAnsi="Calibri" w:cs="Calibri"/>
                      <w:color w:val="4F81BD"/>
                      <w:sz w:val="18"/>
                      <w:szCs w:val="18"/>
                      <w:lang w:val="en-GB"/>
                    </w:rPr>
                  </w:pPr>
                </w:p>
                <w:p w14:paraId="23A89224" w14:textId="77777777" w:rsidR="00600DEE" w:rsidRPr="0045151D" w:rsidRDefault="00600DEE">
                  <w:pPr>
                    <w:spacing w:before="120" w:after="120"/>
                    <w:rPr>
                      <w:rFonts w:ascii="Calibri" w:eastAsia="Calibri" w:hAnsi="Calibri" w:cs="Calibri"/>
                      <w:color w:val="4F81BD"/>
                      <w:sz w:val="18"/>
                      <w:szCs w:val="18"/>
                      <w:lang w:val="en-GB"/>
                    </w:rPr>
                  </w:pPr>
                </w:p>
              </w:tc>
              <w:tc>
                <w:tcPr>
                  <w:tcW w:w="2570" w:type="dxa"/>
                  <w:tcBorders>
                    <w:top w:val="single" w:sz="4" w:space="0" w:color="FFFFFF"/>
                    <w:left w:val="single" w:sz="4" w:space="0" w:color="FFFFFF"/>
                    <w:right w:val="single" w:sz="4" w:space="0" w:color="FFFFFF"/>
                  </w:tcBorders>
                  <w:shd w:val="clear" w:color="auto" w:fill="DBE5F1"/>
                </w:tcPr>
                <w:p w14:paraId="14FB2734" w14:textId="77777777" w:rsidR="00600DEE" w:rsidRPr="0045151D" w:rsidRDefault="00600DEE">
                  <w:pPr>
                    <w:spacing w:before="120" w:after="120"/>
                    <w:rPr>
                      <w:rFonts w:ascii="Calibri" w:eastAsia="Calibri" w:hAnsi="Calibri" w:cs="Calibri"/>
                      <w:color w:val="4F81BD"/>
                      <w:sz w:val="18"/>
                      <w:szCs w:val="18"/>
                      <w:lang w:val="en-GB"/>
                    </w:rPr>
                  </w:pPr>
                </w:p>
                <w:p w14:paraId="021BAB3E" w14:textId="77777777" w:rsidR="00600DEE" w:rsidRPr="0045151D" w:rsidRDefault="00600DEE">
                  <w:pPr>
                    <w:spacing w:before="120" w:after="120"/>
                    <w:rPr>
                      <w:rFonts w:ascii="Calibri" w:eastAsia="Calibri" w:hAnsi="Calibri" w:cs="Calibri"/>
                      <w:color w:val="4F81BD"/>
                      <w:sz w:val="18"/>
                      <w:szCs w:val="18"/>
                      <w:lang w:val="en-GB"/>
                    </w:rPr>
                  </w:pPr>
                </w:p>
                <w:p w14:paraId="7A852995"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Regional or national model detailing the significant impact area of the planned investment***</w:t>
                  </w:r>
                </w:p>
              </w:tc>
              <w:tc>
                <w:tcPr>
                  <w:tcW w:w="1480" w:type="dxa"/>
                  <w:tcBorders>
                    <w:top w:val="single" w:sz="4" w:space="0" w:color="FFFFFF"/>
                    <w:left w:val="single" w:sz="4" w:space="0" w:color="FFFFFF"/>
                    <w:right w:val="single" w:sz="4" w:space="0" w:color="FFFFFF"/>
                  </w:tcBorders>
                  <w:shd w:val="clear" w:color="auto" w:fill="DBE5F1"/>
                  <w:vAlign w:val="center"/>
                </w:tcPr>
                <w:p w14:paraId="619944F2" w14:textId="77777777" w:rsidR="00600DEE" w:rsidRPr="0045151D" w:rsidRDefault="00600DEE">
                  <w:pPr>
                    <w:spacing w:before="120" w:after="120"/>
                    <w:rPr>
                      <w:rFonts w:ascii="Calibri" w:eastAsia="Calibri" w:hAnsi="Calibri" w:cs="Calibri"/>
                      <w:color w:val="4F81BD"/>
                      <w:sz w:val="18"/>
                      <w:szCs w:val="18"/>
                      <w:lang w:val="en-GB"/>
                    </w:rPr>
                  </w:pPr>
                </w:p>
                <w:p w14:paraId="4FF6E695" w14:textId="0DE25F6C"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By network/</w:t>
                  </w:r>
                  <w:r w:rsidR="001B2F24">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lang w:val="en-GB"/>
                    </w:rPr>
                    <w:t>buffer**</w:t>
                  </w:r>
                </w:p>
                <w:p w14:paraId="4DF8C6D5" w14:textId="77777777" w:rsidR="00600DEE" w:rsidRPr="0045151D" w:rsidRDefault="00600DEE">
                  <w:pPr>
                    <w:rPr>
                      <w:rFonts w:ascii="Calibri" w:eastAsia="Calibri" w:hAnsi="Calibri" w:cs="Calibri"/>
                      <w:color w:val="4F81BD"/>
                      <w:sz w:val="18"/>
                      <w:szCs w:val="18"/>
                      <w:lang w:val="en-GB"/>
                    </w:rPr>
                  </w:pPr>
                </w:p>
                <w:p w14:paraId="5BF0B80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or by section</w:t>
                  </w:r>
                </w:p>
                <w:p w14:paraId="3CD034BD" w14:textId="77777777" w:rsidR="00600DEE" w:rsidRPr="0045151D" w:rsidRDefault="00600DEE">
                  <w:pPr>
                    <w:spacing w:before="120" w:after="120"/>
                    <w:rPr>
                      <w:rFonts w:ascii="Calibri" w:eastAsia="Calibri" w:hAnsi="Calibri" w:cs="Calibri"/>
                      <w:color w:val="4F81BD"/>
                      <w:sz w:val="18"/>
                      <w:szCs w:val="18"/>
                      <w:lang w:val="en-GB"/>
                    </w:rPr>
                  </w:pPr>
                </w:p>
              </w:tc>
            </w:tr>
          </w:tbl>
          <w:p w14:paraId="582088AB" w14:textId="16522AD9" w:rsidR="00600DEE"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p w14:paraId="694275CF" w14:textId="77777777" w:rsidR="00AA0139" w:rsidRPr="0045151D" w:rsidRDefault="00AA0139">
            <w:pPr>
              <w:pBdr>
                <w:top w:val="nil"/>
                <w:left w:val="nil"/>
                <w:bottom w:val="nil"/>
                <w:right w:val="nil"/>
                <w:between w:val="nil"/>
              </w:pBdr>
              <w:spacing w:before="120"/>
              <w:jc w:val="both"/>
              <w:rPr>
                <w:rFonts w:ascii="Calibri" w:eastAsia="Calibri" w:hAnsi="Calibri" w:cs="Calibri"/>
                <w:color w:val="000000"/>
                <w:sz w:val="20"/>
                <w:szCs w:val="20"/>
                <w:lang w:val="en-GB"/>
              </w:rPr>
            </w:pPr>
          </w:p>
          <w:p w14:paraId="7327FF08"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By Section: analysis of the traffic volumes, transport work (</w:t>
            </w:r>
            <w:proofErr w:type="spellStart"/>
            <w:r w:rsidRPr="0045151D">
              <w:rPr>
                <w:rFonts w:ascii="Calibri" w:eastAsia="Calibri" w:hAnsi="Calibri" w:cs="Calibri"/>
                <w:sz w:val="16"/>
                <w:szCs w:val="16"/>
                <w:lang w:val="en-GB"/>
              </w:rPr>
              <w:t>veh</w:t>
            </w:r>
            <w:proofErr w:type="spellEnd"/>
            <w:r w:rsidRPr="0045151D">
              <w:rPr>
                <w:rFonts w:ascii="Calibri" w:eastAsia="Calibri" w:hAnsi="Calibri" w:cs="Calibri"/>
                <w:sz w:val="16"/>
                <w:szCs w:val="16"/>
                <w:lang w:val="en-GB"/>
              </w:rPr>
              <w:t xml:space="preserve">-km and </w:t>
            </w:r>
            <w:proofErr w:type="spellStart"/>
            <w:r w:rsidRPr="0045151D">
              <w:rPr>
                <w:rFonts w:ascii="Calibri" w:eastAsia="Calibri" w:hAnsi="Calibri" w:cs="Calibri"/>
                <w:sz w:val="16"/>
                <w:szCs w:val="16"/>
                <w:lang w:val="en-GB"/>
              </w:rPr>
              <w:t>veh</w:t>
            </w:r>
            <w:proofErr w:type="spellEnd"/>
            <w:r w:rsidRPr="0045151D">
              <w:rPr>
                <w:rFonts w:ascii="Calibri" w:eastAsia="Calibri" w:hAnsi="Calibri" w:cs="Calibri"/>
                <w:sz w:val="16"/>
                <w:szCs w:val="16"/>
                <w:lang w:val="en-GB"/>
              </w:rPr>
              <w:t xml:space="preserve">-hour) and calculation of respective costs and benefits for the CBA done for each uniform road segment of known length. </w:t>
            </w:r>
          </w:p>
          <w:p w14:paraId="606FB9DC"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Network/Buffer: uses the transport work of a defined area containing sections with significant impact to calculate respective costs and benefits for the CBA.</w:t>
            </w:r>
          </w:p>
          <w:p w14:paraId="393A12C0" w14:textId="77777777" w:rsidR="00600DEE" w:rsidRPr="0045151D" w:rsidRDefault="00600DEE">
            <w:pPr>
              <w:ind w:right="170"/>
              <w:jc w:val="both"/>
              <w:rPr>
                <w:rFonts w:ascii="Calibri" w:eastAsia="Calibri" w:hAnsi="Calibri" w:cs="Calibri"/>
                <w:sz w:val="16"/>
                <w:szCs w:val="16"/>
                <w:lang w:val="en-GB"/>
              </w:rPr>
            </w:pPr>
          </w:p>
          <w:p w14:paraId="03EE23D3"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 xml:space="preserve">Buffer, project impact area: an area defined for the purpose of CBA containing a selected road network portion where the difference in traffic volumes between variant </w:t>
            </w:r>
            <w:proofErr w:type="spellStart"/>
            <w:r w:rsidRPr="0045151D">
              <w:rPr>
                <w:rFonts w:ascii="Calibri" w:eastAsia="Calibri" w:hAnsi="Calibri" w:cs="Calibri"/>
                <w:sz w:val="16"/>
                <w:szCs w:val="16"/>
                <w:lang w:val="en-GB"/>
              </w:rPr>
              <w:t>Wn</w:t>
            </w:r>
            <w:proofErr w:type="spellEnd"/>
            <w:r w:rsidRPr="0045151D">
              <w:rPr>
                <w:rFonts w:ascii="Calibri" w:eastAsia="Calibri" w:hAnsi="Calibri" w:cs="Calibri"/>
                <w:sz w:val="16"/>
                <w:szCs w:val="16"/>
                <w:lang w:val="en-GB"/>
              </w:rPr>
              <w:t xml:space="preserve"> and W0 is significant </w:t>
            </w:r>
            <w:r w:rsidRPr="0045151D">
              <w:rPr>
                <w:rFonts w:ascii="Calibri" w:eastAsia="Calibri" w:hAnsi="Calibri" w:cs="Calibri"/>
                <w:sz w:val="16"/>
                <w:szCs w:val="16"/>
                <w:lang w:val="en-GB"/>
              </w:rPr>
              <w:lastRenderedPageBreak/>
              <w:t>(e.g. greater than 10-15% in the first year of the forecast). Information on the values of transport work for each section should be made available.</w:t>
            </w:r>
          </w:p>
          <w:p w14:paraId="61E1017C" w14:textId="77777777" w:rsidR="00600DEE" w:rsidRPr="0045151D" w:rsidRDefault="00600DEE">
            <w:pPr>
              <w:ind w:right="170"/>
              <w:jc w:val="both"/>
              <w:rPr>
                <w:rFonts w:ascii="Calibri" w:eastAsia="Calibri" w:hAnsi="Calibri" w:cs="Calibri"/>
                <w:sz w:val="16"/>
                <w:szCs w:val="16"/>
                <w:lang w:val="en-GB"/>
              </w:rPr>
            </w:pPr>
          </w:p>
          <w:p w14:paraId="1002D5DB"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 xml:space="preserve">* In any case, it must be ensured that in a given year, from the traffic analysis results, the number of vehicles (or equivalent for individual transport number of trips) in the investment option is equal to the number of vehicles (and trips) in the non-investment option (meaning that there is no induced traffic as it is assumed in the model). </w:t>
            </w:r>
          </w:p>
          <w:p w14:paraId="57D2E3EF" w14:textId="77777777" w:rsidR="00600DEE" w:rsidRPr="0045151D" w:rsidRDefault="00600DEE">
            <w:pPr>
              <w:ind w:right="170"/>
              <w:jc w:val="both"/>
              <w:rPr>
                <w:rFonts w:ascii="Calibri" w:eastAsia="Calibri" w:hAnsi="Calibri" w:cs="Calibri"/>
                <w:sz w:val="16"/>
                <w:szCs w:val="16"/>
                <w:lang w:val="en-GB"/>
              </w:rPr>
            </w:pPr>
          </w:p>
          <w:p w14:paraId="507F3C90"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 Network approach entails some averaging of unit costs (VOC, traffic safety, air pollution or climate change impact) within the road sections group identified in the statement of transport work derived from the model, while the section approach is not affected by the averaging and it would facilitate post-project analysis and comparison of actual investment results with the projected ones. In cases where modelled network is wider than the one used for traffic work calculations, overall traffic work for the entire network should also be made available (for comparison).</w:t>
            </w:r>
          </w:p>
          <w:p w14:paraId="3C433A01" w14:textId="77777777" w:rsidR="00600DEE" w:rsidRPr="0045151D" w:rsidRDefault="00600DEE">
            <w:pPr>
              <w:ind w:right="170"/>
              <w:jc w:val="both"/>
              <w:rPr>
                <w:rFonts w:ascii="Calibri" w:eastAsia="Calibri" w:hAnsi="Calibri" w:cs="Calibri"/>
                <w:sz w:val="16"/>
                <w:szCs w:val="16"/>
                <w:lang w:val="en-GB"/>
              </w:rPr>
            </w:pPr>
          </w:p>
          <w:p w14:paraId="7A14FC18" w14:textId="77777777" w:rsidR="00600DEE" w:rsidRPr="0045151D" w:rsidRDefault="00641FB5">
            <w:pPr>
              <w:rPr>
                <w:rFonts w:ascii="Calibri" w:eastAsia="Calibri" w:hAnsi="Calibri" w:cs="Calibri"/>
                <w:sz w:val="16"/>
                <w:szCs w:val="16"/>
                <w:lang w:val="en-GB"/>
              </w:rPr>
            </w:pPr>
            <w:r w:rsidRPr="0045151D">
              <w:rPr>
                <w:rFonts w:ascii="Calibri" w:eastAsia="Calibri" w:hAnsi="Calibri" w:cs="Calibri"/>
                <w:sz w:val="16"/>
                <w:szCs w:val="16"/>
                <w:lang w:val="en-GB"/>
              </w:rPr>
              <w:t>*** In case of network traffic analysis, for the purpose of CBA calculation, an area impacted by the project - the so-called buffer – can be identified within the network.</w:t>
            </w:r>
          </w:p>
        </w:tc>
      </w:tr>
    </w:tbl>
    <w:p w14:paraId="44783608" w14:textId="604B384E" w:rsidR="00600DEE" w:rsidRDefault="00641FB5" w:rsidP="00D5736B">
      <w:pPr>
        <w:pStyle w:val="Nagwek3"/>
        <w:numPr>
          <w:ilvl w:val="2"/>
          <w:numId w:val="17"/>
        </w:numPr>
        <w:ind w:left="0" w:firstLine="0"/>
        <w:rPr>
          <w:rFonts w:ascii="Calibri" w:eastAsia="Calibri" w:hAnsi="Calibri" w:cs="Calibri"/>
          <w:color w:val="4F81BD"/>
        </w:rPr>
      </w:pPr>
      <w:bookmarkStart w:id="44" w:name="_Toc95377976"/>
      <w:r>
        <w:rPr>
          <w:rFonts w:ascii="Calibri" w:eastAsia="Calibri" w:hAnsi="Calibri" w:cs="Calibri"/>
          <w:color w:val="4F81BD"/>
        </w:rPr>
        <w:lastRenderedPageBreak/>
        <w:t>Model ruchu, ogólne zasady</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 xml:space="preserve">1.8.2   </w:t>
      </w:r>
      <w:proofErr w:type="spellStart"/>
      <w:r>
        <w:rPr>
          <w:rFonts w:ascii="Calibri" w:eastAsia="Calibri" w:hAnsi="Calibri" w:cs="Calibri"/>
          <w:i/>
          <w:color w:val="4F81BD"/>
        </w:rPr>
        <w:t>Traffic</w:t>
      </w:r>
      <w:proofErr w:type="spellEnd"/>
      <w:r>
        <w:rPr>
          <w:rFonts w:ascii="Calibri" w:eastAsia="Calibri" w:hAnsi="Calibri" w:cs="Calibri"/>
          <w:i/>
          <w:color w:val="4F81BD"/>
        </w:rPr>
        <w:t xml:space="preserve"> model, </w:t>
      </w:r>
      <w:proofErr w:type="spellStart"/>
      <w:r>
        <w:rPr>
          <w:rFonts w:ascii="Calibri" w:eastAsia="Calibri" w:hAnsi="Calibri" w:cs="Calibri"/>
          <w:i/>
          <w:color w:val="4F81BD"/>
        </w:rPr>
        <w:t>general</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considerations</w:t>
      </w:r>
      <w:bookmarkEnd w:id="44"/>
      <w:proofErr w:type="spellEnd"/>
    </w:p>
    <w:tbl>
      <w:tblPr>
        <w:tblStyle w:val="aff"/>
        <w:tblW w:w="14571" w:type="dxa"/>
        <w:tblLayout w:type="fixed"/>
        <w:tblLook w:val="0400" w:firstRow="0" w:lastRow="0" w:firstColumn="0" w:lastColumn="0" w:noHBand="0" w:noVBand="1"/>
      </w:tblPr>
      <w:tblGrid>
        <w:gridCol w:w="7356"/>
        <w:gridCol w:w="7215"/>
      </w:tblGrid>
      <w:tr w:rsidR="00600DEE" w:rsidRPr="007463B9" w14:paraId="4FF06254" w14:textId="77777777" w:rsidTr="001E05E4">
        <w:tc>
          <w:tcPr>
            <w:tcW w:w="7356" w:type="dxa"/>
            <w:tcBorders>
              <w:right w:val="single" w:sz="4" w:space="0" w:color="000000"/>
            </w:tcBorders>
            <w:tcMar>
              <w:left w:w="284" w:type="dxa"/>
              <w:right w:w="284" w:type="dxa"/>
            </w:tcMar>
          </w:tcPr>
          <w:p w14:paraId="52BDAAA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Poniżej przedstawiono kilka ogólnych zaleceń dotyczących modelowania ruchu, które szczególnie należy mieć na uwadze w przypadku, gdyby nie było możliwości wykorzystania aktualnie dostępnych modeli. </w:t>
            </w:r>
          </w:p>
          <w:p w14:paraId="5149533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bookmarkStart w:id="45" w:name="_heading=h.ihv636" w:colFirst="0" w:colLast="0"/>
            <w:bookmarkEnd w:id="45"/>
            <w:r>
              <w:rPr>
                <w:rFonts w:ascii="Calibri" w:eastAsia="Calibri" w:hAnsi="Calibri" w:cs="Calibri"/>
                <w:color w:val="000000"/>
                <w:sz w:val="20"/>
                <w:szCs w:val="20"/>
              </w:rPr>
              <w:t>Model ruchu IKMR (Intermodalny Krajowy Model Ruchu) opracowany dla GDDKiA jest modelem wielogałęziowym obejmującym nie tylko ruch drogowy (samochodów osobowych, samochodów dostawczych, samochodów ciężarowych i autobusów), ale również pasażerski transport kolejowy oraz uwzględniający wpływy krajowego ruchu lotniczego i portów morskich.</w:t>
            </w:r>
          </w:p>
          <w:p w14:paraId="050935F4" w14:textId="4B2E51C2"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 przypadku każdej metody modelowania należy zwrócić uwagę, aby wszystkie procesy były spójne, uwzględniające we właściwej sekwencji poszczególne etapy opisane w tabeli 7. Należy wziąć pod uwagę poniżej opisane zalecenia i komentarze. </w:t>
            </w:r>
            <w:r w:rsidR="001B2F24">
              <w:rPr>
                <w:rFonts w:ascii="Calibri" w:eastAsia="Calibri" w:hAnsi="Calibri" w:cs="Calibri"/>
                <w:color w:val="000000"/>
                <w:sz w:val="20"/>
                <w:szCs w:val="20"/>
              </w:rPr>
              <w:t>W</w:t>
            </w:r>
            <w:r>
              <w:rPr>
                <w:rFonts w:ascii="Calibri" w:eastAsia="Calibri" w:hAnsi="Calibri" w:cs="Calibri"/>
                <w:color w:val="000000"/>
                <w:sz w:val="20"/>
                <w:szCs w:val="20"/>
              </w:rPr>
              <w:t xml:space="preserve"> przypadku nie uwzględnienia któregoś z etapów (np. </w:t>
            </w:r>
            <w:proofErr w:type="spellStart"/>
            <w:r>
              <w:rPr>
                <w:rFonts w:ascii="Calibri" w:eastAsia="Calibri" w:hAnsi="Calibri" w:cs="Calibri"/>
                <w:color w:val="000000"/>
                <w:sz w:val="20"/>
                <w:szCs w:val="20"/>
              </w:rPr>
              <w:t>wielogałęziowości</w:t>
            </w:r>
            <w:proofErr w:type="spellEnd"/>
            <w:r>
              <w:rPr>
                <w:rFonts w:ascii="Calibri" w:eastAsia="Calibri" w:hAnsi="Calibri" w:cs="Calibri"/>
                <w:color w:val="000000"/>
                <w:sz w:val="20"/>
                <w:szCs w:val="20"/>
              </w:rPr>
              <w:t>), należy przedstawić odpowiednie uzasadnienie w opisie modelu.</w:t>
            </w:r>
          </w:p>
          <w:p w14:paraId="4D67792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Bardzo ważną kwestią jest pełne zrozumienie wymagań oraz zasad funkcjonowania modelu, co zapewni adekwatność rezultatów modelowania oraz właściwą ocenę projektu. Pierwszy etap modelowania (definiowanie zakresu) to przede wszystkim ustalenia i decyzje, jak powinien wyglądać model dla danego projektu, jakie elementy należy przygotować lub zaktualizować oraz przyjęcie metodyki obliczeń.</w:t>
            </w:r>
          </w:p>
          <w:p w14:paraId="159EB644" w14:textId="0D393F43"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Właściwie zdefiniowany model ruchu powinien odzwierciedlać aktualne warun</w:t>
            </w:r>
            <w:r w:rsidR="001B2F24">
              <w:rPr>
                <w:rFonts w:ascii="Calibri" w:eastAsia="Calibri" w:hAnsi="Calibri" w:cs="Calibri"/>
                <w:color w:val="000000"/>
                <w:sz w:val="20"/>
                <w:szCs w:val="20"/>
              </w:rPr>
              <w:t>ki, jednakże ze względu na wiel</w:t>
            </w:r>
            <w:r>
              <w:rPr>
                <w:rFonts w:ascii="Calibri" w:eastAsia="Calibri" w:hAnsi="Calibri" w:cs="Calibri"/>
                <w:color w:val="000000"/>
                <w:sz w:val="20"/>
                <w:szCs w:val="20"/>
              </w:rPr>
              <w:t>ość potoków ruchu oraz złożoność sieci transportowych, nie będzie możliwe pomierzenie i uwzględnienie w modelu wszystkich zmian na sieci. W związku z tym, do modelu dla roku bazowego wprowadza się rzeczywiste potoki (patrz rekomendacje dotyczące pomiarów i badań ruchu przedstawione w załączniku B), które będą podstawą do kalibracji modelu.</w:t>
            </w:r>
          </w:p>
          <w:p w14:paraId="04C308E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Procesy kalibracji oraz walidacji zmierzają do uzyskania z modelu wyników pokrywających się z rzeczywistymi warunkami zaobserwowanymi na sieci, przede wszystkim poprzez analizę, a następnie modyfikacje modelu sieci, funkcji popytu lub formuł matematycznych w taki sposób, aby wyniki dobrze odzwierciedlały rzeczywiste warunki ruchu (czasy przejazdów, potoki ruchu na wybranych odcinkach, udział poszczególnych kategorii pojazdów itp.). Na tym etapie należy korygować różnego rodzaju błędy oraz omyłki powstałe w trakcie modelowania.</w:t>
            </w:r>
          </w:p>
          <w:p w14:paraId="493A24BE" w14:textId="65A02431" w:rsidR="00600DEE" w:rsidRDefault="003E2A27">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Przy przygotowywaniu p</w:t>
            </w:r>
            <w:r w:rsidR="00641FB5">
              <w:rPr>
                <w:rFonts w:ascii="Calibri" w:eastAsia="Calibri" w:hAnsi="Calibri" w:cs="Calibri"/>
                <w:color w:val="000000"/>
                <w:sz w:val="20"/>
                <w:szCs w:val="20"/>
              </w:rPr>
              <w:t>rognozy ruchu należy przede wszystkim uwzględniać planowane zmiany na sieci oraz wskaźniki mające wpływ na ruch (np. liczba mieszkańców, zatrudnienie, wskaźnik motoryzacji, aktywność gospodarcza). W rezultacie uzyskamy obraz uwarunkowań będących podstawą do oceny projektu w danym roku.</w:t>
            </w:r>
          </w:p>
          <w:p w14:paraId="56A0732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Prognozy ruchu pozwalają również na sprawdzenie wpływu oraz korzyści z oddziaływań zewnętrznych takich jak zmiany w polityce transportowej czy też zmiany w zagospodarowaniu przestrzennym, które mogą determinować parametry projektowe inwestycji oraz jej ocenę.</w:t>
            </w:r>
          </w:p>
          <w:p w14:paraId="646E68BF" w14:textId="22ADC9B4"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Proces prognozowania powinien być poprzedzony analizą dotyczącą wyboru metody przygotowania modelu ruchu (modelowanie lub metody uproszczone), co będzie miało wpływ na parametry opisane w tabeli 7, etap I.</w:t>
            </w:r>
          </w:p>
          <w:p w14:paraId="001FD217" w14:textId="290C5DBA" w:rsidR="008107FB" w:rsidRDefault="008107FB">
            <w:pPr>
              <w:pBdr>
                <w:top w:val="nil"/>
                <w:left w:val="nil"/>
                <w:bottom w:val="nil"/>
                <w:right w:val="nil"/>
                <w:between w:val="nil"/>
              </w:pBdr>
              <w:spacing w:before="120" w:after="120"/>
              <w:jc w:val="both"/>
              <w:rPr>
                <w:rFonts w:ascii="Calibri" w:eastAsia="Calibri" w:hAnsi="Calibri" w:cs="Calibri"/>
                <w:color w:val="000000"/>
                <w:sz w:val="20"/>
                <w:szCs w:val="20"/>
              </w:rPr>
            </w:pPr>
          </w:p>
          <w:p w14:paraId="5A747EE4" w14:textId="4ECE352E"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57DB0924" w14:textId="7A82027D"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68A67EE7" w14:textId="0FA3CE87"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1A36CA5E" w14:textId="76BD55D6"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5892FAA9" w14:textId="77777777"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19EFF72B" w14:textId="25E9EA84" w:rsidR="008107FB" w:rsidRDefault="008107FB">
            <w:pPr>
              <w:pBdr>
                <w:top w:val="nil"/>
                <w:left w:val="nil"/>
                <w:bottom w:val="nil"/>
                <w:right w:val="nil"/>
                <w:between w:val="nil"/>
              </w:pBdr>
              <w:spacing w:before="120" w:after="120"/>
              <w:jc w:val="both"/>
              <w:rPr>
                <w:rFonts w:ascii="Calibri" w:eastAsia="Calibri" w:hAnsi="Calibri" w:cs="Calibri"/>
                <w:color w:val="000000"/>
                <w:sz w:val="20"/>
                <w:szCs w:val="20"/>
              </w:rPr>
            </w:pPr>
          </w:p>
          <w:p w14:paraId="7AB54F75" w14:textId="372A9339" w:rsidR="00600DEE" w:rsidRDefault="00641FB5" w:rsidP="00105C0A">
            <w:pPr>
              <w:pBdr>
                <w:top w:val="nil"/>
                <w:left w:val="nil"/>
                <w:bottom w:val="nil"/>
                <w:right w:val="nil"/>
                <w:between w:val="nil"/>
              </w:pBdr>
              <w:spacing w:after="6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7. Etapy prognozowania ruchu</w:t>
            </w:r>
          </w:p>
          <w:tbl>
            <w:tblPr>
              <w:tblStyle w:val="aff0"/>
              <w:tblW w:w="6924" w:type="dxa"/>
              <w:tblLayout w:type="fixed"/>
              <w:tblLook w:val="0400" w:firstRow="0" w:lastRow="0" w:firstColumn="0" w:lastColumn="0" w:noHBand="0" w:noVBand="1"/>
            </w:tblPr>
            <w:tblGrid>
              <w:gridCol w:w="1647"/>
              <w:gridCol w:w="5277"/>
            </w:tblGrid>
            <w:tr w:rsidR="00600DEE" w14:paraId="441E5842" w14:textId="77777777" w:rsidTr="00505091">
              <w:trPr>
                <w:trHeight w:val="310"/>
              </w:trPr>
              <w:tc>
                <w:tcPr>
                  <w:tcW w:w="1647" w:type="dxa"/>
                  <w:tcBorders>
                    <w:top w:val="single" w:sz="4" w:space="0" w:color="FFFFFF"/>
                    <w:left w:val="single" w:sz="4" w:space="0" w:color="FFFFFF"/>
                    <w:bottom w:val="single" w:sz="4" w:space="0" w:color="FFFFFF"/>
                    <w:right w:val="nil"/>
                  </w:tcBorders>
                  <w:shd w:val="clear" w:color="auto" w:fill="A6A6A6"/>
                  <w:vAlign w:val="center"/>
                </w:tcPr>
                <w:p w14:paraId="18B6472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ETAP</w:t>
                  </w:r>
                </w:p>
              </w:tc>
              <w:tc>
                <w:tcPr>
                  <w:tcW w:w="5277"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3D52CA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ZAKRES</w:t>
                  </w:r>
                </w:p>
              </w:tc>
            </w:tr>
            <w:tr w:rsidR="00600DEE" w14:paraId="6C4AEECD" w14:textId="77777777" w:rsidTr="00505091">
              <w:trPr>
                <w:trHeight w:val="417"/>
              </w:trPr>
              <w:tc>
                <w:tcPr>
                  <w:tcW w:w="1647" w:type="dxa"/>
                  <w:tcBorders>
                    <w:top w:val="nil"/>
                    <w:left w:val="single" w:sz="4" w:space="0" w:color="FFFFFF"/>
                    <w:bottom w:val="single" w:sz="4" w:space="0" w:color="FFFFFF"/>
                    <w:right w:val="nil"/>
                  </w:tcBorders>
                  <w:shd w:val="clear" w:color="auto" w:fill="DBE5F1"/>
                </w:tcPr>
                <w:p w14:paraId="5B2CBD28" w14:textId="77777777" w:rsidR="00600DEE" w:rsidRDefault="00641FB5">
                  <w:pPr>
                    <w:tabs>
                      <w:tab w:val="left" w:pos="285"/>
                      <w:tab w:val="center" w:pos="534"/>
                    </w:tabs>
                    <w:spacing w:before="60" w:after="60" w:line="264" w:lineRule="auto"/>
                    <w:jc w:val="center"/>
                    <w:rPr>
                      <w:rFonts w:ascii="Calibri" w:eastAsia="Calibri" w:hAnsi="Calibri" w:cs="Calibri"/>
                      <w:color w:val="4F81BD"/>
                      <w:sz w:val="18"/>
                      <w:szCs w:val="18"/>
                    </w:rPr>
                  </w:pPr>
                  <w:r>
                    <w:rPr>
                      <w:rFonts w:ascii="Calibri" w:eastAsia="Calibri" w:hAnsi="Calibri" w:cs="Calibri"/>
                      <w:b/>
                      <w:color w:val="4F81BD"/>
                      <w:sz w:val="18"/>
                      <w:szCs w:val="18"/>
                    </w:rPr>
                    <w:t>ETAP I </w:t>
                  </w:r>
                  <w:r>
                    <w:rPr>
                      <w:rFonts w:ascii="Calibri" w:eastAsia="Calibri" w:hAnsi="Calibri" w:cs="Calibri"/>
                      <w:color w:val="4F81BD"/>
                      <w:sz w:val="18"/>
                      <w:szCs w:val="18"/>
                    </w:rPr>
                    <w:t xml:space="preserve"> </w:t>
                  </w:r>
                </w:p>
                <w:p w14:paraId="5E6197EC" w14:textId="77777777" w:rsidR="00600DEE" w:rsidRDefault="00641FB5">
                  <w:pPr>
                    <w:tabs>
                      <w:tab w:val="left" w:pos="285"/>
                      <w:tab w:val="center" w:pos="534"/>
                    </w:tabs>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Definiowanie modelu</w:t>
                  </w:r>
                </w:p>
              </w:tc>
              <w:tc>
                <w:tcPr>
                  <w:tcW w:w="5277" w:type="dxa"/>
                  <w:tcBorders>
                    <w:top w:val="nil"/>
                    <w:left w:val="single" w:sz="4" w:space="0" w:color="FFFFFF"/>
                    <w:bottom w:val="single" w:sz="4" w:space="0" w:color="FFFFFF"/>
                    <w:right w:val="single" w:sz="4" w:space="0" w:color="FFFFFF"/>
                  </w:tcBorders>
                  <w:shd w:val="clear" w:color="auto" w:fill="DBE5F1"/>
                </w:tcPr>
                <w:p w14:paraId="610E244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Zasięg obszarowy modelu</w:t>
                  </w:r>
                </w:p>
                <w:p w14:paraId="7691C48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Szczegóły sieci (z uwzględnieniem </w:t>
                  </w:r>
                  <w:proofErr w:type="spellStart"/>
                  <w:r>
                    <w:rPr>
                      <w:rFonts w:ascii="Calibri" w:eastAsia="Calibri" w:hAnsi="Calibri" w:cs="Calibri"/>
                      <w:b/>
                      <w:color w:val="4F81BD"/>
                      <w:sz w:val="18"/>
                      <w:szCs w:val="18"/>
                    </w:rPr>
                    <w:t>wielogałęziowości</w:t>
                  </w:r>
                  <w:proofErr w:type="spellEnd"/>
                  <w:r>
                    <w:rPr>
                      <w:rFonts w:ascii="Calibri" w:eastAsia="Calibri" w:hAnsi="Calibri" w:cs="Calibri"/>
                      <w:b/>
                      <w:color w:val="4F81BD"/>
                      <w:sz w:val="18"/>
                      <w:szCs w:val="18"/>
                    </w:rPr>
                    <w:t>)</w:t>
                  </w:r>
                </w:p>
                <w:p w14:paraId="512E477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Rejony komunikacyjne</w:t>
                  </w:r>
                </w:p>
                <w:p w14:paraId="77796065"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Kategorie pojazdów</w:t>
                  </w:r>
                </w:p>
                <w:p w14:paraId="067408AB"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Kategorie innych gałęzi transportu</w:t>
                  </w:r>
                </w:p>
                <w:p w14:paraId="2C7D32E8"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Kategorie użytkowników</w:t>
                  </w:r>
                </w:p>
                <w:p w14:paraId="5A16BD4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Okresy analizy (rok/doba/godzina szczytu)</w:t>
                  </w:r>
                </w:p>
                <w:p w14:paraId="356751B0"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Horyzont prognozy. Rok bazowy</w:t>
                  </w:r>
                </w:p>
                <w:p w14:paraId="57B5961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Inne parametry modelu (np. opłaty)</w:t>
                  </w:r>
                </w:p>
              </w:tc>
            </w:tr>
            <w:tr w:rsidR="00600DEE" w14:paraId="01A1404F" w14:textId="77777777" w:rsidTr="00505091">
              <w:trPr>
                <w:trHeight w:val="1025"/>
              </w:trPr>
              <w:tc>
                <w:tcPr>
                  <w:tcW w:w="1647" w:type="dxa"/>
                  <w:tcBorders>
                    <w:top w:val="single" w:sz="4" w:space="0" w:color="FFFFFF"/>
                    <w:left w:val="single" w:sz="4" w:space="0" w:color="FFFFFF"/>
                    <w:bottom w:val="single" w:sz="4" w:space="0" w:color="FFFFFF"/>
                    <w:right w:val="nil"/>
                  </w:tcBorders>
                  <w:shd w:val="clear" w:color="auto" w:fill="DBE5F1"/>
                </w:tcPr>
                <w:p w14:paraId="11B82C81"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II</w:t>
                  </w:r>
                </w:p>
                <w:p w14:paraId="6190186B"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Model dla roku bazowego</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7005AC9E"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Przygotowanie danych wejściowych</w:t>
                  </w:r>
                </w:p>
                <w:p w14:paraId="24BC0AE2"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Aktualizacja i uszczegółowienie sieci transportowych</w:t>
                  </w:r>
                </w:p>
                <w:p w14:paraId="5CFA3FB7"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Uwzględnienie transportu publicznego (w miastach)</w:t>
                  </w:r>
                </w:p>
                <w:p w14:paraId="076B317E"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Aktualizacja i uszczegółowienie rejonów komunikacyjnych</w:t>
                  </w:r>
                </w:p>
                <w:p w14:paraId="3656525E"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Opracowanie/ uszczegółowienie macierzy podróży</w:t>
                  </w:r>
                </w:p>
                <w:p w14:paraId="28A29E57"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Aktualizacja zmiennych funkcji popytu</w:t>
                  </w:r>
                </w:p>
              </w:tc>
            </w:tr>
            <w:tr w:rsidR="00600DEE" w14:paraId="70CCAC57" w14:textId="77777777" w:rsidTr="00505091">
              <w:trPr>
                <w:trHeight w:hRule="exact" w:val="1243"/>
              </w:trPr>
              <w:tc>
                <w:tcPr>
                  <w:tcW w:w="1647" w:type="dxa"/>
                  <w:tcBorders>
                    <w:top w:val="single" w:sz="4" w:space="0" w:color="FFFFFF"/>
                    <w:left w:val="single" w:sz="4" w:space="0" w:color="FFFFFF"/>
                    <w:bottom w:val="single" w:sz="4" w:space="0" w:color="FFFFFF"/>
                    <w:right w:val="nil"/>
                  </w:tcBorders>
                  <w:shd w:val="clear" w:color="auto" w:fill="DBE5F1"/>
                </w:tcPr>
                <w:p w14:paraId="222CBBDE"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III</w:t>
                  </w:r>
                </w:p>
                <w:p w14:paraId="292FEAB9"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Kalibracja</w:t>
                  </w:r>
                </w:p>
                <w:p w14:paraId="2E4C8D98"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 i walidacja modelu</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49E0BBE6"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Kalibracja modelu</w:t>
                  </w:r>
                </w:p>
                <w:p w14:paraId="4D95472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Kalibracja macierzy podróży</w:t>
                  </w:r>
                </w:p>
                <w:p w14:paraId="72D8589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Kalibracja zmiennych funkcji popytu</w:t>
                  </w:r>
                </w:p>
              </w:tc>
            </w:tr>
            <w:tr w:rsidR="00600DEE" w14:paraId="5943D688" w14:textId="77777777" w:rsidTr="00505091">
              <w:trPr>
                <w:trHeight w:val="1025"/>
              </w:trPr>
              <w:tc>
                <w:tcPr>
                  <w:tcW w:w="1647" w:type="dxa"/>
                  <w:tcBorders>
                    <w:top w:val="single" w:sz="4" w:space="0" w:color="FFFFFF"/>
                    <w:left w:val="single" w:sz="4" w:space="0" w:color="FFFFFF"/>
                    <w:bottom w:val="single" w:sz="4" w:space="0" w:color="FFFFFF"/>
                    <w:right w:val="nil"/>
                  </w:tcBorders>
                  <w:shd w:val="clear" w:color="auto" w:fill="DBE5F1"/>
                </w:tcPr>
                <w:p w14:paraId="76FC8B0D"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IV</w:t>
                  </w:r>
                </w:p>
                <w:p w14:paraId="516F5EE4"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Prognozowanie ruchu </w:t>
                  </w:r>
                </w:p>
                <w:p w14:paraId="389843B2"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 -założenia</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4469C899"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Zdefiniwanie</w:t>
                  </w:r>
                  <w:proofErr w:type="spellEnd"/>
                  <w:r>
                    <w:rPr>
                      <w:rFonts w:ascii="Calibri" w:eastAsia="Calibri" w:hAnsi="Calibri" w:cs="Calibri"/>
                      <w:b/>
                      <w:color w:val="4F81BD"/>
                      <w:sz w:val="18"/>
                      <w:szCs w:val="18"/>
                    </w:rPr>
                    <w:t xml:space="preserve"> wariantu bezinwestycyjnego i inwestycyjnego</w:t>
                  </w:r>
                </w:p>
                <w:p w14:paraId="2941739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Analiza rozwoju sieci </w:t>
                  </w:r>
                </w:p>
                <w:p w14:paraId="4EFD4CAA"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Opracowanie wskaźników wzrostu</w:t>
                  </w:r>
                </w:p>
                <w:p w14:paraId="6672EE8C"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Wpływ wskaźników wzrostu na popyt</w:t>
                  </w:r>
                </w:p>
                <w:p w14:paraId="62365410"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Wpływ oddziaływań zewnętrznych</w:t>
                  </w:r>
                </w:p>
              </w:tc>
            </w:tr>
            <w:tr w:rsidR="00600DEE" w14:paraId="0BCDFBCE" w14:textId="77777777" w:rsidTr="00505091">
              <w:trPr>
                <w:trHeight w:hRule="exact" w:val="1243"/>
              </w:trPr>
              <w:tc>
                <w:tcPr>
                  <w:tcW w:w="1647" w:type="dxa"/>
                  <w:tcBorders>
                    <w:top w:val="single" w:sz="4" w:space="0" w:color="FFFFFF"/>
                    <w:left w:val="single" w:sz="4" w:space="0" w:color="FFFFFF"/>
                    <w:bottom w:val="single" w:sz="4" w:space="0" w:color="FFFFFF"/>
                    <w:right w:val="nil"/>
                  </w:tcBorders>
                  <w:shd w:val="clear" w:color="auto" w:fill="DBE5F1"/>
                </w:tcPr>
                <w:p w14:paraId="1A8A0EC1"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V</w:t>
                  </w:r>
                </w:p>
                <w:p w14:paraId="3D64B271"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Oszacowanie prognozy ruchu </w:t>
                  </w:r>
                </w:p>
                <w:p w14:paraId="5B1E78F5"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Raporty wynikowe</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3B133C06"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Oszacowanie potoków ruchu</w:t>
                  </w:r>
                </w:p>
                <w:p w14:paraId="6BF29708"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Analiza wyników</w:t>
                  </w:r>
                </w:p>
                <w:p w14:paraId="5498FA7A"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Przygotowanie raportów wynikowych.</w:t>
                  </w:r>
                </w:p>
              </w:tc>
            </w:tr>
          </w:tbl>
          <w:p w14:paraId="7841CD5F"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proofErr w:type="spellStart"/>
            <w:r w:rsidRPr="0045151D">
              <w:rPr>
                <w:rFonts w:ascii="Calibri" w:eastAsia="Calibri" w:hAnsi="Calibri" w:cs="Calibri"/>
                <w:b/>
                <w:i/>
                <w:color w:val="000000"/>
                <w:sz w:val="16"/>
                <w:szCs w:val="16"/>
                <w:lang w:val="en-GB"/>
              </w:rPr>
              <w:t>Źródło</w:t>
            </w:r>
            <w:proofErr w:type="spellEnd"/>
            <w:r w:rsidRPr="0045151D">
              <w:rPr>
                <w:rFonts w:ascii="Calibri" w:eastAsia="Calibri" w:hAnsi="Calibri" w:cs="Calibri"/>
                <w:b/>
                <w:i/>
                <w:color w:val="000000"/>
                <w:sz w:val="16"/>
                <w:szCs w:val="16"/>
                <w:lang w:val="en-GB"/>
              </w:rPr>
              <w:t>: w </w:t>
            </w:r>
            <w:proofErr w:type="spellStart"/>
            <w:r w:rsidRPr="0045151D">
              <w:rPr>
                <w:rFonts w:ascii="Calibri" w:eastAsia="Calibri" w:hAnsi="Calibri" w:cs="Calibri"/>
                <w:b/>
                <w:i/>
                <w:color w:val="000000"/>
                <w:sz w:val="16"/>
                <w:szCs w:val="16"/>
                <w:lang w:val="en-GB"/>
              </w:rPr>
              <w:t>oparciu</w:t>
            </w:r>
            <w:proofErr w:type="spellEnd"/>
            <w:r w:rsidRPr="0045151D">
              <w:rPr>
                <w:rFonts w:ascii="Calibri" w:eastAsia="Calibri" w:hAnsi="Calibri" w:cs="Calibri"/>
                <w:b/>
                <w:i/>
                <w:color w:val="000000"/>
                <w:sz w:val="16"/>
                <w:szCs w:val="16"/>
                <w:lang w:val="en-GB"/>
              </w:rPr>
              <w:t xml:space="preserve"> o </w:t>
            </w:r>
            <w:proofErr w:type="spellStart"/>
            <w:r w:rsidRPr="0045151D">
              <w:rPr>
                <w:rFonts w:ascii="Calibri" w:eastAsia="Calibri" w:hAnsi="Calibri" w:cs="Calibri"/>
                <w:b/>
                <w:i/>
                <w:color w:val="000000"/>
                <w:sz w:val="16"/>
                <w:szCs w:val="16"/>
                <w:lang w:val="en-GB"/>
              </w:rPr>
              <w:t>opracowanie</w:t>
            </w:r>
            <w:proofErr w:type="spellEnd"/>
            <w:r w:rsidRPr="0045151D">
              <w:rPr>
                <w:rFonts w:ascii="Calibri" w:eastAsia="Calibri" w:hAnsi="Calibri" w:cs="Calibri"/>
                <w:b/>
                <w:i/>
                <w:color w:val="000000"/>
                <w:sz w:val="16"/>
                <w:szCs w:val="16"/>
                <w:lang w:val="en-GB"/>
              </w:rPr>
              <w:t xml:space="preserve"> “The Use of Transport Models in Transport Planning and Project Appraisal”, JASPERS, </w:t>
            </w:r>
            <w:proofErr w:type="spellStart"/>
            <w:r w:rsidRPr="0045151D">
              <w:rPr>
                <w:rFonts w:ascii="Calibri" w:eastAsia="Calibri" w:hAnsi="Calibri" w:cs="Calibri"/>
                <w:b/>
                <w:i/>
                <w:color w:val="000000"/>
                <w:sz w:val="16"/>
                <w:szCs w:val="16"/>
                <w:lang w:val="en-GB"/>
              </w:rPr>
              <w:t>luty</w:t>
            </w:r>
            <w:proofErr w:type="spellEnd"/>
            <w:r w:rsidRPr="0045151D">
              <w:rPr>
                <w:rFonts w:ascii="Calibri" w:eastAsia="Calibri" w:hAnsi="Calibri" w:cs="Calibri"/>
                <w:b/>
                <w:i/>
                <w:color w:val="000000"/>
                <w:sz w:val="16"/>
                <w:szCs w:val="16"/>
                <w:lang w:val="en-GB"/>
              </w:rPr>
              <w:t xml:space="preserve"> 2014.</w:t>
            </w:r>
          </w:p>
          <w:p w14:paraId="7225FD28" w14:textId="0736285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Opisy podstawowych założeń i metodyki do prognoz ruchu dla celów AKK dla projektów, których </w:t>
            </w:r>
            <w:r w:rsidR="00933C7D">
              <w:rPr>
                <w:rFonts w:ascii="Calibri" w:eastAsia="Calibri" w:hAnsi="Calibri" w:cs="Calibri"/>
                <w:color w:val="000000"/>
                <w:sz w:val="20"/>
                <w:szCs w:val="20"/>
              </w:rPr>
              <w:t>B</w:t>
            </w:r>
            <w:r>
              <w:rPr>
                <w:rFonts w:ascii="Calibri" w:eastAsia="Calibri" w:hAnsi="Calibri" w:cs="Calibri"/>
                <w:color w:val="000000"/>
                <w:sz w:val="20"/>
                <w:szCs w:val="20"/>
              </w:rPr>
              <w:t xml:space="preserve">eneficjentem jest GDDKiA, znajdują się w załączniku B. </w:t>
            </w:r>
          </w:p>
          <w:p w14:paraId="366DD2A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procesie przygotowania lub weryfikacji parametrów modelowanych odcinków sieci, należy zwrócić szczególną uwagę na prawidłowe zdefiniowanie przepustowości oraz funkcji oporu dla poszczególnych kategorii odcinków dróg.</w:t>
            </w:r>
          </w:p>
          <w:p w14:paraId="2E382D76"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p w14:paraId="3C34CFF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20"/>
                <w:szCs w:val="20"/>
                <w:u w:val="single"/>
              </w:rPr>
              <w:t>Uwaga:</w:t>
            </w:r>
            <w:r>
              <w:rPr>
                <w:rFonts w:ascii="Calibri" w:eastAsia="Calibri" w:hAnsi="Calibri" w:cs="Calibri"/>
                <w:color w:val="000000"/>
                <w:sz w:val="20"/>
                <w:szCs w:val="20"/>
              </w:rPr>
              <w:t xml:space="preserve"> Zazwyczaj modele i prognozy ruchu przygotowywane według zaleceń GDDKiA nie zakładają występowania ruchu wzbudzonego na sieci drogowej. </w:t>
            </w:r>
          </w:p>
        </w:tc>
        <w:tc>
          <w:tcPr>
            <w:tcW w:w="7215" w:type="dxa"/>
            <w:tcBorders>
              <w:left w:val="single" w:sz="4" w:space="0" w:color="000000"/>
            </w:tcBorders>
            <w:tcMar>
              <w:left w:w="284" w:type="dxa"/>
              <w:right w:w="284" w:type="dxa"/>
            </w:tcMar>
            <w:vAlign w:val="center"/>
          </w:tcPr>
          <w:p w14:paraId="511A6D1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Below some general recommendations on traffic modelling are presented that should be of special consideration when use of currently available models is not possible.</w:t>
            </w:r>
          </w:p>
          <w:p w14:paraId="7DD75CE6" w14:textId="05FAA760"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IKMR (Multimoda</w:t>
            </w:r>
            <w:r w:rsidR="001B2F24">
              <w:rPr>
                <w:rFonts w:ascii="Calibri" w:eastAsia="Calibri" w:hAnsi="Calibri" w:cs="Calibri"/>
                <w:color w:val="000000"/>
                <w:sz w:val="20"/>
                <w:szCs w:val="20"/>
                <w:lang w:val="en-GB"/>
              </w:rPr>
              <w:t>l</w:t>
            </w:r>
            <w:r w:rsidRPr="0045151D">
              <w:rPr>
                <w:rFonts w:ascii="Calibri" w:eastAsia="Calibri" w:hAnsi="Calibri" w:cs="Calibri"/>
                <w:color w:val="000000"/>
                <w:sz w:val="20"/>
                <w:szCs w:val="20"/>
                <w:lang w:val="en-GB"/>
              </w:rPr>
              <w:t xml:space="preserve"> National Traffic Model), the traffic model developed for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is a multimodal model that includes not only road traffic (passenger cars, vans, trucks and buses), but also rail passenger transport, and taking into account the impact of domestic air traffic and seaports.</w:t>
            </w:r>
          </w:p>
          <w:p w14:paraId="4A13CC14"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Irrespective of the modelling method, consistent processes must be applied following all the individual stages described below (table 7). Recommendations and comments described below must be taken into account. In case any stage task is not considered (e.g. mode share), the relevant clarification should be included in the model description.</w:t>
            </w:r>
          </w:p>
          <w:p w14:paraId="7489041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very important to fully understand requirements and operating rules of the model, as it will ensure the adequacy of modelling results and a proper assessment of the project. The first stage of modelling (defining the scope) involves primarily describing assumptions for, and decisions on how to create the project model, what inputs need to be prepared or updated, and adopting the calculation methodology.</w:t>
            </w:r>
          </w:p>
          <w:p w14:paraId="476EC49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traffic model prepared on the basis of the agreed scope should reflect the current conditions; however, due to the multiplicity of traffic flows and complexity of the transport network, it is not possible to measure and/or incorporate all changes in the network. Therefore, the model for the base year uses actual flows (see traffic </w:t>
            </w:r>
            <w:proofErr w:type="spellStart"/>
            <w:r w:rsidRPr="0045151D">
              <w:rPr>
                <w:rFonts w:ascii="Calibri" w:eastAsia="Calibri" w:hAnsi="Calibri" w:cs="Calibri"/>
                <w:color w:val="000000"/>
                <w:sz w:val="20"/>
                <w:szCs w:val="20"/>
                <w:lang w:val="en-GB"/>
              </w:rPr>
              <w:t>couting</w:t>
            </w:r>
            <w:proofErr w:type="spellEnd"/>
            <w:r w:rsidRPr="0045151D">
              <w:rPr>
                <w:rFonts w:ascii="Calibri" w:eastAsia="Calibri" w:hAnsi="Calibri" w:cs="Calibri"/>
                <w:color w:val="000000"/>
                <w:sz w:val="20"/>
                <w:szCs w:val="20"/>
                <w:lang w:val="en-GB"/>
              </w:rPr>
              <w:t xml:space="preserve"> and survey recommendations provided in Appendix B), which will be the basis for model calibration.</w:t>
            </w:r>
          </w:p>
          <w:p w14:paraId="7F79A85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calibration and validation seek to ensure that the model results coincide with the actual conditions observed in the network, primarily through the analysis and modification of the network model, correcting the demand function or mathematical formulas in such a way that the results better reflect the actual traffic conditions (travel times, traffic flows on selected sections, share of different vehicle categories, etc.). It is aimed at correcting various existing errors and omissions that could arise during modelling.</w:t>
            </w:r>
          </w:p>
          <w:p w14:paraId="793C856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When preparing a traffic forecast, planned changes of the network and indicators that can have a traffic impact (e.g. population, employment, car ownership, economic activity) should be considered in the first place. As a result, a snapshot of actual conditions will be created that can serve as a basis for evaluation of the project in a given year.</w:t>
            </w:r>
          </w:p>
          <w:p w14:paraId="21D75C7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Forecasting models also allow one to check the influence and benefits of external impacts such as changes in transport policy or changes in the spatial development planning that can determine the parameters of the design project and its appraisal.</w:t>
            </w:r>
          </w:p>
          <w:p w14:paraId="4A6107E6" w14:textId="1245E639" w:rsidR="001E05E4" w:rsidRPr="0045151D" w:rsidRDefault="00641FB5" w:rsidP="001E05E4">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forecasting process should be preceded by an analysis regarding the choice of the method of preparation of the traffic model (modelling or simplified methods), which will have an impact on the parameters described in table 7, Stage I</w:t>
            </w:r>
          </w:p>
          <w:p w14:paraId="373A465A" w14:textId="2362C968" w:rsidR="00600DEE" w:rsidRDefault="00641FB5" w:rsidP="001F6CAA">
            <w:pPr>
              <w:keepNext/>
              <w:pBdr>
                <w:top w:val="nil"/>
                <w:left w:val="nil"/>
                <w:bottom w:val="nil"/>
                <w:right w:val="nil"/>
                <w:between w:val="nil"/>
              </w:pBdr>
              <w:tabs>
                <w:tab w:val="left" w:pos="720"/>
                <w:tab w:val="left" w:pos="0"/>
              </w:tabs>
              <w:ind w:right="26"/>
              <w:rPr>
                <w:rFonts w:ascii="Calibri" w:eastAsia="Calibri" w:hAnsi="Calibri" w:cs="Calibri"/>
                <w:b/>
                <w:color w:val="4F81BD"/>
                <w:sz w:val="20"/>
                <w:szCs w:val="20"/>
              </w:rPr>
            </w:pPr>
            <w:proofErr w:type="spellStart"/>
            <w:r>
              <w:rPr>
                <w:rFonts w:ascii="Calibri" w:eastAsia="Calibri" w:hAnsi="Calibri" w:cs="Calibri"/>
                <w:b/>
                <w:color w:val="4F81BD"/>
                <w:sz w:val="20"/>
                <w:szCs w:val="20"/>
              </w:rPr>
              <w:lastRenderedPageBreak/>
              <w:t>Table</w:t>
            </w:r>
            <w:proofErr w:type="spellEnd"/>
            <w:r>
              <w:rPr>
                <w:rFonts w:ascii="Calibri" w:eastAsia="Calibri" w:hAnsi="Calibri" w:cs="Calibri"/>
                <w:b/>
                <w:color w:val="4F81BD"/>
                <w:sz w:val="20"/>
                <w:szCs w:val="20"/>
              </w:rPr>
              <w:t xml:space="preserve"> 7. </w:t>
            </w:r>
            <w:proofErr w:type="spellStart"/>
            <w:r>
              <w:rPr>
                <w:rFonts w:ascii="Calibri" w:eastAsia="Calibri" w:hAnsi="Calibri" w:cs="Calibri"/>
                <w:b/>
                <w:color w:val="4F81BD"/>
                <w:sz w:val="20"/>
                <w:szCs w:val="20"/>
              </w:rPr>
              <w:t>Traffic</w:t>
            </w:r>
            <w:proofErr w:type="spellEnd"/>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forecasting</w:t>
            </w:r>
            <w:proofErr w:type="spellEnd"/>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stages</w:t>
            </w:r>
            <w:proofErr w:type="spellEnd"/>
          </w:p>
          <w:tbl>
            <w:tblPr>
              <w:tblStyle w:val="aff1"/>
              <w:tblpPr w:leftFromText="141" w:rightFromText="141" w:vertAnchor="page" w:horzAnchor="margin" w:tblpY="302"/>
              <w:tblOverlap w:val="never"/>
              <w:tblW w:w="6935" w:type="dxa"/>
              <w:tblLayout w:type="fixed"/>
              <w:tblLook w:val="0400" w:firstRow="0" w:lastRow="0" w:firstColumn="0" w:lastColumn="0" w:noHBand="0" w:noVBand="1"/>
            </w:tblPr>
            <w:tblGrid>
              <w:gridCol w:w="2163"/>
              <w:gridCol w:w="4772"/>
            </w:tblGrid>
            <w:tr w:rsidR="00600DEE" w14:paraId="0DE78BF4" w14:textId="77777777" w:rsidTr="001E05E4">
              <w:trPr>
                <w:trHeight w:val="311"/>
              </w:trPr>
              <w:tc>
                <w:tcPr>
                  <w:tcW w:w="2163" w:type="dxa"/>
                  <w:tcBorders>
                    <w:top w:val="single" w:sz="4" w:space="0" w:color="FFFFFF"/>
                    <w:left w:val="single" w:sz="4" w:space="0" w:color="FFFFFF"/>
                    <w:bottom w:val="single" w:sz="4" w:space="0" w:color="FFFFFF"/>
                    <w:right w:val="nil"/>
                  </w:tcBorders>
                  <w:shd w:val="clear" w:color="auto" w:fill="A6A6A6"/>
                  <w:vAlign w:val="center"/>
                </w:tcPr>
                <w:p w14:paraId="51A9B938" w14:textId="77777777" w:rsidR="00600DEE" w:rsidRDefault="00641FB5" w:rsidP="001E05E4">
                  <w:pPr>
                    <w:jc w:val="center"/>
                    <w:rPr>
                      <w:rFonts w:ascii="Calibri" w:eastAsia="Calibri" w:hAnsi="Calibri" w:cs="Calibri"/>
                      <w:b/>
                      <w:color w:val="FFFFFF"/>
                      <w:sz w:val="18"/>
                      <w:szCs w:val="18"/>
                    </w:rPr>
                  </w:pPr>
                  <w:r>
                    <w:rPr>
                      <w:rFonts w:ascii="Calibri" w:eastAsia="Calibri" w:hAnsi="Calibri" w:cs="Calibri"/>
                      <w:b/>
                      <w:color w:val="FFFFFF"/>
                      <w:sz w:val="18"/>
                      <w:szCs w:val="18"/>
                    </w:rPr>
                    <w:t>STAGE</w:t>
                  </w:r>
                </w:p>
              </w:tc>
              <w:tc>
                <w:tcPr>
                  <w:tcW w:w="4772" w:type="dxa"/>
                  <w:tcBorders>
                    <w:top w:val="single" w:sz="4" w:space="0" w:color="FFFFFF"/>
                    <w:left w:val="single" w:sz="4" w:space="0" w:color="FFFFFF"/>
                    <w:bottom w:val="single" w:sz="4" w:space="0" w:color="FFFFFF"/>
                    <w:right w:val="single" w:sz="4" w:space="0" w:color="FFFFFF"/>
                  </w:tcBorders>
                  <w:shd w:val="clear" w:color="auto" w:fill="A6A6A6"/>
                </w:tcPr>
                <w:p w14:paraId="773380F7"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SCOPE</w:t>
                  </w:r>
                </w:p>
              </w:tc>
            </w:tr>
            <w:tr w:rsidR="00600DEE" w:rsidRPr="007463B9" w14:paraId="169EBF4E" w14:textId="77777777" w:rsidTr="001E05E4">
              <w:trPr>
                <w:trHeight w:val="419"/>
              </w:trPr>
              <w:tc>
                <w:tcPr>
                  <w:tcW w:w="2163" w:type="dxa"/>
                  <w:tcBorders>
                    <w:top w:val="nil"/>
                    <w:left w:val="single" w:sz="4" w:space="0" w:color="FFFFFF"/>
                    <w:bottom w:val="single" w:sz="4" w:space="0" w:color="FFFFFF"/>
                    <w:right w:val="nil"/>
                  </w:tcBorders>
                  <w:shd w:val="clear" w:color="auto" w:fill="DBE5F1"/>
                </w:tcPr>
                <w:p w14:paraId="06F0CBD0" w14:textId="77777777" w:rsidR="00600DEE" w:rsidRPr="0045151D" w:rsidRDefault="00641FB5">
                  <w:pPr>
                    <w:tabs>
                      <w:tab w:val="left" w:pos="285"/>
                      <w:tab w:val="center" w:pos="534"/>
                    </w:tabs>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STAGE I</w:t>
                  </w:r>
                </w:p>
                <w:p w14:paraId="5EC79891" w14:textId="77777777" w:rsidR="00600DEE" w:rsidRPr="0045151D" w:rsidRDefault="00641FB5">
                  <w:pPr>
                    <w:tabs>
                      <w:tab w:val="left" w:pos="285"/>
                      <w:tab w:val="center" w:pos="534"/>
                    </w:tabs>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Defining the model</w:t>
                  </w:r>
                </w:p>
              </w:tc>
              <w:tc>
                <w:tcPr>
                  <w:tcW w:w="4772" w:type="dxa"/>
                  <w:tcBorders>
                    <w:top w:val="nil"/>
                    <w:left w:val="single" w:sz="4" w:space="0" w:color="FFFFFF"/>
                    <w:bottom w:val="single" w:sz="4" w:space="0" w:color="FFFFFF"/>
                    <w:right w:val="single" w:sz="4" w:space="0" w:color="FFFFFF"/>
                  </w:tcBorders>
                  <w:shd w:val="clear" w:color="auto" w:fill="DBE5F1"/>
                </w:tcPr>
                <w:p w14:paraId="2A34E0B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Extent</w:t>
                  </w:r>
                  <w:proofErr w:type="spellEnd"/>
                  <w:r>
                    <w:rPr>
                      <w:rFonts w:ascii="Calibri" w:eastAsia="Calibri" w:hAnsi="Calibri" w:cs="Calibri"/>
                      <w:b/>
                      <w:color w:val="4F81BD"/>
                      <w:sz w:val="18"/>
                      <w:szCs w:val="18"/>
                    </w:rPr>
                    <w:t xml:space="preserve"> of network</w:t>
                  </w:r>
                </w:p>
                <w:p w14:paraId="499ED2B5"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Network </w:t>
                  </w:r>
                  <w:proofErr w:type="spellStart"/>
                  <w:r>
                    <w:rPr>
                      <w:rFonts w:ascii="Calibri" w:eastAsia="Calibri" w:hAnsi="Calibri" w:cs="Calibri"/>
                      <w:b/>
                      <w:color w:val="4F81BD"/>
                      <w:sz w:val="18"/>
                      <w:szCs w:val="18"/>
                    </w:rPr>
                    <w:t>details</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considering</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multimodality</w:t>
                  </w:r>
                  <w:proofErr w:type="spellEnd"/>
                  <w:r>
                    <w:rPr>
                      <w:rFonts w:ascii="Calibri" w:eastAsia="Calibri" w:hAnsi="Calibri" w:cs="Calibri"/>
                      <w:b/>
                      <w:color w:val="4F81BD"/>
                      <w:sz w:val="18"/>
                      <w:szCs w:val="18"/>
                    </w:rPr>
                    <w:t>)</w:t>
                  </w:r>
                </w:p>
                <w:p w14:paraId="6D0642F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Zone system</w:t>
                  </w:r>
                </w:p>
                <w:p w14:paraId="2444F0E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Categories</w:t>
                  </w:r>
                  <w:proofErr w:type="spellEnd"/>
                  <w:r>
                    <w:rPr>
                      <w:rFonts w:ascii="Calibri" w:eastAsia="Calibri" w:hAnsi="Calibri" w:cs="Calibri"/>
                      <w:b/>
                      <w:color w:val="4F81BD"/>
                      <w:sz w:val="18"/>
                      <w:szCs w:val="18"/>
                    </w:rPr>
                    <w:t xml:space="preserve"> of </w:t>
                  </w:r>
                  <w:proofErr w:type="spellStart"/>
                  <w:r>
                    <w:rPr>
                      <w:rFonts w:ascii="Calibri" w:eastAsia="Calibri" w:hAnsi="Calibri" w:cs="Calibri"/>
                      <w:b/>
                      <w:color w:val="4F81BD"/>
                      <w:sz w:val="18"/>
                      <w:szCs w:val="18"/>
                    </w:rPr>
                    <w:t>vehicles</w:t>
                  </w:r>
                  <w:proofErr w:type="spellEnd"/>
                </w:p>
                <w:p w14:paraId="03DB883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Categories</w:t>
                  </w:r>
                  <w:proofErr w:type="spellEnd"/>
                  <w:r>
                    <w:rPr>
                      <w:rFonts w:ascii="Calibri" w:eastAsia="Calibri" w:hAnsi="Calibri" w:cs="Calibri"/>
                      <w:b/>
                      <w:color w:val="4F81BD"/>
                      <w:sz w:val="18"/>
                      <w:szCs w:val="18"/>
                    </w:rPr>
                    <w:t xml:space="preserve"> of </w:t>
                  </w:r>
                  <w:proofErr w:type="spellStart"/>
                  <w:r>
                    <w:rPr>
                      <w:rFonts w:ascii="Calibri" w:eastAsia="Calibri" w:hAnsi="Calibri" w:cs="Calibri"/>
                      <w:b/>
                      <w:color w:val="4F81BD"/>
                      <w:sz w:val="18"/>
                      <w:szCs w:val="18"/>
                    </w:rPr>
                    <w:t>other</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modes</w:t>
                  </w:r>
                  <w:proofErr w:type="spellEnd"/>
                  <w:r>
                    <w:rPr>
                      <w:rFonts w:ascii="Calibri" w:eastAsia="Calibri" w:hAnsi="Calibri" w:cs="Calibri"/>
                      <w:b/>
                      <w:color w:val="4F81BD"/>
                      <w:sz w:val="18"/>
                      <w:szCs w:val="18"/>
                    </w:rPr>
                    <w:t xml:space="preserve"> </w:t>
                  </w:r>
                </w:p>
                <w:p w14:paraId="18068BB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Categories</w:t>
                  </w:r>
                  <w:proofErr w:type="spellEnd"/>
                  <w:r>
                    <w:rPr>
                      <w:rFonts w:ascii="Calibri" w:eastAsia="Calibri" w:hAnsi="Calibri" w:cs="Calibri"/>
                      <w:b/>
                      <w:color w:val="4F81BD"/>
                      <w:sz w:val="18"/>
                      <w:szCs w:val="18"/>
                    </w:rPr>
                    <w:t xml:space="preserve"> of </w:t>
                  </w:r>
                  <w:proofErr w:type="spellStart"/>
                  <w:r>
                    <w:rPr>
                      <w:rFonts w:ascii="Calibri" w:eastAsia="Calibri" w:hAnsi="Calibri" w:cs="Calibri"/>
                      <w:b/>
                      <w:color w:val="4F81BD"/>
                      <w:sz w:val="18"/>
                      <w:szCs w:val="18"/>
                    </w:rPr>
                    <w:t>users</w:t>
                  </w:r>
                  <w:proofErr w:type="spellEnd"/>
                </w:p>
                <w:p w14:paraId="4E29BE9F"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Analysis periods (year/day/peak hour)</w:t>
                  </w:r>
                </w:p>
                <w:p w14:paraId="3282B1E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Modelled</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years</w:t>
                  </w:r>
                  <w:proofErr w:type="spellEnd"/>
                  <w:r>
                    <w:rPr>
                      <w:rFonts w:ascii="Calibri" w:eastAsia="Calibri" w:hAnsi="Calibri" w:cs="Calibri"/>
                      <w:b/>
                      <w:color w:val="4F81BD"/>
                      <w:sz w:val="18"/>
                      <w:szCs w:val="18"/>
                    </w:rPr>
                    <w:t xml:space="preserve">/ Base </w:t>
                  </w:r>
                  <w:proofErr w:type="spellStart"/>
                  <w:r>
                    <w:rPr>
                      <w:rFonts w:ascii="Calibri" w:eastAsia="Calibri" w:hAnsi="Calibri" w:cs="Calibri"/>
                      <w:b/>
                      <w:color w:val="4F81BD"/>
                      <w:sz w:val="18"/>
                      <w:szCs w:val="18"/>
                    </w:rPr>
                    <w:t>Year</w:t>
                  </w:r>
                  <w:proofErr w:type="spellEnd"/>
                </w:p>
                <w:p w14:paraId="5AEECF97"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Other network parameters (e.g. tolls)</w:t>
                  </w:r>
                </w:p>
              </w:tc>
            </w:tr>
            <w:tr w:rsidR="00600DEE" w:rsidRPr="007463B9" w14:paraId="39A58876" w14:textId="77777777" w:rsidTr="001E05E4">
              <w:trPr>
                <w:trHeight w:val="1028"/>
              </w:trPr>
              <w:tc>
                <w:tcPr>
                  <w:tcW w:w="2163" w:type="dxa"/>
                  <w:tcBorders>
                    <w:top w:val="single" w:sz="4" w:space="0" w:color="FFFFFF"/>
                    <w:left w:val="single" w:sz="4" w:space="0" w:color="FFFFFF"/>
                    <w:bottom w:val="single" w:sz="4" w:space="0" w:color="FFFFFF"/>
                    <w:right w:val="nil"/>
                  </w:tcBorders>
                  <w:shd w:val="clear" w:color="auto" w:fill="DBE5F1"/>
                </w:tcPr>
                <w:p w14:paraId="631DD8F1"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STAGE II</w:t>
                  </w:r>
                </w:p>
                <w:p w14:paraId="0B188BF1"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The model for the base year</w:t>
                  </w: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47BD4FBA"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Input data </w:t>
                  </w:r>
                  <w:proofErr w:type="spellStart"/>
                  <w:r>
                    <w:rPr>
                      <w:rFonts w:ascii="Calibri" w:eastAsia="Calibri" w:hAnsi="Calibri" w:cs="Calibri"/>
                      <w:b/>
                      <w:color w:val="4F81BD"/>
                      <w:sz w:val="18"/>
                      <w:szCs w:val="18"/>
                    </w:rPr>
                    <w:t>collection</w:t>
                  </w:r>
                  <w:proofErr w:type="spellEnd"/>
                  <w:r>
                    <w:rPr>
                      <w:rFonts w:ascii="Calibri" w:eastAsia="Calibri" w:hAnsi="Calibri" w:cs="Calibri"/>
                      <w:b/>
                      <w:color w:val="4F81BD"/>
                      <w:sz w:val="18"/>
                      <w:szCs w:val="18"/>
                    </w:rPr>
                    <w:t xml:space="preserve"> </w:t>
                  </w:r>
                </w:p>
                <w:p w14:paraId="44A86EBB"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Transport networks </w:t>
                  </w:r>
                  <w:proofErr w:type="spellStart"/>
                  <w:r>
                    <w:rPr>
                      <w:rFonts w:ascii="Calibri" w:eastAsia="Calibri" w:hAnsi="Calibri" w:cs="Calibri"/>
                      <w:b/>
                      <w:color w:val="4F81BD"/>
                      <w:sz w:val="18"/>
                      <w:szCs w:val="18"/>
                    </w:rPr>
                    <w:t>updated</w:t>
                  </w:r>
                  <w:proofErr w:type="spellEnd"/>
                  <w:r>
                    <w:rPr>
                      <w:rFonts w:ascii="Calibri" w:eastAsia="Calibri" w:hAnsi="Calibri" w:cs="Calibri"/>
                      <w:b/>
                      <w:color w:val="4F81BD"/>
                      <w:sz w:val="18"/>
                      <w:szCs w:val="18"/>
                    </w:rPr>
                    <w:t xml:space="preserve"> and </w:t>
                  </w:r>
                  <w:proofErr w:type="spellStart"/>
                  <w:r>
                    <w:rPr>
                      <w:rFonts w:ascii="Calibri" w:eastAsia="Calibri" w:hAnsi="Calibri" w:cs="Calibri"/>
                      <w:b/>
                      <w:color w:val="4F81BD"/>
                      <w:sz w:val="18"/>
                      <w:szCs w:val="18"/>
                    </w:rPr>
                    <w:t>detailed</w:t>
                  </w:r>
                  <w:proofErr w:type="spellEnd"/>
                </w:p>
                <w:p w14:paraId="0CACE5D0"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Public transport consideration (in the cities)</w:t>
                  </w:r>
                </w:p>
                <w:p w14:paraId="5FF902E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Zones</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updated</w:t>
                  </w:r>
                  <w:proofErr w:type="spellEnd"/>
                  <w:r>
                    <w:rPr>
                      <w:rFonts w:ascii="Calibri" w:eastAsia="Calibri" w:hAnsi="Calibri" w:cs="Calibri"/>
                      <w:b/>
                      <w:color w:val="4F81BD"/>
                      <w:sz w:val="18"/>
                      <w:szCs w:val="18"/>
                    </w:rPr>
                    <w:t xml:space="preserve"> and </w:t>
                  </w:r>
                  <w:proofErr w:type="spellStart"/>
                  <w:r>
                    <w:rPr>
                      <w:rFonts w:ascii="Calibri" w:eastAsia="Calibri" w:hAnsi="Calibri" w:cs="Calibri"/>
                      <w:b/>
                      <w:color w:val="4F81BD"/>
                      <w:sz w:val="18"/>
                      <w:szCs w:val="18"/>
                    </w:rPr>
                    <w:t>detailed</w:t>
                  </w:r>
                  <w:proofErr w:type="spellEnd"/>
                </w:p>
                <w:p w14:paraId="6EF217E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Development/ </w:t>
                  </w:r>
                  <w:proofErr w:type="spellStart"/>
                  <w:r>
                    <w:rPr>
                      <w:rFonts w:ascii="Calibri" w:eastAsia="Calibri" w:hAnsi="Calibri" w:cs="Calibri"/>
                      <w:b/>
                      <w:color w:val="4F81BD"/>
                      <w:sz w:val="18"/>
                      <w:szCs w:val="18"/>
                    </w:rPr>
                    <w:t>elaboration</w:t>
                  </w:r>
                  <w:proofErr w:type="spellEnd"/>
                  <w:r>
                    <w:rPr>
                      <w:rFonts w:ascii="Calibri" w:eastAsia="Calibri" w:hAnsi="Calibri" w:cs="Calibri"/>
                      <w:b/>
                      <w:color w:val="4F81BD"/>
                      <w:sz w:val="16"/>
                      <w:szCs w:val="16"/>
                    </w:rPr>
                    <w:t xml:space="preserve"> </w:t>
                  </w:r>
                  <w:r>
                    <w:rPr>
                      <w:rFonts w:ascii="Calibri" w:eastAsia="Calibri" w:hAnsi="Calibri" w:cs="Calibri"/>
                      <w:b/>
                      <w:color w:val="4F81BD"/>
                      <w:sz w:val="18"/>
                      <w:szCs w:val="18"/>
                    </w:rPr>
                    <w:t xml:space="preserve">of </w:t>
                  </w:r>
                  <w:proofErr w:type="spellStart"/>
                  <w:r>
                    <w:rPr>
                      <w:rFonts w:ascii="Calibri" w:eastAsia="Calibri" w:hAnsi="Calibri" w:cs="Calibri"/>
                      <w:b/>
                      <w:color w:val="4F81BD"/>
                      <w:sz w:val="18"/>
                      <w:szCs w:val="18"/>
                    </w:rPr>
                    <w:t>demand</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matrices</w:t>
                  </w:r>
                  <w:proofErr w:type="spellEnd"/>
                </w:p>
                <w:p w14:paraId="588D23DC"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Variables of demand functions updated</w:t>
                  </w:r>
                </w:p>
              </w:tc>
            </w:tr>
            <w:tr w:rsidR="00600DEE" w14:paraId="7E6E8BA6" w14:textId="77777777" w:rsidTr="00105C0A">
              <w:trPr>
                <w:trHeight w:hRule="exact" w:val="1247"/>
              </w:trPr>
              <w:tc>
                <w:tcPr>
                  <w:tcW w:w="2163" w:type="dxa"/>
                  <w:tcBorders>
                    <w:top w:val="single" w:sz="4" w:space="0" w:color="FFFFFF"/>
                    <w:left w:val="single" w:sz="4" w:space="0" w:color="FFFFFF"/>
                    <w:bottom w:val="single" w:sz="4" w:space="0" w:color="FFFFFF"/>
                    <w:right w:val="nil"/>
                  </w:tcBorders>
                  <w:shd w:val="clear" w:color="auto" w:fill="DBE5F1"/>
                </w:tcPr>
                <w:p w14:paraId="1E70F308"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STAGE III</w:t>
                  </w:r>
                </w:p>
                <w:p w14:paraId="6E283D6A"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Calibration</w:t>
                  </w:r>
                </w:p>
                <w:p w14:paraId="18C8FE9A"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 xml:space="preserve"> and validation of the model</w:t>
                  </w: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71DC0D6B"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Calibration</w:t>
                  </w:r>
                  <w:proofErr w:type="spellEnd"/>
                  <w:r>
                    <w:rPr>
                      <w:rFonts w:ascii="Calibri" w:eastAsia="Calibri" w:hAnsi="Calibri" w:cs="Calibri"/>
                      <w:b/>
                      <w:color w:val="4F81BD"/>
                      <w:sz w:val="18"/>
                      <w:szCs w:val="18"/>
                    </w:rPr>
                    <w:t xml:space="preserve"> of the model </w:t>
                  </w:r>
                </w:p>
                <w:p w14:paraId="21FBB9E9"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Calibration</w:t>
                  </w:r>
                  <w:proofErr w:type="spellEnd"/>
                  <w:r>
                    <w:rPr>
                      <w:rFonts w:ascii="Calibri" w:eastAsia="Calibri" w:hAnsi="Calibri" w:cs="Calibri"/>
                      <w:b/>
                      <w:color w:val="4F81BD"/>
                      <w:sz w:val="18"/>
                      <w:szCs w:val="18"/>
                    </w:rPr>
                    <w:t xml:space="preserve"> of </w:t>
                  </w:r>
                  <w:proofErr w:type="spellStart"/>
                  <w:r>
                    <w:rPr>
                      <w:rFonts w:ascii="Calibri" w:eastAsia="Calibri" w:hAnsi="Calibri" w:cs="Calibri"/>
                      <w:b/>
                      <w:color w:val="4F81BD"/>
                      <w:sz w:val="18"/>
                      <w:szCs w:val="18"/>
                    </w:rPr>
                    <w:t>travel</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matrices</w:t>
                  </w:r>
                  <w:proofErr w:type="spellEnd"/>
                  <w:r>
                    <w:rPr>
                      <w:rFonts w:ascii="Calibri" w:eastAsia="Calibri" w:hAnsi="Calibri" w:cs="Calibri"/>
                      <w:b/>
                      <w:color w:val="4F81BD"/>
                      <w:sz w:val="18"/>
                      <w:szCs w:val="18"/>
                    </w:rPr>
                    <w:t xml:space="preserve"> </w:t>
                  </w:r>
                </w:p>
                <w:p w14:paraId="5117D2D2"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Calibration</w:t>
                  </w:r>
                  <w:proofErr w:type="spellEnd"/>
                  <w:r>
                    <w:rPr>
                      <w:rFonts w:ascii="Calibri" w:eastAsia="Calibri" w:hAnsi="Calibri" w:cs="Calibri"/>
                      <w:b/>
                      <w:color w:val="4F81BD"/>
                      <w:sz w:val="18"/>
                      <w:szCs w:val="18"/>
                    </w:rPr>
                    <w:t xml:space="preserve"> of </w:t>
                  </w:r>
                  <w:proofErr w:type="spellStart"/>
                  <w:r>
                    <w:rPr>
                      <w:rFonts w:ascii="Calibri" w:eastAsia="Calibri" w:hAnsi="Calibri" w:cs="Calibri"/>
                      <w:b/>
                      <w:color w:val="4F81BD"/>
                      <w:sz w:val="18"/>
                      <w:szCs w:val="18"/>
                    </w:rPr>
                    <w:t>demand</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function</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variables</w:t>
                  </w:r>
                  <w:proofErr w:type="spellEnd"/>
                  <w:r>
                    <w:rPr>
                      <w:rFonts w:ascii="Calibri" w:eastAsia="Calibri" w:hAnsi="Calibri" w:cs="Calibri"/>
                      <w:b/>
                      <w:color w:val="4F81BD"/>
                      <w:sz w:val="18"/>
                      <w:szCs w:val="18"/>
                    </w:rPr>
                    <w:t xml:space="preserve"> </w:t>
                  </w:r>
                </w:p>
                <w:p w14:paraId="19FF9E74" w14:textId="77777777" w:rsidR="00600DEE" w:rsidRDefault="00600DEE">
                  <w:pPr>
                    <w:spacing w:before="40" w:after="40"/>
                    <w:rPr>
                      <w:rFonts w:ascii="Calibri" w:eastAsia="Calibri" w:hAnsi="Calibri" w:cs="Calibri"/>
                      <w:b/>
                      <w:color w:val="4F81BD"/>
                      <w:sz w:val="18"/>
                      <w:szCs w:val="18"/>
                    </w:rPr>
                  </w:pPr>
                </w:p>
              </w:tc>
            </w:tr>
            <w:tr w:rsidR="00600DEE" w14:paraId="2C922EB8" w14:textId="77777777" w:rsidTr="001E05E4">
              <w:trPr>
                <w:trHeight w:val="1028"/>
              </w:trPr>
              <w:tc>
                <w:tcPr>
                  <w:tcW w:w="2163" w:type="dxa"/>
                  <w:tcBorders>
                    <w:top w:val="single" w:sz="4" w:space="0" w:color="FFFFFF"/>
                    <w:left w:val="single" w:sz="4" w:space="0" w:color="FFFFFF"/>
                    <w:bottom w:val="single" w:sz="4" w:space="0" w:color="FFFFFF"/>
                    <w:right w:val="nil"/>
                  </w:tcBorders>
                  <w:shd w:val="clear" w:color="auto" w:fill="DBE5F1"/>
                </w:tcPr>
                <w:p w14:paraId="71F05264"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STAGE IV</w:t>
                  </w:r>
                </w:p>
                <w:p w14:paraId="2B95C688" w14:textId="77777777" w:rsidR="00600DEE" w:rsidRDefault="00641FB5">
                  <w:pPr>
                    <w:spacing w:before="60" w:after="60" w:line="264" w:lineRule="auto"/>
                    <w:jc w:val="center"/>
                    <w:rPr>
                      <w:rFonts w:ascii="Calibri" w:eastAsia="Calibri" w:hAnsi="Calibri" w:cs="Calibri"/>
                      <w:b/>
                      <w:color w:val="4F81BD"/>
                      <w:sz w:val="18"/>
                      <w:szCs w:val="18"/>
                    </w:rPr>
                  </w:pPr>
                  <w:proofErr w:type="spellStart"/>
                  <w:r>
                    <w:rPr>
                      <w:rFonts w:ascii="Calibri" w:eastAsia="Calibri" w:hAnsi="Calibri" w:cs="Calibri"/>
                      <w:b/>
                      <w:color w:val="4F81BD"/>
                      <w:sz w:val="18"/>
                      <w:szCs w:val="18"/>
                    </w:rPr>
                    <w:t>Traffic</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forecasting</w:t>
                  </w:r>
                  <w:proofErr w:type="spellEnd"/>
                  <w:r>
                    <w:rPr>
                      <w:rFonts w:ascii="Calibri" w:eastAsia="Calibri" w:hAnsi="Calibri" w:cs="Calibri"/>
                      <w:b/>
                      <w:color w:val="4F81BD"/>
                      <w:sz w:val="18"/>
                      <w:szCs w:val="18"/>
                    </w:rPr>
                    <w:t xml:space="preserve"> - </w:t>
                  </w:r>
                  <w:proofErr w:type="spellStart"/>
                  <w:r>
                    <w:rPr>
                      <w:rFonts w:ascii="Calibri" w:eastAsia="Calibri" w:hAnsi="Calibri" w:cs="Calibri"/>
                      <w:b/>
                      <w:color w:val="4F81BD"/>
                      <w:sz w:val="18"/>
                      <w:szCs w:val="18"/>
                    </w:rPr>
                    <w:t>assumptions</w:t>
                  </w:r>
                  <w:proofErr w:type="spellEnd"/>
                </w:p>
                <w:p w14:paraId="2BEE2128" w14:textId="77777777" w:rsidR="00600DEE" w:rsidRDefault="00600DEE">
                  <w:pPr>
                    <w:spacing w:before="60" w:after="60" w:line="264" w:lineRule="auto"/>
                    <w:jc w:val="center"/>
                    <w:rPr>
                      <w:rFonts w:ascii="Calibri" w:eastAsia="Calibri" w:hAnsi="Calibri" w:cs="Calibri"/>
                      <w:b/>
                      <w:color w:val="4F81BD"/>
                      <w:sz w:val="18"/>
                      <w:szCs w:val="18"/>
                    </w:rPr>
                  </w:pP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697AB586" w14:textId="77777777" w:rsidR="00600DEE" w:rsidRPr="0045151D" w:rsidRDefault="00641FB5" w:rsidP="00D5736B">
                  <w:pPr>
                    <w:numPr>
                      <w:ilvl w:val="0"/>
                      <w:numId w:val="49"/>
                    </w:numPr>
                    <w:spacing w:before="40" w:after="4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Definition of non-investment and investment option</w:t>
                  </w:r>
                </w:p>
                <w:p w14:paraId="2392C626"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Network development </w:t>
                  </w:r>
                  <w:proofErr w:type="spellStart"/>
                  <w:r>
                    <w:rPr>
                      <w:rFonts w:ascii="Calibri" w:eastAsia="Calibri" w:hAnsi="Calibri" w:cs="Calibri"/>
                      <w:b/>
                      <w:color w:val="4F81BD"/>
                      <w:sz w:val="18"/>
                      <w:szCs w:val="18"/>
                    </w:rPr>
                    <w:t>analysis</w:t>
                  </w:r>
                  <w:proofErr w:type="spellEnd"/>
                  <w:r>
                    <w:rPr>
                      <w:rFonts w:ascii="Calibri" w:eastAsia="Calibri" w:hAnsi="Calibri" w:cs="Calibri"/>
                      <w:b/>
                      <w:color w:val="4F81BD"/>
                      <w:sz w:val="18"/>
                      <w:szCs w:val="18"/>
                    </w:rPr>
                    <w:t xml:space="preserve"> </w:t>
                  </w:r>
                </w:p>
                <w:p w14:paraId="50C86BE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Develop</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growth</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rates</w:t>
                  </w:r>
                  <w:proofErr w:type="spellEnd"/>
                  <w:r>
                    <w:rPr>
                      <w:rFonts w:ascii="Calibri" w:eastAsia="Calibri" w:hAnsi="Calibri" w:cs="Calibri"/>
                      <w:b/>
                      <w:color w:val="4F81BD"/>
                      <w:sz w:val="18"/>
                      <w:szCs w:val="18"/>
                    </w:rPr>
                    <w:t xml:space="preserve"> </w:t>
                  </w:r>
                </w:p>
                <w:p w14:paraId="33E17848"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Apply</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growth</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rates</w:t>
                  </w:r>
                  <w:proofErr w:type="spellEnd"/>
                  <w:r>
                    <w:rPr>
                      <w:rFonts w:ascii="Calibri" w:eastAsia="Calibri" w:hAnsi="Calibri" w:cs="Calibri"/>
                      <w:b/>
                      <w:color w:val="4F81BD"/>
                      <w:sz w:val="18"/>
                      <w:szCs w:val="18"/>
                    </w:rPr>
                    <w:t xml:space="preserve"> to </w:t>
                  </w:r>
                  <w:proofErr w:type="spellStart"/>
                  <w:r>
                    <w:rPr>
                      <w:rFonts w:ascii="Calibri" w:eastAsia="Calibri" w:hAnsi="Calibri" w:cs="Calibri"/>
                      <w:b/>
                      <w:color w:val="4F81BD"/>
                      <w:sz w:val="18"/>
                      <w:szCs w:val="18"/>
                    </w:rPr>
                    <w:t>demand</w:t>
                  </w:r>
                  <w:proofErr w:type="spellEnd"/>
                </w:p>
                <w:p w14:paraId="6BD02E6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Include</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external</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impacts</w:t>
                  </w:r>
                  <w:proofErr w:type="spellEnd"/>
                </w:p>
              </w:tc>
            </w:tr>
            <w:tr w:rsidR="00600DEE" w14:paraId="0159CA3A" w14:textId="77777777" w:rsidTr="00105C0A">
              <w:trPr>
                <w:trHeight w:hRule="exact" w:val="1247"/>
              </w:trPr>
              <w:tc>
                <w:tcPr>
                  <w:tcW w:w="2163" w:type="dxa"/>
                  <w:tcBorders>
                    <w:top w:val="single" w:sz="4" w:space="0" w:color="FFFFFF"/>
                    <w:left w:val="single" w:sz="4" w:space="0" w:color="FFFFFF"/>
                    <w:bottom w:val="single" w:sz="4" w:space="0" w:color="FFFFFF"/>
                    <w:right w:val="nil"/>
                  </w:tcBorders>
                  <w:shd w:val="clear" w:color="auto" w:fill="DBE5F1"/>
                </w:tcPr>
                <w:p w14:paraId="7F170CF3"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STAGE V</w:t>
                  </w:r>
                </w:p>
                <w:p w14:paraId="3258CAC0"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Traffic forecasting estimation. Output reports</w:t>
                  </w: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136706F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Traffic</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flows</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estimation</w:t>
                  </w:r>
                  <w:proofErr w:type="spellEnd"/>
                </w:p>
                <w:p w14:paraId="7283C637"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Analysis of the </w:t>
                  </w:r>
                  <w:proofErr w:type="spellStart"/>
                  <w:r>
                    <w:rPr>
                      <w:rFonts w:ascii="Calibri" w:eastAsia="Calibri" w:hAnsi="Calibri" w:cs="Calibri"/>
                      <w:b/>
                      <w:color w:val="4F81BD"/>
                      <w:sz w:val="18"/>
                      <w:szCs w:val="18"/>
                    </w:rPr>
                    <w:t>outputs</w:t>
                  </w:r>
                  <w:proofErr w:type="spellEnd"/>
                </w:p>
                <w:p w14:paraId="44580F8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proofErr w:type="spellStart"/>
                  <w:r>
                    <w:rPr>
                      <w:rFonts w:ascii="Calibri" w:eastAsia="Calibri" w:hAnsi="Calibri" w:cs="Calibri"/>
                      <w:b/>
                      <w:color w:val="4F81BD"/>
                      <w:sz w:val="18"/>
                      <w:szCs w:val="18"/>
                    </w:rPr>
                    <w:t>Output</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reports</w:t>
                  </w:r>
                  <w:proofErr w:type="spellEnd"/>
                  <w:r>
                    <w:rPr>
                      <w:rFonts w:ascii="Calibri" w:eastAsia="Calibri" w:hAnsi="Calibri" w:cs="Calibri"/>
                      <w:b/>
                      <w:color w:val="4F81BD"/>
                      <w:sz w:val="18"/>
                      <w:szCs w:val="18"/>
                    </w:rPr>
                    <w:t xml:space="preserve"> development</w:t>
                  </w:r>
                </w:p>
              </w:tc>
            </w:tr>
          </w:tbl>
          <w:p w14:paraId="6CAFCE69"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Based on “The Use of Transport Models in Transport Planning and Project Appraisal”, JASPERS, February 2014.</w:t>
            </w:r>
          </w:p>
          <w:p w14:paraId="64757CBD" w14:textId="77777777" w:rsidR="003E2A27" w:rsidRPr="00FD7BF1" w:rsidRDefault="00641FB5" w:rsidP="003E2A27">
            <w:pPr>
              <w:pStyle w:val="anxnormalZnak"/>
              <w:spacing w:after="120"/>
              <w:ind w:left="0"/>
              <w:rPr>
                <w:rFonts w:asciiTheme="minorHAnsi" w:hAnsiTheme="minorHAnsi" w:cstheme="minorHAnsi"/>
                <w:spacing w:val="-3"/>
                <w:lang w:val="en-GB"/>
              </w:rPr>
            </w:pPr>
            <w:r w:rsidRPr="0045151D">
              <w:rPr>
                <w:rFonts w:ascii="Calibri" w:eastAsia="Calibri" w:hAnsi="Calibri" w:cs="Calibri"/>
                <w:color w:val="000000"/>
                <w:lang w:val="en-GB"/>
              </w:rPr>
              <w:lastRenderedPageBreak/>
              <w:t xml:space="preserve">The detailed assumptions and methodology for CBA traffic forecasts for projects whose beneficiary is </w:t>
            </w:r>
            <w:proofErr w:type="spellStart"/>
            <w:r w:rsidRPr="0045151D">
              <w:rPr>
                <w:rFonts w:ascii="Calibri" w:eastAsia="Calibri" w:hAnsi="Calibri" w:cs="Calibri"/>
                <w:color w:val="000000"/>
                <w:lang w:val="en-GB"/>
              </w:rPr>
              <w:t>GDDKiA</w:t>
            </w:r>
            <w:proofErr w:type="spellEnd"/>
            <w:r w:rsidRPr="0045151D">
              <w:rPr>
                <w:rFonts w:ascii="Calibri" w:eastAsia="Calibri" w:hAnsi="Calibri" w:cs="Calibri"/>
                <w:color w:val="000000"/>
                <w:lang w:val="en-GB"/>
              </w:rPr>
              <w:t xml:space="preserve"> are presented in Appendix B</w:t>
            </w:r>
            <w:r w:rsidR="003E2A27" w:rsidRPr="00FD7BF1">
              <w:rPr>
                <w:rFonts w:asciiTheme="minorHAnsi" w:hAnsiTheme="minorHAnsi" w:cstheme="minorHAnsi"/>
                <w:spacing w:val="-3"/>
                <w:lang w:val="en-GB"/>
              </w:rPr>
              <w:t xml:space="preserve">. </w:t>
            </w:r>
          </w:p>
          <w:p w14:paraId="0A3F4B4F" w14:textId="77777777" w:rsidR="003E2A27" w:rsidRDefault="003E2A27" w:rsidP="003E2A27">
            <w:pPr>
              <w:pStyle w:val="anxnormalZnak"/>
              <w:spacing w:after="120"/>
              <w:ind w:left="0"/>
              <w:rPr>
                <w:rFonts w:asciiTheme="minorHAnsi" w:hAnsiTheme="minorHAnsi" w:cstheme="minorHAnsi"/>
                <w:spacing w:val="-3"/>
                <w:lang w:val="en-GB"/>
              </w:rPr>
            </w:pPr>
            <w:r w:rsidRPr="00371A33">
              <w:rPr>
                <w:rFonts w:asciiTheme="minorHAnsi" w:hAnsiTheme="minorHAnsi" w:cstheme="minorHAnsi"/>
                <w:spacing w:val="-3"/>
                <w:lang w:val="en-GB"/>
              </w:rPr>
              <w:t>During the process of preparation or verification of the model assumptions the particular attention should be paid to the proper definition of traffic flow capacity and resistance function for different categories of road sections in the model.</w:t>
            </w:r>
          </w:p>
          <w:p w14:paraId="48D22DCB" w14:textId="46E5442E"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233953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b/>
                <w:i/>
                <w:color w:val="000000"/>
                <w:sz w:val="20"/>
                <w:szCs w:val="20"/>
                <w:u w:val="single"/>
                <w:lang w:val="en-GB"/>
              </w:rPr>
              <w:t>Note:</w:t>
            </w:r>
            <w:r w:rsidRPr="0045151D">
              <w:rPr>
                <w:rFonts w:ascii="Calibri" w:eastAsia="Calibri" w:hAnsi="Calibri" w:cs="Calibri"/>
                <w:color w:val="000000"/>
                <w:sz w:val="20"/>
                <w:szCs w:val="20"/>
                <w:lang w:val="en-GB"/>
              </w:rPr>
              <w:t xml:space="preserve"> Generally, traffic forecasts conducted according to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traffic models and methods will not consider induced traffic on the road network.</w:t>
            </w:r>
          </w:p>
        </w:tc>
      </w:tr>
    </w:tbl>
    <w:p w14:paraId="53F91A50" w14:textId="16859938" w:rsidR="00600DEE" w:rsidRDefault="00641FB5" w:rsidP="00D5736B">
      <w:pPr>
        <w:pStyle w:val="Nagwek3"/>
        <w:numPr>
          <w:ilvl w:val="2"/>
          <w:numId w:val="17"/>
        </w:numPr>
        <w:ind w:left="0" w:firstLine="0"/>
        <w:rPr>
          <w:rFonts w:ascii="Calibri" w:eastAsia="Calibri" w:hAnsi="Calibri" w:cs="Calibri"/>
          <w:color w:val="4F81BD"/>
        </w:rPr>
      </w:pPr>
      <w:bookmarkStart w:id="46" w:name="_Toc95377977"/>
      <w:r>
        <w:rPr>
          <w:rFonts w:ascii="Calibri" w:eastAsia="Calibri" w:hAnsi="Calibri" w:cs="Calibri"/>
          <w:color w:val="4F81BD"/>
        </w:rPr>
        <w:lastRenderedPageBreak/>
        <w:t>Wyniki prognozy ruchu</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 xml:space="preserve">1.8.3   </w:t>
      </w:r>
      <w:proofErr w:type="spellStart"/>
      <w:r>
        <w:rPr>
          <w:rFonts w:ascii="Calibri" w:eastAsia="Calibri" w:hAnsi="Calibri" w:cs="Calibri"/>
          <w:i/>
          <w:color w:val="4F81BD"/>
        </w:rPr>
        <w:t>Traffic</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forecast</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outputs</w:t>
      </w:r>
      <w:bookmarkEnd w:id="46"/>
      <w:proofErr w:type="spellEnd"/>
      <w:r>
        <w:rPr>
          <w:rFonts w:ascii="Calibri" w:eastAsia="Calibri" w:hAnsi="Calibri" w:cs="Calibri"/>
          <w:color w:val="4F81BD"/>
        </w:rPr>
        <w:t xml:space="preserve"> </w:t>
      </w:r>
    </w:p>
    <w:tbl>
      <w:tblPr>
        <w:tblStyle w:val="aff2"/>
        <w:tblW w:w="14571" w:type="dxa"/>
        <w:tblLayout w:type="fixed"/>
        <w:tblLook w:val="0400" w:firstRow="0" w:lastRow="0" w:firstColumn="0" w:lastColumn="0" w:noHBand="0" w:noVBand="1"/>
      </w:tblPr>
      <w:tblGrid>
        <w:gridCol w:w="7367"/>
        <w:gridCol w:w="7204"/>
      </w:tblGrid>
      <w:tr w:rsidR="00600DEE" w:rsidRPr="007463B9" w14:paraId="79FEE6F2" w14:textId="77777777">
        <w:tc>
          <w:tcPr>
            <w:tcW w:w="7367" w:type="dxa"/>
            <w:tcBorders>
              <w:right w:val="single" w:sz="4" w:space="0" w:color="000000"/>
            </w:tcBorders>
            <w:tcMar>
              <w:left w:w="284" w:type="dxa"/>
              <w:right w:w="284" w:type="dxa"/>
            </w:tcMar>
          </w:tcPr>
          <w:p w14:paraId="16735B3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Główne założenia modelu oraz wyniki prognozowania ruchu powinny być przedstawione w ramach AKK (lub dołączone jako osobny dokument), w tym jako minimum:</w:t>
            </w:r>
          </w:p>
          <w:p w14:paraId="627DF808"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mapa przedstawiająca sieć, w obrębie której przeprowadzano analizy projektu; </w:t>
            </w:r>
          </w:p>
          <w:p w14:paraId="15A14292"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dane dotyczące wielkości potoków ruchu w roku bazowym oraz wyniki, co najmniej dwóch poprzednich GPR-ów (na istniejących drogach w ramach sieci określonej powyżej), w podziale na kategorie pojazdów zgodnie z GPR (lub co najmniej z podziałem na pojazdy lekkie i ciężkie), wraz z podaniem odpowiednich zmian;</w:t>
            </w:r>
          </w:p>
          <w:p w14:paraId="66839196"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opis metodyki prognozowania oraz założeń;</w:t>
            </w:r>
          </w:p>
          <w:p w14:paraId="60750A52"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wskaźniki wzrostu ruchu; </w:t>
            </w:r>
          </w:p>
          <w:p w14:paraId="0519DC09"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wyniki prognozy ruchu na sieci drogowej obszaru oddziaływania projektu dla wariantów inwestycyjnych i bezinwestycyjnego: </w:t>
            </w:r>
          </w:p>
          <w:p w14:paraId="4C1AFC7E" w14:textId="77777777" w:rsidR="00600DEE" w:rsidRDefault="00641FB5" w:rsidP="00D5736B">
            <w:pPr>
              <w:numPr>
                <w:ilvl w:val="1"/>
                <w:numId w:val="52"/>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wyniki uzyskane  bezpośrednio z modelu:</w:t>
            </w:r>
          </w:p>
          <w:p w14:paraId="42554298"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prognozowane natężenia ruchu na poszczególnych odcinkach, w relacjach źródło-cel, w SDR (</w:t>
            </w:r>
            <w:proofErr w:type="spellStart"/>
            <w:r>
              <w:rPr>
                <w:rFonts w:ascii="Calibri" w:eastAsia="Calibri" w:hAnsi="Calibri" w:cs="Calibri"/>
                <w:color w:val="000000"/>
                <w:sz w:val="20"/>
                <w:szCs w:val="20"/>
              </w:rPr>
              <w:t>poj</w:t>
            </w:r>
            <w:proofErr w:type="spellEnd"/>
            <w:r>
              <w:rPr>
                <w:rFonts w:ascii="Calibri" w:eastAsia="Calibri" w:hAnsi="Calibri" w:cs="Calibri"/>
                <w:color w:val="000000"/>
                <w:sz w:val="20"/>
                <w:szCs w:val="20"/>
              </w:rPr>
              <w:t xml:space="preserve">/dobę), </w:t>
            </w:r>
          </w:p>
          <w:p w14:paraId="5BE88C5F"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średnie odległości podróży,</w:t>
            </w:r>
          </w:p>
          <w:p w14:paraId="035DF979"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ruch źródło-cel dla poszczególnych odcinków sieci,</w:t>
            </w:r>
          </w:p>
          <w:p w14:paraId="47384C15"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czas podróży na określonych odcinkach lub kategoriach odcinków o określonej długości, </w:t>
            </w:r>
          </w:p>
          <w:p w14:paraId="55CB9326"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prędkości podróży na poszczególnych odcinkach</w:t>
            </w:r>
          </w:p>
          <w:p w14:paraId="7DD90A9E" w14:textId="77777777" w:rsidR="00600DEE" w:rsidRDefault="00641FB5">
            <w:p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oraz </w:t>
            </w:r>
          </w:p>
          <w:p w14:paraId="0A794C3C" w14:textId="77777777" w:rsidR="00600DEE" w:rsidRDefault="00641FB5" w:rsidP="00D5736B">
            <w:pPr>
              <w:numPr>
                <w:ilvl w:val="1"/>
                <w:numId w:val="52"/>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wskaźniki pokazujące wydajność sieci: </w:t>
            </w:r>
          </w:p>
          <w:p w14:paraId="6A6E3E96"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liczba podróży,</w:t>
            </w:r>
          </w:p>
          <w:p w14:paraId="2263E174"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praca przewozowa na określonej sieci w </w:t>
            </w:r>
            <w:proofErr w:type="spellStart"/>
            <w:r>
              <w:rPr>
                <w:rFonts w:ascii="Calibri" w:eastAsia="Calibri" w:hAnsi="Calibri" w:cs="Calibri"/>
                <w:color w:val="000000"/>
                <w:sz w:val="20"/>
                <w:szCs w:val="20"/>
              </w:rPr>
              <w:t>poj</w:t>
            </w:r>
            <w:proofErr w:type="spellEnd"/>
            <w:r>
              <w:rPr>
                <w:rFonts w:ascii="Calibri" w:eastAsia="Calibri" w:hAnsi="Calibri" w:cs="Calibri"/>
                <w:color w:val="000000"/>
                <w:sz w:val="20"/>
                <w:szCs w:val="20"/>
              </w:rPr>
              <w:t>-km i </w:t>
            </w:r>
            <w:proofErr w:type="spellStart"/>
            <w:r>
              <w:rPr>
                <w:rFonts w:ascii="Calibri" w:eastAsia="Calibri" w:hAnsi="Calibri" w:cs="Calibri"/>
                <w:color w:val="000000"/>
                <w:sz w:val="20"/>
                <w:szCs w:val="20"/>
              </w:rPr>
              <w:t>poj-godz</w:t>
            </w:r>
            <w:proofErr w:type="spellEnd"/>
            <w:r>
              <w:rPr>
                <w:rFonts w:ascii="Calibri" w:eastAsia="Calibri" w:hAnsi="Calibri" w:cs="Calibri"/>
                <w:color w:val="000000"/>
                <w:sz w:val="20"/>
                <w:szCs w:val="20"/>
              </w:rPr>
              <w:t xml:space="preserve"> w podziale na kategorie dróg/przedziały prędkości,</w:t>
            </w:r>
          </w:p>
          <w:p w14:paraId="6CCCD443" w14:textId="0374E601"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prognozę warunków ruchu w analizowanym okresie (poziom swobody ruchu) pokazującą wyliczone potoki ruchu w odniesieniu do przepustowości w okresie referencyjnym. </w:t>
            </w:r>
          </w:p>
          <w:p w14:paraId="08F8063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Wyniki prognozy ruchu wykorzystywane dla celów AKK (tj. długości odcinków, SDR </w:t>
            </w:r>
            <w:r>
              <w:rPr>
                <w:rFonts w:ascii="Calibri" w:eastAsia="Calibri" w:hAnsi="Calibri" w:cs="Calibri"/>
                <w:color w:val="000000"/>
                <w:sz w:val="20"/>
                <w:szCs w:val="20"/>
              </w:rPr>
              <w:br/>
              <w:t>i/lub prace przewozowe wyrażone w </w:t>
            </w:r>
            <w:proofErr w:type="spellStart"/>
            <w:r>
              <w:rPr>
                <w:rFonts w:ascii="Calibri" w:eastAsia="Calibri" w:hAnsi="Calibri" w:cs="Calibri"/>
                <w:color w:val="000000"/>
                <w:sz w:val="20"/>
                <w:szCs w:val="20"/>
              </w:rPr>
              <w:t>pojazdokilometrach</w:t>
            </w:r>
            <w:proofErr w:type="spellEnd"/>
            <w:r>
              <w:rPr>
                <w:rFonts w:ascii="Calibri" w:eastAsia="Calibri" w:hAnsi="Calibri" w:cs="Calibri"/>
                <w:color w:val="000000"/>
                <w:sz w:val="20"/>
                <w:szCs w:val="20"/>
              </w:rPr>
              <w:t xml:space="preserve"> i </w:t>
            </w:r>
            <w:proofErr w:type="spellStart"/>
            <w:r>
              <w:rPr>
                <w:rFonts w:ascii="Calibri" w:eastAsia="Calibri" w:hAnsi="Calibri" w:cs="Calibri"/>
                <w:color w:val="000000"/>
                <w:sz w:val="20"/>
                <w:szCs w:val="20"/>
              </w:rPr>
              <w:t>pojazdogodzinach</w:t>
            </w:r>
            <w:proofErr w:type="spellEnd"/>
            <w:r>
              <w:rPr>
                <w:rFonts w:ascii="Calibri" w:eastAsia="Calibri" w:hAnsi="Calibri" w:cs="Calibri"/>
                <w:color w:val="000000"/>
                <w:sz w:val="20"/>
                <w:szCs w:val="20"/>
              </w:rPr>
              <w:t xml:space="preserve"> dla danej sieci drogowej) powinny być przedstawiane z uwzględnieniem podziału na kategorie </w:t>
            </w:r>
            <w:r>
              <w:rPr>
                <w:rFonts w:ascii="Calibri" w:eastAsia="Calibri" w:hAnsi="Calibri" w:cs="Calibri"/>
                <w:color w:val="000000"/>
                <w:sz w:val="20"/>
                <w:szCs w:val="20"/>
              </w:rPr>
              <w:br/>
              <w:t xml:space="preserve">i/lub grupy dróg (np. w zależności od zakresu analizowanej sieci dróg) zgodnie </w:t>
            </w:r>
            <w:r>
              <w:rPr>
                <w:rFonts w:ascii="Calibri" w:eastAsia="Calibri" w:hAnsi="Calibri" w:cs="Calibri"/>
                <w:color w:val="000000"/>
                <w:sz w:val="20"/>
                <w:szCs w:val="20"/>
              </w:rPr>
              <w:br/>
              <w:t>z krajowym modelem ruchu udostępnianym przez GDDKiA:</w:t>
            </w:r>
          </w:p>
          <w:p w14:paraId="2E13AA86"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Autostrady</w:t>
            </w:r>
          </w:p>
          <w:p w14:paraId="4381AD26"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ekspresowe dwujezdniowe</w:t>
            </w:r>
          </w:p>
          <w:p w14:paraId="60DC55CE"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ekspresowe jednojezdniowe</w:t>
            </w:r>
          </w:p>
          <w:p w14:paraId="7FD4B937"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ekspresowe jednojezdniowe z dodatkowym pasem ruchu</w:t>
            </w:r>
          </w:p>
          <w:p w14:paraId="1ED27D13"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zamiejskie ogólnodostępne dwujezdniowe</w:t>
            </w:r>
          </w:p>
          <w:p w14:paraId="0C1512C1"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zamiejskie ogólnodostępne jednojezdniowe</w:t>
            </w:r>
          </w:p>
          <w:p w14:paraId="1F7D2937"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Ulice miejskie ogólnodostępne dwujezdniowe</w:t>
            </w:r>
          </w:p>
          <w:p w14:paraId="1FA2F82D"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Ulice miejskie ogólnodostępne jednojezdniowe</w:t>
            </w:r>
          </w:p>
          <w:p w14:paraId="4A179DFB"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Inne.</w:t>
            </w:r>
          </w:p>
          <w:p w14:paraId="0714728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Kategorie pojazdów zwykle brane pod uwagę przy prezentacji wyników prognozy są następujące:</w:t>
            </w:r>
          </w:p>
          <w:p w14:paraId="367ACF22"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Samochody osobowe</w:t>
            </w:r>
          </w:p>
          <w:p w14:paraId="20690B45"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Samochody dostawcze </w:t>
            </w:r>
          </w:p>
          <w:p w14:paraId="78E20737"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Samochody ciężarowe bez przyczepy </w:t>
            </w:r>
          </w:p>
          <w:p w14:paraId="123BCF2E"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Samochody ciężarowe z przyczepą</w:t>
            </w:r>
          </w:p>
          <w:p w14:paraId="1B87D77A"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Autobusy.</w:t>
            </w:r>
          </w:p>
          <w:p w14:paraId="45622CE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Kategorie pojazdów, które można zamiennie uwzględnić są następujące:</w:t>
            </w:r>
          </w:p>
          <w:p w14:paraId="62615BA1"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LV</w:t>
            </w:r>
            <w:r>
              <w:rPr>
                <w:rFonts w:ascii="Calibri" w:eastAsia="Calibri" w:hAnsi="Calibri" w:cs="Calibri"/>
                <w:color w:val="000000"/>
                <w:sz w:val="20"/>
                <w:szCs w:val="20"/>
              </w:rPr>
              <w:t xml:space="preserve"> – samochody lekkie, masa całkowita &lt; 3,5 tony</w:t>
            </w:r>
          </w:p>
          <w:p w14:paraId="4C0514CA"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HGV</w:t>
            </w:r>
            <w:r>
              <w:rPr>
                <w:rFonts w:ascii="Calibri" w:eastAsia="Calibri" w:hAnsi="Calibri" w:cs="Calibri"/>
                <w:color w:val="000000"/>
                <w:sz w:val="20"/>
                <w:szCs w:val="20"/>
              </w:rPr>
              <w:t xml:space="preserve"> – samochody ciężkie, masa całkowita &gt; 3,5 tony (w tym autobusy).</w:t>
            </w:r>
          </w:p>
        </w:tc>
        <w:tc>
          <w:tcPr>
            <w:tcW w:w="7204" w:type="dxa"/>
            <w:tcBorders>
              <w:left w:val="single" w:sz="4" w:space="0" w:color="000000"/>
            </w:tcBorders>
            <w:tcMar>
              <w:left w:w="284" w:type="dxa"/>
              <w:right w:w="284" w:type="dxa"/>
            </w:tcMar>
          </w:tcPr>
          <w:p w14:paraId="79FB7966" w14:textId="1BD831E4" w:rsidR="00600DEE" w:rsidRPr="0045151D" w:rsidRDefault="003E2A27">
            <w:pPr>
              <w:pBdr>
                <w:top w:val="nil"/>
                <w:left w:val="nil"/>
                <w:bottom w:val="nil"/>
                <w:right w:val="nil"/>
                <w:between w:val="nil"/>
              </w:pBdr>
              <w:spacing w:before="120" w:after="120"/>
              <w:jc w:val="both"/>
              <w:rPr>
                <w:rFonts w:ascii="Calibri" w:eastAsia="Calibri" w:hAnsi="Calibri" w:cs="Calibri"/>
                <w:color w:val="000000"/>
                <w:sz w:val="20"/>
                <w:szCs w:val="20"/>
                <w:lang w:val="en-GB"/>
              </w:rPr>
            </w:pPr>
            <w:r>
              <w:rPr>
                <w:rFonts w:ascii="Calibri" w:eastAsia="Calibri" w:hAnsi="Calibri" w:cs="Calibri"/>
                <w:color w:val="000000"/>
                <w:sz w:val="20"/>
                <w:szCs w:val="20"/>
                <w:lang w:val="en-GB"/>
              </w:rPr>
              <w:lastRenderedPageBreak/>
              <w:t xml:space="preserve">Main traffic model </w:t>
            </w:r>
            <w:r w:rsidR="00641FB5" w:rsidRPr="0045151D">
              <w:rPr>
                <w:rFonts w:ascii="Calibri" w:eastAsia="Calibri" w:hAnsi="Calibri" w:cs="Calibri"/>
                <w:color w:val="000000"/>
                <w:sz w:val="20"/>
                <w:szCs w:val="20"/>
                <w:lang w:val="en-GB"/>
              </w:rPr>
              <w:t>assumptions and forecasting results should be summarised in the CBA report (or attached as a separate document) including, at least, the following elements:</w:t>
            </w:r>
          </w:p>
          <w:p w14:paraId="3F6D2D19"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location map showing the network within which the analysis of the project is carried out;</w:t>
            </w:r>
          </w:p>
          <w:p w14:paraId="5A67F96A"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presentation of the base year traffic flows and historic traffic evolution (on existing roads of the relevant network as presented above), broken down into vehicle categories as defined in the GPR – national traffic survey (or, at least, distinguishing Light Vehicles (LV) and Heavy Goods Vehicles (HGV)), from at least two last GPR and the respective calculated changes;</w:t>
            </w:r>
          </w:p>
          <w:p w14:paraId="61D82F79"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description of forecasting methodology and assumptions made;</w:t>
            </w:r>
          </w:p>
          <w:p w14:paraId="3DA2183D"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traffic</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growths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indicators</w:t>
            </w:r>
            <w:proofErr w:type="spellEnd"/>
            <w:r>
              <w:rPr>
                <w:rFonts w:ascii="Calibri" w:eastAsia="Calibri" w:hAnsi="Calibri" w:cs="Calibri"/>
                <w:color w:val="000000"/>
                <w:sz w:val="20"/>
                <w:szCs w:val="20"/>
              </w:rPr>
              <w:t>;</w:t>
            </w:r>
          </w:p>
          <w:p w14:paraId="0E88A97D"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traffic modelling outputs for With and Without-the-Project options on the relevant network: </w:t>
            </w:r>
          </w:p>
          <w:p w14:paraId="2BDAE545" w14:textId="77777777" w:rsidR="00600DEE" w:rsidRPr="0045151D" w:rsidRDefault="00641FB5" w:rsidP="00D5736B">
            <w:pPr>
              <w:numPr>
                <w:ilvl w:val="0"/>
                <w:numId w:val="56"/>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direct outputs from the model:</w:t>
            </w:r>
          </w:p>
          <w:p w14:paraId="079A5F23"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forecasted demand on each section, between the O/D pairs, in average annual daily traffic (AADT)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 xml:space="preserve">/day], </w:t>
            </w:r>
          </w:p>
          <w:p w14:paraId="484077BD"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average length of the trips,</w:t>
            </w:r>
          </w:p>
          <w:p w14:paraId="6C3E6613"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O/D pairs traffic for individual sections, </w:t>
            </w:r>
          </w:p>
          <w:p w14:paraId="30DECDA1"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travel time along a specific section/series of sections of indicated </w:t>
            </w:r>
            <w:proofErr w:type="spellStart"/>
            <w:r w:rsidRPr="0045151D">
              <w:rPr>
                <w:rFonts w:ascii="Calibri" w:eastAsia="Calibri" w:hAnsi="Calibri" w:cs="Calibri"/>
                <w:color w:val="000000"/>
                <w:sz w:val="20"/>
                <w:szCs w:val="20"/>
                <w:lang w:val="en-GB"/>
              </w:rPr>
              <w:t>lenght</w:t>
            </w:r>
            <w:proofErr w:type="spellEnd"/>
            <w:r w:rsidRPr="0045151D">
              <w:rPr>
                <w:rFonts w:ascii="Calibri" w:eastAsia="Calibri" w:hAnsi="Calibri" w:cs="Calibri"/>
                <w:color w:val="000000"/>
                <w:sz w:val="20"/>
                <w:szCs w:val="20"/>
                <w:lang w:val="en-GB"/>
              </w:rPr>
              <w:t>,</w:t>
            </w:r>
          </w:p>
          <w:p w14:paraId="6E837486" w14:textId="77777777" w:rsidR="00600DEE"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speed</w:t>
            </w:r>
            <w:proofErr w:type="spellEnd"/>
            <w:r>
              <w:rPr>
                <w:rFonts w:ascii="Calibri" w:eastAsia="Calibri" w:hAnsi="Calibri" w:cs="Calibri"/>
                <w:color w:val="000000"/>
                <w:sz w:val="20"/>
                <w:szCs w:val="20"/>
              </w:rPr>
              <w:t xml:space="preserve"> on </w:t>
            </w:r>
            <w:proofErr w:type="spellStart"/>
            <w:r>
              <w:rPr>
                <w:rFonts w:ascii="Calibri" w:eastAsia="Calibri" w:hAnsi="Calibri" w:cs="Calibri"/>
                <w:color w:val="000000"/>
                <w:sz w:val="20"/>
                <w:szCs w:val="20"/>
              </w:rPr>
              <w:t>sections</w:t>
            </w:r>
            <w:proofErr w:type="spellEnd"/>
          </w:p>
          <w:p w14:paraId="441A2D1E" w14:textId="77777777" w:rsidR="00600DEE" w:rsidRDefault="00641FB5">
            <w:p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 xml:space="preserve">and </w:t>
            </w:r>
          </w:p>
          <w:p w14:paraId="3B41BC3A" w14:textId="77777777" w:rsidR="00600DEE" w:rsidRDefault="00641FB5" w:rsidP="00D5736B">
            <w:pPr>
              <w:numPr>
                <w:ilvl w:val="0"/>
                <w:numId w:val="56"/>
              </w:num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 xml:space="preserve"> network performance </w:t>
            </w:r>
            <w:proofErr w:type="spellStart"/>
            <w:r>
              <w:rPr>
                <w:rFonts w:ascii="Calibri" w:eastAsia="Calibri" w:hAnsi="Calibri" w:cs="Calibri"/>
                <w:color w:val="000000"/>
                <w:sz w:val="20"/>
                <w:szCs w:val="20"/>
              </w:rPr>
              <w:t>indicators</w:t>
            </w:r>
            <w:proofErr w:type="spellEnd"/>
            <w:r>
              <w:rPr>
                <w:rFonts w:ascii="Calibri" w:eastAsia="Calibri" w:hAnsi="Calibri" w:cs="Calibri"/>
                <w:color w:val="000000"/>
                <w:sz w:val="20"/>
                <w:szCs w:val="20"/>
              </w:rPr>
              <w:t xml:space="preserve">: </w:t>
            </w:r>
          </w:p>
          <w:p w14:paraId="63DEDF39" w14:textId="77777777" w:rsidR="00600DEE"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number</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trips</w:t>
            </w:r>
            <w:proofErr w:type="spellEnd"/>
            <w:r>
              <w:rPr>
                <w:rFonts w:ascii="Calibri" w:eastAsia="Calibri" w:hAnsi="Calibri" w:cs="Calibri"/>
                <w:color w:val="000000"/>
                <w:sz w:val="20"/>
                <w:szCs w:val="20"/>
              </w:rPr>
              <w:t xml:space="preserve">, </w:t>
            </w:r>
          </w:p>
          <w:p w14:paraId="78268BF5"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transport work on the considered network in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 xml:space="preserve">-km and in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-h, distinguishing by categories of roads/speed ranges;</w:t>
            </w:r>
          </w:p>
          <w:p w14:paraId="79D438AD"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assessment of the project traffic flow conditions (Level of Service) as regards the calculated traffic flows vs. capacity along the reference period.</w:t>
            </w:r>
          </w:p>
          <w:p w14:paraId="5D8F3CA8" w14:textId="07BF4185"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Traffic forecast outputs to be used in CBA calculations (i.e. road section lengths, AADT and/or transport work expressed in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 xml:space="preserve">-km and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 xml:space="preserve">-h for the whole network) should be generally presented distinguishing the following road categories and/or groups (i.e. depending on the analysed road network), in line with </w:t>
            </w:r>
            <w:proofErr w:type="spellStart"/>
            <w:r w:rsidRPr="0045151D">
              <w:rPr>
                <w:rFonts w:ascii="Calibri" w:eastAsia="Calibri" w:hAnsi="Calibri" w:cs="Calibri"/>
                <w:color w:val="000000"/>
                <w:sz w:val="20"/>
                <w:szCs w:val="20"/>
                <w:lang w:val="en-GB"/>
              </w:rPr>
              <w:t>GD</w:t>
            </w:r>
            <w:r w:rsidR="00497CC7">
              <w:rPr>
                <w:rFonts w:ascii="Calibri" w:eastAsia="Calibri" w:hAnsi="Calibri" w:cs="Calibri"/>
                <w:color w:val="000000"/>
                <w:sz w:val="20"/>
                <w:szCs w:val="20"/>
                <w:lang w:val="en-GB"/>
              </w:rPr>
              <w:t>DKiA’s</w:t>
            </w:r>
            <w:proofErr w:type="spellEnd"/>
            <w:r w:rsidR="00497CC7">
              <w:rPr>
                <w:rFonts w:ascii="Calibri" w:eastAsia="Calibri" w:hAnsi="Calibri" w:cs="Calibri"/>
                <w:color w:val="000000"/>
                <w:sz w:val="20"/>
                <w:szCs w:val="20"/>
                <w:lang w:val="en-GB"/>
              </w:rPr>
              <w:t xml:space="preserve"> national traffic model</w:t>
            </w:r>
            <w:r w:rsidRPr="0045151D">
              <w:rPr>
                <w:rFonts w:ascii="Calibri" w:eastAsia="Calibri" w:hAnsi="Calibri" w:cs="Calibri"/>
                <w:color w:val="000000"/>
                <w:sz w:val="20"/>
                <w:szCs w:val="20"/>
                <w:lang w:val="en-GB"/>
              </w:rPr>
              <w:t>:</w:t>
            </w:r>
          </w:p>
          <w:p w14:paraId="5B16E3F4"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Motorways</w:t>
            </w:r>
            <w:proofErr w:type="spellEnd"/>
          </w:p>
          <w:p w14:paraId="1833E933"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Expressways</w:t>
            </w:r>
            <w:proofErr w:type="spellEnd"/>
            <w:r>
              <w:rPr>
                <w:rFonts w:ascii="Calibri" w:eastAsia="Calibri" w:hAnsi="Calibri" w:cs="Calibri"/>
                <w:color w:val="000000"/>
                <w:sz w:val="20"/>
                <w:szCs w:val="20"/>
              </w:rPr>
              <w:t xml:space="preserve"> dual </w:t>
            </w:r>
            <w:proofErr w:type="spellStart"/>
            <w:r>
              <w:rPr>
                <w:rFonts w:ascii="Calibri" w:eastAsia="Calibri" w:hAnsi="Calibri" w:cs="Calibri"/>
                <w:color w:val="000000"/>
                <w:sz w:val="20"/>
                <w:szCs w:val="20"/>
              </w:rPr>
              <w:t>carriageway</w:t>
            </w:r>
            <w:proofErr w:type="spellEnd"/>
          </w:p>
          <w:p w14:paraId="1A86100A"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Expressways</w:t>
            </w:r>
            <w:proofErr w:type="spellEnd"/>
            <w:r>
              <w:rPr>
                <w:rFonts w:ascii="Calibri" w:eastAsia="Calibri" w:hAnsi="Calibri" w:cs="Calibri"/>
                <w:color w:val="000000"/>
                <w:sz w:val="20"/>
                <w:szCs w:val="20"/>
              </w:rPr>
              <w:t xml:space="preserve"> single </w:t>
            </w:r>
            <w:proofErr w:type="spellStart"/>
            <w:r>
              <w:rPr>
                <w:rFonts w:ascii="Calibri" w:eastAsia="Calibri" w:hAnsi="Calibri" w:cs="Calibri"/>
                <w:color w:val="000000"/>
                <w:sz w:val="20"/>
                <w:szCs w:val="20"/>
              </w:rPr>
              <w:t>carriageway</w:t>
            </w:r>
            <w:proofErr w:type="spellEnd"/>
          </w:p>
          <w:p w14:paraId="24220030" w14:textId="77777777" w:rsidR="00600DEE" w:rsidRPr="0045151D"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Expressways single carriageway with one additional lane,</w:t>
            </w:r>
          </w:p>
          <w:p w14:paraId="476DFFE3" w14:textId="77777777" w:rsidR="00600DEE" w:rsidRPr="0045151D"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Public non-urban roads dual carriageway</w:t>
            </w:r>
          </w:p>
          <w:p w14:paraId="61FE881F" w14:textId="77777777" w:rsidR="00600DEE" w:rsidRPr="0045151D"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 Public non-urban roads single carriageway</w:t>
            </w:r>
          </w:p>
          <w:p w14:paraId="7CB8F33C"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Public </w:t>
            </w:r>
            <w:proofErr w:type="spellStart"/>
            <w:r>
              <w:rPr>
                <w:rFonts w:ascii="Calibri" w:eastAsia="Calibri" w:hAnsi="Calibri" w:cs="Calibri"/>
                <w:color w:val="000000"/>
                <w:sz w:val="20"/>
                <w:szCs w:val="20"/>
              </w:rPr>
              <w:t>urban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streets</w:t>
            </w:r>
            <w:proofErr w:type="spellEnd"/>
            <w:r>
              <w:rPr>
                <w:rFonts w:ascii="Calibri" w:eastAsia="Calibri" w:hAnsi="Calibri" w:cs="Calibri"/>
                <w:color w:val="000000"/>
                <w:sz w:val="20"/>
                <w:szCs w:val="20"/>
              </w:rPr>
              <w:t xml:space="preserve"> dual </w:t>
            </w:r>
            <w:proofErr w:type="spellStart"/>
            <w:r>
              <w:rPr>
                <w:rFonts w:ascii="Calibri" w:eastAsia="Calibri" w:hAnsi="Calibri" w:cs="Calibri"/>
                <w:color w:val="000000"/>
                <w:sz w:val="20"/>
                <w:szCs w:val="20"/>
              </w:rPr>
              <w:t>carriageway</w:t>
            </w:r>
            <w:proofErr w:type="spellEnd"/>
          </w:p>
          <w:p w14:paraId="5E584D2A" w14:textId="7663568B"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Public </w:t>
            </w:r>
            <w:proofErr w:type="spellStart"/>
            <w:r>
              <w:rPr>
                <w:rFonts w:ascii="Calibri" w:eastAsia="Calibri" w:hAnsi="Calibri" w:cs="Calibri"/>
                <w:color w:val="000000"/>
                <w:sz w:val="20"/>
                <w:szCs w:val="20"/>
              </w:rPr>
              <w:t>urban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streets</w:t>
            </w:r>
            <w:proofErr w:type="spellEnd"/>
            <w:r>
              <w:rPr>
                <w:rFonts w:ascii="Calibri" w:eastAsia="Calibri" w:hAnsi="Calibri" w:cs="Calibri"/>
                <w:color w:val="000000"/>
                <w:sz w:val="20"/>
                <w:szCs w:val="20"/>
              </w:rPr>
              <w:t xml:space="preserve"> single </w:t>
            </w:r>
            <w:proofErr w:type="spellStart"/>
            <w:r>
              <w:rPr>
                <w:rFonts w:ascii="Calibri" w:eastAsia="Calibri" w:hAnsi="Calibri" w:cs="Calibri"/>
                <w:color w:val="000000"/>
                <w:sz w:val="20"/>
                <w:szCs w:val="20"/>
              </w:rPr>
              <w:t>carriageway</w:t>
            </w:r>
            <w:proofErr w:type="spellEnd"/>
          </w:p>
          <w:p w14:paraId="5BFC09DB" w14:textId="3C669196" w:rsidR="00497CC7" w:rsidRDefault="00497CC7"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All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other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roads</w:t>
            </w:r>
            <w:proofErr w:type="spellEnd"/>
            <w:r>
              <w:rPr>
                <w:rFonts w:ascii="Calibri" w:eastAsia="Calibri" w:hAnsi="Calibri" w:cs="Calibri"/>
                <w:color w:val="000000"/>
                <w:sz w:val="20"/>
                <w:szCs w:val="20"/>
              </w:rPr>
              <w:t>.</w:t>
            </w:r>
          </w:p>
          <w:p w14:paraId="7C953492" w14:textId="75C25B6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categories usually used for the presentation of traffic forecast outputs are listed below:</w:t>
            </w:r>
          </w:p>
          <w:p w14:paraId="030ECFF6"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Passenger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cars</w:t>
            </w:r>
            <w:proofErr w:type="spellEnd"/>
          </w:p>
          <w:p w14:paraId="6A4CBAD9"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lastRenderedPageBreak/>
              <w:t>Vans</w:t>
            </w:r>
            <w:proofErr w:type="spellEnd"/>
          </w:p>
          <w:p w14:paraId="1CA916AA"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 xml:space="preserve">Trucks </w:t>
            </w:r>
            <w:proofErr w:type="spellStart"/>
            <w:r>
              <w:rPr>
                <w:rFonts w:ascii="Calibri" w:eastAsia="Calibri" w:hAnsi="Calibri" w:cs="Calibri"/>
                <w:color w:val="000000"/>
                <w:sz w:val="20"/>
                <w:szCs w:val="20"/>
              </w:rPr>
              <w:t>without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trailers</w:t>
            </w:r>
            <w:proofErr w:type="spellEnd"/>
          </w:p>
          <w:p w14:paraId="1DD73D98"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 xml:space="preserve">Trucks with </w:t>
            </w:r>
            <w:proofErr w:type="spellStart"/>
            <w:r>
              <w:rPr>
                <w:rFonts w:ascii="Calibri" w:eastAsia="Calibri" w:hAnsi="Calibri" w:cs="Calibri"/>
                <w:color w:val="000000"/>
                <w:sz w:val="20"/>
                <w:szCs w:val="20"/>
              </w:rPr>
              <w:t>trailers</w:t>
            </w:r>
            <w:proofErr w:type="spellEnd"/>
          </w:p>
          <w:p w14:paraId="6562AEC8"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Buses</w:t>
            </w:r>
            <w:proofErr w:type="spellEnd"/>
            <w:r>
              <w:rPr>
                <w:rFonts w:ascii="Calibri" w:eastAsia="Calibri" w:hAnsi="Calibri" w:cs="Calibri"/>
                <w:color w:val="000000"/>
                <w:sz w:val="20"/>
                <w:szCs w:val="20"/>
              </w:rPr>
              <w:t>.</w:t>
            </w:r>
          </w:p>
          <w:p w14:paraId="15D8223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Vehicle categories which can alternatively be used: </w:t>
            </w:r>
          </w:p>
          <w:p w14:paraId="1FA4B574" w14:textId="77777777" w:rsidR="00600DEE" w:rsidRPr="0045151D" w:rsidRDefault="00641FB5" w:rsidP="00D5736B">
            <w:pPr>
              <w:numPr>
                <w:ilvl w:val="0"/>
                <w:numId w:val="54"/>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LV</w:t>
            </w:r>
            <w:r w:rsidRPr="0045151D">
              <w:rPr>
                <w:rFonts w:ascii="Calibri" w:eastAsia="Calibri" w:hAnsi="Calibri" w:cs="Calibri"/>
                <w:color w:val="000000"/>
                <w:sz w:val="20"/>
                <w:szCs w:val="20"/>
                <w:lang w:val="en-GB"/>
              </w:rPr>
              <w:t xml:space="preserve"> – light vehicles, gross weight &lt; 3,5 tons</w:t>
            </w:r>
          </w:p>
          <w:p w14:paraId="0CD1DC17" w14:textId="77777777" w:rsidR="00600DEE" w:rsidRPr="0045151D" w:rsidRDefault="00641FB5" w:rsidP="00D5736B">
            <w:pPr>
              <w:numPr>
                <w:ilvl w:val="0"/>
                <w:numId w:val="54"/>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HGV</w:t>
            </w:r>
            <w:r w:rsidRPr="0045151D">
              <w:rPr>
                <w:rFonts w:ascii="Calibri" w:eastAsia="Calibri" w:hAnsi="Calibri" w:cs="Calibri"/>
                <w:color w:val="000000"/>
                <w:sz w:val="20"/>
                <w:szCs w:val="20"/>
                <w:lang w:val="en-GB"/>
              </w:rPr>
              <w:t xml:space="preserve"> – heavy goods vehicles, gross weight &gt; 3,5 tons (incl. buses).</w:t>
            </w:r>
          </w:p>
          <w:p w14:paraId="69F513A1"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r>
    </w:tbl>
    <w:p w14:paraId="42EEBB7D" w14:textId="2A99982F" w:rsidR="00600DEE" w:rsidRDefault="00641FB5" w:rsidP="00D5736B">
      <w:pPr>
        <w:pStyle w:val="Nagwek2"/>
        <w:numPr>
          <w:ilvl w:val="1"/>
          <w:numId w:val="17"/>
        </w:numPr>
        <w:ind w:left="0" w:firstLine="0"/>
        <w:rPr>
          <w:rFonts w:ascii="Calibri" w:eastAsia="Calibri" w:hAnsi="Calibri" w:cs="Calibri"/>
          <w:color w:val="4F81BD"/>
        </w:rPr>
      </w:pPr>
      <w:bookmarkStart w:id="47" w:name="_Toc95377978"/>
      <w:proofErr w:type="spellStart"/>
      <w:r>
        <w:rPr>
          <w:rFonts w:ascii="Calibri" w:eastAsia="Calibri" w:hAnsi="Calibri" w:cs="Calibri"/>
          <w:color w:val="4F81BD"/>
        </w:rPr>
        <w:lastRenderedPageBreak/>
        <w:t>Założenia</w:t>
      </w:r>
      <w:proofErr w:type="spellEnd"/>
      <w:r>
        <w:rPr>
          <w:rFonts w:ascii="Calibri" w:eastAsia="Calibri" w:hAnsi="Calibri" w:cs="Calibri"/>
          <w:color w:val="4F81BD"/>
        </w:rPr>
        <w:t xml:space="preserve"> </w:t>
      </w:r>
      <w:proofErr w:type="spellStart"/>
      <w:r>
        <w:rPr>
          <w:rFonts w:ascii="Calibri" w:eastAsia="Calibri" w:hAnsi="Calibri" w:cs="Calibri"/>
          <w:color w:val="4F81BD"/>
        </w:rPr>
        <w:t>kosztowe</w:t>
      </w:r>
      <w:proofErr w:type="spellEnd"/>
      <w:r>
        <w:rPr>
          <w:rFonts w:ascii="Calibri" w:eastAsia="Calibri" w:hAnsi="Calibri" w:cs="Calibri"/>
          <w:color w:val="4F81BD"/>
        </w:rPr>
        <w:t xml:space="preserve"> </w:t>
      </w:r>
      <w:proofErr w:type="spellStart"/>
      <w:r>
        <w:rPr>
          <w:rFonts w:ascii="Calibri" w:eastAsia="Calibri" w:hAnsi="Calibri" w:cs="Calibri"/>
          <w:color w:val="4F81BD"/>
        </w:rPr>
        <w:t>dla</w:t>
      </w:r>
      <w:proofErr w:type="spellEnd"/>
      <w:r>
        <w:rPr>
          <w:rFonts w:ascii="Calibri" w:eastAsia="Calibri" w:hAnsi="Calibri" w:cs="Calibri"/>
          <w:color w:val="4F81BD"/>
        </w:rPr>
        <w:t xml:space="preserve"> </w:t>
      </w:r>
      <w:proofErr w:type="spellStart"/>
      <w:r>
        <w:rPr>
          <w:rFonts w:ascii="Calibri" w:eastAsia="Calibri" w:hAnsi="Calibri" w:cs="Calibri"/>
          <w:color w:val="4F81BD"/>
        </w:rPr>
        <w:t>wariantu</w:t>
      </w:r>
      <w:proofErr w:type="spellEnd"/>
      <w:r>
        <w:rPr>
          <w:rFonts w:ascii="Calibri" w:eastAsia="Calibri" w:hAnsi="Calibri" w:cs="Calibri"/>
          <w:color w:val="4F81BD"/>
        </w:rPr>
        <w:t xml:space="preserve"> </w:t>
      </w:r>
      <w:proofErr w:type="spellStart"/>
      <w:r>
        <w:rPr>
          <w:rFonts w:ascii="Calibri" w:eastAsia="Calibri" w:hAnsi="Calibri" w:cs="Calibri"/>
          <w:color w:val="4F81BD"/>
        </w:rPr>
        <w:t>bezinwestycyjnego</w:t>
      </w:r>
      <w:proofErr w:type="spellEnd"/>
      <w:r>
        <w:rPr>
          <w:rFonts w:ascii="Calibri" w:eastAsia="Calibri" w:hAnsi="Calibri" w:cs="Calibri"/>
          <w:color w:val="4F81BD"/>
        </w:rPr>
        <w:t xml:space="preserve"> (W0) </w:t>
      </w:r>
      <w:proofErr w:type="spellStart"/>
      <w:r>
        <w:rPr>
          <w:rFonts w:ascii="Calibri" w:eastAsia="Calibri" w:hAnsi="Calibri" w:cs="Calibri"/>
          <w:color w:val="4F81BD"/>
        </w:rPr>
        <w:t>i</w:t>
      </w:r>
      <w:proofErr w:type="spellEnd"/>
      <w:r>
        <w:rPr>
          <w:rFonts w:ascii="Calibri" w:eastAsia="Calibri" w:hAnsi="Calibri" w:cs="Calibri"/>
          <w:color w:val="4F81BD"/>
        </w:rPr>
        <w:t> </w:t>
      </w:r>
      <w:proofErr w:type="spellStart"/>
      <w:r>
        <w:rPr>
          <w:rFonts w:ascii="Calibri" w:eastAsia="Calibri" w:hAnsi="Calibri" w:cs="Calibri"/>
          <w:color w:val="4F81BD"/>
        </w:rPr>
        <w:t>wariantów</w:t>
      </w:r>
      <w:proofErr w:type="spellEnd"/>
      <w:r>
        <w:rPr>
          <w:rFonts w:ascii="Calibri" w:eastAsia="Calibri" w:hAnsi="Calibri" w:cs="Calibri"/>
          <w:color w:val="4F81BD"/>
        </w:rPr>
        <w:t xml:space="preserve"> </w:t>
      </w:r>
      <w:proofErr w:type="spellStart"/>
      <w:r>
        <w:rPr>
          <w:rFonts w:ascii="Calibri" w:eastAsia="Calibri" w:hAnsi="Calibri" w:cs="Calibri"/>
          <w:color w:val="4F81BD"/>
        </w:rPr>
        <w:t>inwestycyjnych</w:t>
      </w:r>
      <w:proofErr w:type="spellEnd"/>
      <w:r>
        <w:rPr>
          <w:rFonts w:ascii="Calibri" w:eastAsia="Calibri" w:hAnsi="Calibri" w:cs="Calibri"/>
          <w:color w:val="4F81BD"/>
        </w:rPr>
        <w:t xml:space="preserve"> (</w:t>
      </w:r>
      <w:proofErr w:type="spellStart"/>
      <w:r>
        <w:rPr>
          <w:rFonts w:ascii="Calibri" w:eastAsia="Calibri" w:hAnsi="Calibri" w:cs="Calibri"/>
          <w:color w:val="4F81BD"/>
        </w:rPr>
        <w:t>Wn</w:t>
      </w:r>
      <w:proofErr w:type="spellEnd"/>
      <w:r>
        <w:rPr>
          <w:rFonts w:ascii="Calibri" w:eastAsia="Calibri" w:hAnsi="Calibri" w:cs="Calibri"/>
          <w:color w:val="4F81BD"/>
        </w:rPr>
        <w:t>)</w:t>
      </w:r>
      <w:r>
        <w:rPr>
          <w:rFonts w:ascii="Calibri" w:eastAsia="Calibri" w:hAnsi="Calibri" w:cs="Calibri"/>
          <w:color w:val="4F81BD"/>
        </w:rPr>
        <w:br/>
      </w:r>
      <w:r>
        <w:rPr>
          <w:rFonts w:ascii="Calibri" w:eastAsia="Calibri" w:hAnsi="Calibri" w:cs="Calibri"/>
          <w:i/>
          <w:color w:val="4F81BD"/>
        </w:rPr>
        <w:t>1.9</w:t>
      </w:r>
      <w:r>
        <w:rPr>
          <w:rFonts w:ascii="Calibri" w:eastAsia="Calibri" w:hAnsi="Calibri" w:cs="Calibri"/>
          <w:color w:val="4F81BD"/>
        </w:rPr>
        <w:t xml:space="preserve">  </w:t>
      </w:r>
      <w:r>
        <w:rPr>
          <w:rFonts w:ascii="Calibri" w:eastAsia="Calibri" w:hAnsi="Calibri" w:cs="Calibri"/>
          <w:i/>
          <w:color w:val="4F81BD"/>
        </w:rPr>
        <w:t>Costs assumptions for the “without-the-project” scenario (W0) and for the project investment options (</w:t>
      </w:r>
      <w:proofErr w:type="spellStart"/>
      <w:r>
        <w:rPr>
          <w:rFonts w:ascii="Calibri" w:eastAsia="Calibri" w:hAnsi="Calibri" w:cs="Calibri"/>
          <w:i/>
          <w:color w:val="4F81BD"/>
        </w:rPr>
        <w:t>Wn</w:t>
      </w:r>
      <w:proofErr w:type="spellEnd"/>
      <w:r>
        <w:rPr>
          <w:rFonts w:ascii="Calibri" w:eastAsia="Calibri" w:hAnsi="Calibri" w:cs="Calibri"/>
          <w:i/>
          <w:color w:val="4F81BD"/>
        </w:rPr>
        <w:t>)</w:t>
      </w:r>
      <w:bookmarkEnd w:id="47"/>
    </w:p>
    <w:p w14:paraId="5B9B81B3" w14:textId="26156837" w:rsidR="00600DEE" w:rsidRDefault="00641FB5" w:rsidP="00D5736B">
      <w:pPr>
        <w:pStyle w:val="Nagwek3"/>
        <w:numPr>
          <w:ilvl w:val="2"/>
          <w:numId w:val="17"/>
        </w:numPr>
        <w:spacing w:before="120" w:after="120"/>
        <w:ind w:left="0" w:firstLine="0"/>
        <w:rPr>
          <w:rFonts w:ascii="Calibri" w:eastAsia="Calibri" w:hAnsi="Calibri" w:cs="Calibri"/>
          <w:i/>
          <w:color w:val="4F81BD"/>
        </w:rPr>
      </w:pPr>
      <w:bookmarkStart w:id="48" w:name="_Toc91596241"/>
      <w:bookmarkStart w:id="49" w:name="_Toc95377979"/>
      <w:r>
        <w:rPr>
          <w:rFonts w:ascii="Calibri" w:eastAsia="Calibri" w:hAnsi="Calibri" w:cs="Calibri"/>
          <w:color w:val="4F81BD"/>
        </w:rPr>
        <w:t>Przygotowanie danych wejściowych dotyczących nakładów kapitałowych dla wariantów inwestycyjnych</w:t>
      </w:r>
      <w:bookmarkEnd w:id="48"/>
      <w:bookmarkEnd w:id="49"/>
    </w:p>
    <w:p w14:paraId="77CBA151" w14:textId="524ECB7C" w:rsidR="00600DEE" w:rsidRPr="0045151D" w:rsidRDefault="00641FB5" w:rsidP="00D24D31">
      <w:pPr>
        <w:pStyle w:val="Nagwek3"/>
        <w:spacing w:before="120" w:after="120"/>
        <w:rPr>
          <w:rFonts w:ascii="Calibri" w:eastAsia="Calibri" w:hAnsi="Calibri" w:cs="Calibri"/>
          <w:i/>
          <w:color w:val="4F81BD"/>
          <w:lang w:val="en-GB"/>
        </w:rPr>
      </w:pPr>
      <w:bookmarkStart w:id="50" w:name="_Toc95377980"/>
      <w:r w:rsidRPr="0045151D">
        <w:rPr>
          <w:rFonts w:ascii="Calibri" w:eastAsia="Calibri" w:hAnsi="Calibri" w:cs="Calibri"/>
          <w:i/>
          <w:color w:val="4F81BD"/>
          <w:lang w:val="en-GB"/>
        </w:rPr>
        <w:t>1.9.1   Preparation of capital expenditures inputs for investment options</w:t>
      </w:r>
      <w:bookmarkEnd w:id="50"/>
    </w:p>
    <w:tbl>
      <w:tblPr>
        <w:tblStyle w:val="aff3"/>
        <w:tblW w:w="14571" w:type="dxa"/>
        <w:tblLayout w:type="fixed"/>
        <w:tblLook w:val="0400" w:firstRow="0" w:lastRow="0" w:firstColumn="0" w:lastColumn="0" w:noHBand="0" w:noVBand="1"/>
      </w:tblPr>
      <w:tblGrid>
        <w:gridCol w:w="7367"/>
        <w:gridCol w:w="7204"/>
      </w:tblGrid>
      <w:tr w:rsidR="00600DEE" w:rsidRPr="007463B9" w14:paraId="6E93F5BB" w14:textId="77777777">
        <w:tc>
          <w:tcPr>
            <w:tcW w:w="7367" w:type="dxa"/>
            <w:tcBorders>
              <w:right w:val="single" w:sz="4" w:space="0" w:color="000000"/>
            </w:tcBorders>
            <w:tcMar>
              <w:left w:w="284" w:type="dxa"/>
              <w:right w:w="284" w:type="dxa"/>
            </w:tcMar>
          </w:tcPr>
          <w:p w14:paraId="59F892D7" w14:textId="77777777" w:rsidR="00600DEE" w:rsidRDefault="00641FB5" w:rsidP="00D24D31">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Do najważniejszych danych wejściowych należą nakłady kapitałowe dla każdego </w:t>
            </w:r>
            <w:r>
              <w:rPr>
                <w:rFonts w:ascii="Calibri" w:eastAsia="Calibri" w:hAnsi="Calibri" w:cs="Calibri"/>
                <w:color w:val="000000"/>
                <w:sz w:val="20"/>
                <w:szCs w:val="20"/>
              </w:rPr>
              <w:br/>
              <w:t xml:space="preserve">z wariantów inwestycyjnych. </w:t>
            </w:r>
          </w:p>
          <w:p w14:paraId="30262A0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Umiejętność właściwego szacowania przyszłych kosztów i zakresu ich dokładności jest kluczowa nie tylko dla AKK, ale również dla planowania i realizacji programu inwestycyjnego jako całości. Jest to zagadnienie, które dotyczy wielu Beneficjentów, dlatego zaleca się dużą ostrożność i dokładność w procesie szacowania kosztów inwestycyjnych.</w:t>
            </w:r>
          </w:p>
          <w:p w14:paraId="43274C4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uwzględnić najlepsze dostępne informacje o aktualnie kształtujących się cenach na roboty budowlane w drogownictwie. Istotną rzeczą jest zrozumienie podstawy oszacowania, a zatem oczekiwanej dokładności oraz sprawdzenie tego zakresu niepewności w analizie wrażliwości (patrz rozdział 4.1). Przy wyborze wariantu większe znaczenie ma zastosowanie spójnej podstawy kosztowej dla wszystkich wariantów inwestycyjnych niż uzyskanie dokładnych danych w wartościach bezwzględnych. Należy przedstawić wszystkie przyjęte założenia. </w:t>
            </w:r>
            <w:r>
              <w:rPr>
                <w:rFonts w:ascii="Calibri" w:eastAsia="Calibri" w:hAnsi="Calibri" w:cs="Calibri"/>
                <w:color w:val="000000"/>
                <w:sz w:val="20"/>
                <w:szCs w:val="20"/>
              </w:rPr>
              <w:lastRenderedPageBreak/>
              <w:t>Dlatego bardzo istotne jest, aby oszacowanie kosztów inwestycyjnych odbyło się na podstawie dokumentacji zawierającej szacunki na podobnym  poziomie dokładności.</w:t>
            </w:r>
          </w:p>
          <w:p w14:paraId="55A5EB5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 momencie przygotowywania wniosku o dofinansowanie możliwe jest aktualizowanie kosztów na podstawie dokładniejszych przedmiarów (na szczegółowych projektach wykonawczych) lub zastosowanie cen z ofert przetargowych na wykonawstwo. Jeżeli nowe szacunki mieszczą się w zakresie badanym w analizie wrażliwości i wyniki są nadal możliwe do zaakceptowania, na tym etapie nie ma potrzeby powtarzania pełnej analizy (aktualizacja tylko w przypadku gdy wykonujący analizę uzna to za stosowne). </w:t>
            </w:r>
          </w:p>
          <w:p w14:paraId="5941BD7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W0 nie występują nakłady inwestycyjne. Jednakże w przypadku bardzo złego stanu technicznego może być konieczne poniesienie znaczących kosztów na przeprowadzenie prac mających na celu zapewnienie funkcjonowania infrastruktury. W takim przypadku koszty te należy zakwalifikować do nakładów na utrzymanie i remonty w wariancie W0.</w:t>
            </w:r>
          </w:p>
          <w:p w14:paraId="4A0DA6A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Dla projektów drogowych zaleca się podział nakładów inwestycyjnych na główne kategorie kosztów (proponowane w tabeli poniżej), jeżeli oczywiście taki poziom szczegółowości informacji jest dostępny:</w:t>
            </w:r>
          </w:p>
          <w:p w14:paraId="08BEAE75"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8. Zestawienie szacunkowych kosztów inwestycyjnych</w:t>
            </w:r>
          </w:p>
          <w:tbl>
            <w:tblPr>
              <w:tblStyle w:val="aff4"/>
              <w:tblW w:w="6726" w:type="dxa"/>
              <w:tblLayout w:type="fixed"/>
              <w:tblLook w:val="0000" w:firstRow="0" w:lastRow="0" w:firstColumn="0" w:lastColumn="0" w:noHBand="0" w:noVBand="0"/>
            </w:tblPr>
            <w:tblGrid>
              <w:gridCol w:w="532"/>
              <w:gridCol w:w="1698"/>
              <w:gridCol w:w="720"/>
              <w:gridCol w:w="720"/>
              <w:gridCol w:w="631"/>
              <w:gridCol w:w="716"/>
              <w:gridCol w:w="766"/>
              <w:gridCol w:w="943"/>
            </w:tblGrid>
            <w:tr w:rsidR="00600DEE" w14:paraId="31A1D338" w14:textId="77777777" w:rsidTr="00D24D31">
              <w:trPr>
                <w:trHeight w:hRule="exact" w:val="737"/>
              </w:trPr>
              <w:tc>
                <w:tcPr>
                  <w:tcW w:w="532" w:type="dxa"/>
                  <w:vMerge w:val="restart"/>
                  <w:tcBorders>
                    <w:top w:val="single" w:sz="4" w:space="0" w:color="FFFFFF"/>
                    <w:left w:val="single" w:sz="4" w:space="0" w:color="FFFFFF"/>
                  </w:tcBorders>
                  <w:shd w:val="clear" w:color="auto" w:fill="A6A6A6"/>
                  <w:vAlign w:val="center"/>
                </w:tcPr>
                <w:p w14:paraId="16377FE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Lp.</w:t>
                  </w:r>
                </w:p>
              </w:tc>
              <w:tc>
                <w:tcPr>
                  <w:tcW w:w="1698" w:type="dxa"/>
                  <w:vMerge w:val="restart"/>
                  <w:tcBorders>
                    <w:top w:val="single" w:sz="4" w:space="0" w:color="FFFFFF"/>
                    <w:left w:val="single" w:sz="4" w:space="0" w:color="FFFFFF"/>
                  </w:tcBorders>
                  <w:shd w:val="clear" w:color="auto" w:fill="A6A6A6"/>
                  <w:vAlign w:val="center"/>
                </w:tcPr>
                <w:p w14:paraId="6A3323C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Kategoria kosztów</w:t>
                  </w:r>
                </w:p>
              </w:tc>
              <w:tc>
                <w:tcPr>
                  <w:tcW w:w="4496" w:type="dxa"/>
                  <w:gridSpan w:val="6"/>
                  <w:tcBorders>
                    <w:top w:val="single" w:sz="4" w:space="0" w:color="FFFFFF"/>
                    <w:left w:val="single" w:sz="4" w:space="0" w:color="FFFFFF"/>
                    <w:bottom w:val="single" w:sz="4" w:space="0" w:color="FFFFFF"/>
                  </w:tcBorders>
                  <w:shd w:val="clear" w:color="auto" w:fill="A6A6A6"/>
                  <w:vAlign w:val="center"/>
                </w:tcPr>
                <w:p w14:paraId="46F1499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Warianty inwestycyjne (Opcje) w tys. PLN</w:t>
                  </w:r>
                </w:p>
              </w:tc>
            </w:tr>
            <w:tr w:rsidR="00600DEE" w14:paraId="33DFFE8E" w14:textId="77777777" w:rsidTr="00D24D31">
              <w:trPr>
                <w:trHeight w:val="228"/>
              </w:trPr>
              <w:tc>
                <w:tcPr>
                  <w:tcW w:w="532" w:type="dxa"/>
                  <w:vMerge/>
                  <w:tcBorders>
                    <w:top w:val="single" w:sz="4" w:space="0" w:color="FFFFFF"/>
                    <w:left w:val="single" w:sz="4" w:space="0" w:color="FFFFFF"/>
                  </w:tcBorders>
                  <w:shd w:val="clear" w:color="auto" w:fill="A6A6A6"/>
                  <w:vAlign w:val="center"/>
                </w:tcPr>
                <w:p w14:paraId="2830D44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98" w:type="dxa"/>
                  <w:vMerge/>
                  <w:tcBorders>
                    <w:top w:val="single" w:sz="4" w:space="0" w:color="FFFFFF"/>
                    <w:left w:val="single" w:sz="4" w:space="0" w:color="FFFFFF"/>
                  </w:tcBorders>
                  <w:shd w:val="clear" w:color="auto" w:fill="A6A6A6"/>
                  <w:vAlign w:val="center"/>
                </w:tcPr>
                <w:p w14:paraId="744B6AF9"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440" w:type="dxa"/>
                  <w:gridSpan w:val="2"/>
                  <w:tcBorders>
                    <w:top w:val="single" w:sz="4" w:space="0" w:color="FFFFFF"/>
                    <w:left w:val="single" w:sz="4" w:space="0" w:color="FFFFFF"/>
                    <w:bottom w:val="single" w:sz="4" w:space="0" w:color="FFFFFF"/>
                  </w:tcBorders>
                  <w:shd w:val="clear" w:color="auto" w:fill="A6A6A6"/>
                  <w:vAlign w:val="center"/>
                </w:tcPr>
                <w:p w14:paraId="0C53B67D"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W1</w:t>
                  </w:r>
                </w:p>
              </w:tc>
              <w:tc>
                <w:tcPr>
                  <w:tcW w:w="1347" w:type="dxa"/>
                  <w:gridSpan w:val="2"/>
                  <w:tcBorders>
                    <w:top w:val="single" w:sz="4" w:space="0" w:color="FFFFFF"/>
                    <w:left w:val="single" w:sz="4" w:space="0" w:color="FFFFFF"/>
                    <w:bottom w:val="single" w:sz="4" w:space="0" w:color="FFFFFF"/>
                  </w:tcBorders>
                  <w:shd w:val="clear" w:color="auto" w:fill="A6A6A6"/>
                  <w:vAlign w:val="center"/>
                </w:tcPr>
                <w:p w14:paraId="028C9FC6"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W2</w:t>
                  </w:r>
                </w:p>
              </w:tc>
              <w:tc>
                <w:tcPr>
                  <w:tcW w:w="1709" w:type="dxa"/>
                  <w:gridSpan w:val="2"/>
                  <w:tcBorders>
                    <w:top w:val="single" w:sz="4" w:space="0" w:color="FFFFFF"/>
                    <w:left w:val="single" w:sz="4" w:space="0" w:color="FFFFFF"/>
                    <w:bottom w:val="single" w:sz="4" w:space="0" w:color="FFFFFF"/>
                  </w:tcBorders>
                  <w:shd w:val="clear" w:color="auto" w:fill="A6A6A6"/>
                </w:tcPr>
                <w:p w14:paraId="67DA118B"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Wn</w:t>
                  </w:r>
                  <w:proofErr w:type="spellEnd"/>
                </w:p>
              </w:tc>
            </w:tr>
            <w:tr w:rsidR="00600DEE" w14:paraId="0CCA790C" w14:textId="77777777" w:rsidTr="00D24D31">
              <w:trPr>
                <w:trHeight w:val="228"/>
              </w:trPr>
              <w:tc>
                <w:tcPr>
                  <w:tcW w:w="532" w:type="dxa"/>
                  <w:vMerge/>
                  <w:tcBorders>
                    <w:top w:val="single" w:sz="4" w:space="0" w:color="FFFFFF"/>
                    <w:left w:val="single" w:sz="4" w:space="0" w:color="FFFFFF"/>
                  </w:tcBorders>
                  <w:shd w:val="clear" w:color="auto" w:fill="A6A6A6"/>
                  <w:vAlign w:val="center"/>
                </w:tcPr>
                <w:p w14:paraId="33355E23"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98" w:type="dxa"/>
                  <w:vMerge/>
                  <w:tcBorders>
                    <w:top w:val="single" w:sz="4" w:space="0" w:color="FFFFFF"/>
                    <w:left w:val="single" w:sz="4" w:space="0" w:color="FFFFFF"/>
                  </w:tcBorders>
                  <w:shd w:val="clear" w:color="auto" w:fill="A6A6A6"/>
                  <w:vAlign w:val="center"/>
                </w:tcPr>
                <w:p w14:paraId="2169224F"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720" w:type="dxa"/>
                  <w:tcBorders>
                    <w:top w:val="single" w:sz="4" w:space="0" w:color="FFFFFF"/>
                    <w:left w:val="single" w:sz="4" w:space="0" w:color="FFFFFF"/>
                    <w:bottom w:val="single" w:sz="4" w:space="0" w:color="FFFFFF"/>
                  </w:tcBorders>
                  <w:shd w:val="clear" w:color="auto" w:fill="A6A6A6"/>
                  <w:vAlign w:val="center"/>
                </w:tcPr>
                <w:p w14:paraId="5955F003"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netto</w:t>
                  </w:r>
                </w:p>
              </w:tc>
              <w:tc>
                <w:tcPr>
                  <w:tcW w:w="720" w:type="dxa"/>
                  <w:tcBorders>
                    <w:top w:val="single" w:sz="4" w:space="0" w:color="FFFFFF"/>
                    <w:left w:val="single" w:sz="4" w:space="0" w:color="FFFFFF"/>
                    <w:bottom w:val="single" w:sz="4" w:space="0" w:color="FFFFFF"/>
                  </w:tcBorders>
                  <w:shd w:val="clear" w:color="auto" w:fill="A6A6A6"/>
                  <w:vAlign w:val="center"/>
                </w:tcPr>
                <w:p w14:paraId="50E58F96"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brutto</w:t>
                  </w:r>
                </w:p>
              </w:tc>
              <w:tc>
                <w:tcPr>
                  <w:tcW w:w="631" w:type="dxa"/>
                  <w:tcBorders>
                    <w:top w:val="single" w:sz="4" w:space="0" w:color="FFFFFF"/>
                    <w:left w:val="single" w:sz="4" w:space="0" w:color="FFFFFF"/>
                    <w:bottom w:val="single" w:sz="4" w:space="0" w:color="FFFFFF"/>
                  </w:tcBorders>
                  <w:shd w:val="clear" w:color="auto" w:fill="A6A6A6"/>
                  <w:vAlign w:val="center"/>
                </w:tcPr>
                <w:p w14:paraId="11C247EF"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netto</w:t>
                  </w:r>
                </w:p>
              </w:tc>
              <w:tc>
                <w:tcPr>
                  <w:tcW w:w="716" w:type="dxa"/>
                  <w:tcBorders>
                    <w:top w:val="single" w:sz="4" w:space="0" w:color="FFFFFF"/>
                    <w:left w:val="single" w:sz="4" w:space="0" w:color="FFFFFF"/>
                    <w:bottom w:val="single" w:sz="4" w:space="0" w:color="FFFFFF"/>
                  </w:tcBorders>
                  <w:shd w:val="clear" w:color="auto" w:fill="A6A6A6"/>
                  <w:vAlign w:val="center"/>
                </w:tcPr>
                <w:p w14:paraId="654E5884"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brutto</w:t>
                  </w:r>
                </w:p>
              </w:tc>
              <w:tc>
                <w:tcPr>
                  <w:tcW w:w="766" w:type="dxa"/>
                  <w:tcBorders>
                    <w:top w:val="single" w:sz="4" w:space="0" w:color="FFFFFF"/>
                    <w:left w:val="single" w:sz="4" w:space="0" w:color="FFFFFF"/>
                    <w:bottom w:val="single" w:sz="4" w:space="0" w:color="FFFFFF"/>
                  </w:tcBorders>
                  <w:shd w:val="clear" w:color="auto" w:fill="A6A6A6"/>
                  <w:vAlign w:val="center"/>
                </w:tcPr>
                <w:p w14:paraId="09A69EBE"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netto</w:t>
                  </w:r>
                </w:p>
              </w:tc>
              <w:tc>
                <w:tcPr>
                  <w:tcW w:w="943" w:type="dxa"/>
                  <w:tcBorders>
                    <w:top w:val="single" w:sz="4" w:space="0" w:color="FFFFFF"/>
                    <w:left w:val="single" w:sz="4" w:space="0" w:color="FFFFFF"/>
                    <w:bottom w:val="single" w:sz="4" w:space="0" w:color="FFFFFF"/>
                  </w:tcBorders>
                  <w:shd w:val="clear" w:color="auto" w:fill="A6A6A6"/>
                  <w:vAlign w:val="center"/>
                </w:tcPr>
                <w:p w14:paraId="582489E2"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brutto</w:t>
                  </w:r>
                </w:p>
              </w:tc>
            </w:tr>
            <w:tr w:rsidR="00600DEE" w14:paraId="1AA1E5A2"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4E9281F2"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w:t>
                  </w:r>
                </w:p>
              </w:tc>
              <w:tc>
                <w:tcPr>
                  <w:tcW w:w="1698" w:type="dxa"/>
                  <w:tcBorders>
                    <w:top w:val="single" w:sz="4" w:space="0" w:color="FFFFFF"/>
                    <w:left w:val="single" w:sz="4" w:space="0" w:color="FFFFFF"/>
                    <w:bottom w:val="single" w:sz="4" w:space="0" w:color="FFFFFF"/>
                  </w:tcBorders>
                  <w:shd w:val="clear" w:color="auto" w:fill="DBE5F1"/>
                  <w:vAlign w:val="center"/>
                </w:tcPr>
                <w:p w14:paraId="659010C8"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Dokumentacja, pomoc techniczna </w:t>
                  </w:r>
                </w:p>
              </w:tc>
              <w:tc>
                <w:tcPr>
                  <w:tcW w:w="720" w:type="dxa"/>
                  <w:tcBorders>
                    <w:top w:val="single" w:sz="4" w:space="0" w:color="FFFFFF"/>
                    <w:left w:val="single" w:sz="4" w:space="0" w:color="FFFFFF"/>
                    <w:bottom w:val="single" w:sz="4" w:space="0" w:color="FFFFFF"/>
                  </w:tcBorders>
                  <w:shd w:val="clear" w:color="auto" w:fill="DBE5F1"/>
                  <w:vAlign w:val="center"/>
                </w:tcPr>
                <w:p w14:paraId="62E0A9C3"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5FDD874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509B04FB"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61B03BF"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356BAC2D"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7EB90280" w14:textId="77777777" w:rsidR="00600DEE" w:rsidRDefault="00600DEE">
                  <w:pPr>
                    <w:spacing w:before="20" w:after="20"/>
                    <w:jc w:val="right"/>
                    <w:rPr>
                      <w:rFonts w:ascii="Calibri" w:eastAsia="Calibri" w:hAnsi="Calibri" w:cs="Calibri"/>
                      <w:color w:val="4F81BD"/>
                      <w:sz w:val="18"/>
                      <w:szCs w:val="18"/>
                    </w:rPr>
                  </w:pPr>
                </w:p>
              </w:tc>
            </w:tr>
            <w:tr w:rsidR="00600DEE" w14:paraId="5E99F7AC"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4FF33884"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w:t>
                  </w:r>
                </w:p>
              </w:tc>
              <w:tc>
                <w:tcPr>
                  <w:tcW w:w="1698" w:type="dxa"/>
                  <w:tcBorders>
                    <w:top w:val="single" w:sz="4" w:space="0" w:color="FFFFFF"/>
                    <w:left w:val="single" w:sz="4" w:space="0" w:color="FFFFFF"/>
                    <w:bottom w:val="single" w:sz="4" w:space="0" w:color="FFFFFF"/>
                  </w:tcBorders>
                  <w:shd w:val="clear" w:color="auto" w:fill="DBE5F1"/>
                  <w:vAlign w:val="center"/>
                </w:tcPr>
                <w:p w14:paraId="40CBF06D"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Nadzór inwestorski </w:t>
                  </w:r>
                </w:p>
              </w:tc>
              <w:tc>
                <w:tcPr>
                  <w:tcW w:w="720" w:type="dxa"/>
                  <w:tcBorders>
                    <w:top w:val="single" w:sz="4" w:space="0" w:color="FFFFFF"/>
                    <w:left w:val="single" w:sz="4" w:space="0" w:color="FFFFFF"/>
                    <w:bottom w:val="single" w:sz="4" w:space="0" w:color="FFFFFF"/>
                  </w:tcBorders>
                  <w:shd w:val="clear" w:color="auto" w:fill="DBE5F1"/>
                  <w:vAlign w:val="center"/>
                </w:tcPr>
                <w:p w14:paraId="6AD36295"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4A79D7ED"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F5D8B38"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2B2C14F"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1EAE9EA3"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C0889C4" w14:textId="77777777" w:rsidR="00600DEE" w:rsidRDefault="00600DEE">
                  <w:pPr>
                    <w:spacing w:before="20" w:after="20"/>
                    <w:jc w:val="right"/>
                    <w:rPr>
                      <w:rFonts w:ascii="Calibri" w:eastAsia="Calibri" w:hAnsi="Calibri" w:cs="Calibri"/>
                      <w:color w:val="4F81BD"/>
                      <w:sz w:val="18"/>
                      <w:szCs w:val="18"/>
                    </w:rPr>
                  </w:pPr>
                </w:p>
              </w:tc>
            </w:tr>
            <w:tr w:rsidR="00600DEE" w14:paraId="092950D8"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53BF68A9"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III</w:t>
                  </w:r>
                </w:p>
              </w:tc>
              <w:tc>
                <w:tcPr>
                  <w:tcW w:w="1698" w:type="dxa"/>
                  <w:tcBorders>
                    <w:top w:val="single" w:sz="4" w:space="0" w:color="FFFFFF"/>
                    <w:left w:val="single" w:sz="4" w:space="0" w:color="FFFFFF"/>
                    <w:bottom w:val="single" w:sz="4" w:space="0" w:color="FFFFFF"/>
                  </w:tcBorders>
                  <w:shd w:val="clear" w:color="auto" w:fill="DBE5F1"/>
                  <w:vAlign w:val="center"/>
                </w:tcPr>
                <w:p w14:paraId="711EF9CD"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Archeologia </w:t>
                  </w:r>
                </w:p>
              </w:tc>
              <w:tc>
                <w:tcPr>
                  <w:tcW w:w="720" w:type="dxa"/>
                  <w:tcBorders>
                    <w:top w:val="single" w:sz="4" w:space="0" w:color="FFFFFF"/>
                    <w:left w:val="single" w:sz="4" w:space="0" w:color="FFFFFF"/>
                    <w:bottom w:val="single" w:sz="4" w:space="0" w:color="FFFFFF"/>
                  </w:tcBorders>
                  <w:shd w:val="clear" w:color="auto" w:fill="DBE5F1"/>
                  <w:vAlign w:val="center"/>
                </w:tcPr>
                <w:p w14:paraId="4C622894"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CBBA06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504E202"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575F643B"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1950EDE"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4E680F8C" w14:textId="77777777" w:rsidR="00600DEE" w:rsidRDefault="00600DEE">
                  <w:pPr>
                    <w:spacing w:before="20" w:after="20"/>
                    <w:jc w:val="right"/>
                    <w:rPr>
                      <w:rFonts w:ascii="Calibri" w:eastAsia="Calibri" w:hAnsi="Calibri" w:cs="Calibri"/>
                      <w:color w:val="4F81BD"/>
                      <w:sz w:val="18"/>
                      <w:szCs w:val="18"/>
                    </w:rPr>
                  </w:pPr>
                </w:p>
              </w:tc>
            </w:tr>
            <w:tr w:rsidR="00600DEE" w14:paraId="095AB85A"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10F2B63"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IV</w:t>
                  </w:r>
                </w:p>
              </w:tc>
              <w:tc>
                <w:tcPr>
                  <w:tcW w:w="1698" w:type="dxa"/>
                  <w:tcBorders>
                    <w:top w:val="single" w:sz="4" w:space="0" w:color="FFFFFF"/>
                    <w:left w:val="single" w:sz="4" w:space="0" w:color="FFFFFF"/>
                    <w:bottom w:val="single" w:sz="4" w:space="0" w:color="FFFFFF"/>
                  </w:tcBorders>
                  <w:shd w:val="clear" w:color="auto" w:fill="DBE5F1"/>
                  <w:vAlign w:val="center"/>
                </w:tcPr>
                <w:p w14:paraId="0E00424B"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Inne prace przygotowawcze </w:t>
                  </w:r>
                </w:p>
              </w:tc>
              <w:tc>
                <w:tcPr>
                  <w:tcW w:w="720" w:type="dxa"/>
                  <w:tcBorders>
                    <w:top w:val="single" w:sz="4" w:space="0" w:color="FFFFFF"/>
                    <w:left w:val="single" w:sz="4" w:space="0" w:color="FFFFFF"/>
                    <w:bottom w:val="single" w:sz="4" w:space="0" w:color="FFFFFF"/>
                  </w:tcBorders>
                  <w:shd w:val="clear" w:color="auto" w:fill="DBE5F1"/>
                  <w:vAlign w:val="center"/>
                </w:tcPr>
                <w:p w14:paraId="3AFBFC1B"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70036EDF"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EC163C3"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C1D0854"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30D56C36"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6A52A77" w14:textId="77777777" w:rsidR="00600DEE" w:rsidRDefault="00600DEE">
                  <w:pPr>
                    <w:spacing w:before="20" w:after="20"/>
                    <w:jc w:val="right"/>
                    <w:rPr>
                      <w:rFonts w:ascii="Calibri" w:eastAsia="Calibri" w:hAnsi="Calibri" w:cs="Calibri"/>
                      <w:color w:val="4F81BD"/>
                      <w:sz w:val="18"/>
                      <w:szCs w:val="18"/>
                    </w:rPr>
                  </w:pPr>
                </w:p>
              </w:tc>
            </w:tr>
            <w:tr w:rsidR="00600DEE" w14:paraId="2961597D"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785F131C"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w:t>
                  </w:r>
                </w:p>
              </w:tc>
              <w:tc>
                <w:tcPr>
                  <w:tcW w:w="1698" w:type="dxa"/>
                  <w:tcBorders>
                    <w:top w:val="single" w:sz="4" w:space="0" w:color="FFFFFF"/>
                    <w:left w:val="single" w:sz="4" w:space="0" w:color="FFFFFF"/>
                    <w:bottom w:val="single" w:sz="4" w:space="0" w:color="FFFFFF"/>
                  </w:tcBorders>
                  <w:shd w:val="clear" w:color="auto" w:fill="DBE5F1"/>
                  <w:vAlign w:val="center"/>
                </w:tcPr>
                <w:p w14:paraId="726CFEC6"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Promocja projektu </w:t>
                  </w:r>
                </w:p>
              </w:tc>
              <w:tc>
                <w:tcPr>
                  <w:tcW w:w="720" w:type="dxa"/>
                  <w:tcBorders>
                    <w:top w:val="single" w:sz="4" w:space="0" w:color="FFFFFF"/>
                    <w:left w:val="single" w:sz="4" w:space="0" w:color="FFFFFF"/>
                    <w:bottom w:val="single" w:sz="4" w:space="0" w:color="FFFFFF"/>
                  </w:tcBorders>
                  <w:shd w:val="clear" w:color="auto" w:fill="DBE5F1"/>
                  <w:vAlign w:val="center"/>
                </w:tcPr>
                <w:p w14:paraId="5A76D775"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C348224"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2571625E"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9D767F9"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7BC7B4C"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4D2E329" w14:textId="77777777" w:rsidR="00600DEE" w:rsidRDefault="00600DEE">
                  <w:pPr>
                    <w:spacing w:before="20" w:after="20"/>
                    <w:jc w:val="right"/>
                    <w:rPr>
                      <w:rFonts w:ascii="Calibri" w:eastAsia="Calibri" w:hAnsi="Calibri" w:cs="Calibri"/>
                      <w:color w:val="4F81BD"/>
                      <w:sz w:val="18"/>
                      <w:szCs w:val="18"/>
                    </w:rPr>
                  </w:pPr>
                </w:p>
              </w:tc>
            </w:tr>
            <w:tr w:rsidR="00600DEE" w14:paraId="2A00523F"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6B2CFBA"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w:t>
                  </w:r>
                </w:p>
              </w:tc>
              <w:tc>
                <w:tcPr>
                  <w:tcW w:w="1698" w:type="dxa"/>
                  <w:tcBorders>
                    <w:top w:val="single" w:sz="4" w:space="0" w:color="FFFFFF"/>
                    <w:left w:val="single" w:sz="4" w:space="0" w:color="FFFFFF"/>
                    <w:bottom w:val="single" w:sz="4" w:space="0" w:color="FFFFFF"/>
                  </w:tcBorders>
                  <w:shd w:val="clear" w:color="auto" w:fill="DBE5F1"/>
                  <w:vAlign w:val="center"/>
                </w:tcPr>
                <w:p w14:paraId="64D7D8B4"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Wykup gruntów </w:t>
                  </w:r>
                </w:p>
              </w:tc>
              <w:tc>
                <w:tcPr>
                  <w:tcW w:w="720" w:type="dxa"/>
                  <w:tcBorders>
                    <w:top w:val="single" w:sz="4" w:space="0" w:color="FFFFFF"/>
                    <w:left w:val="single" w:sz="4" w:space="0" w:color="FFFFFF"/>
                    <w:bottom w:val="single" w:sz="4" w:space="0" w:color="FFFFFF"/>
                  </w:tcBorders>
                  <w:shd w:val="clear" w:color="auto" w:fill="DBE5F1"/>
                  <w:vAlign w:val="center"/>
                </w:tcPr>
                <w:p w14:paraId="47A14BD4"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1E6E71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23B7C52"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F1D4D60"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422E31D1"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13A05E2" w14:textId="77777777" w:rsidR="00600DEE" w:rsidRDefault="00600DEE">
                  <w:pPr>
                    <w:spacing w:before="20" w:after="20"/>
                    <w:jc w:val="right"/>
                    <w:rPr>
                      <w:rFonts w:ascii="Calibri" w:eastAsia="Calibri" w:hAnsi="Calibri" w:cs="Calibri"/>
                      <w:color w:val="4F81BD"/>
                      <w:sz w:val="18"/>
                      <w:szCs w:val="18"/>
                    </w:rPr>
                  </w:pPr>
                </w:p>
              </w:tc>
            </w:tr>
            <w:tr w:rsidR="00600DEE" w14:paraId="27F93DB7" w14:textId="77777777" w:rsidTr="00D24D31">
              <w:trPr>
                <w:trHeight w:hRule="exact" w:val="340"/>
              </w:trPr>
              <w:tc>
                <w:tcPr>
                  <w:tcW w:w="532" w:type="dxa"/>
                  <w:tcBorders>
                    <w:top w:val="single" w:sz="4" w:space="0" w:color="FFFFFF"/>
                    <w:left w:val="single" w:sz="4" w:space="0" w:color="FFFFFF"/>
                    <w:bottom w:val="single" w:sz="4" w:space="0" w:color="FFFFFF"/>
                  </w:tcBorders>
                  <w:shd w:val="clear" w:color="auto" w:fill="DBE5F1"/>
                  <w:vAlign w:val="center"/>
                </w:tcPr>
                <w:p w14:paraId="695FF5A1"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w:t>
                  </w:r>
                </w:p>
              </w:tc>
              <w:tc>
                <w:tcPr>
                  <w:tcW w:w="1698" w:type="dxa"/>
                  <w:tcBorders>
                    <w:top w:val="single" w:sz="4" w:space="0" w:color="FFFFFF"/>
                    <w:left w:val="single" w:sz="4" w:space="0" w:color="FFFFFF"/>
                    <w:bottom w:val="single" w:sz="4" w:space="0" w:color="FFFFFF"/>
                  </w:tcBorders>
                  <w:shd w:val="clear" w:color="auto" w:fill="DBE5F1"/>
                  <w:vAlign w:val="center"/>
                </w:tcPr>
                <w:p w14:paraId="215F166B" w14:textId="77777777" w:rsidR="00600DEE" w:rsidRDefault="00641FB5" w:rsidP="00DF6B9D">
                  <w:pPr>
                    <w:rPr>
                      <w:rFonts w:ascii="Calibri" w:eastAsia="Calibri" w:hAnsi="Calibri" w:cs="Calibri"/>
                      <w:color w:val="4F81BD"/>
                      <w:sz w:val="18"/>
                      <w:szCs w:val="18"/>
                    </w:rPr>
                  </w:pPr>
                  <w:r>
                    <w:rPr>
                      <w:rFonts w:ascii="Calibri" w:eastAsia="Calibri" w:hAnsi="Calibri" w:cs="Calibri"/>
                      <w:color w:val="4F81BD"/>
                      <w:sz w:val="18"/>
                      <w:szCs w:val="18"/>
                    </w:rPr>
                    <w:t xml:space="preserve">Wymagania ogólne </w:t>
                  </w:r>
                </w:p>
                <w:p w14:paraId="57EBB879" w14:textId="77777777" w:rsidR="00600DEE" w:rsidRDefault="00600DEE">
                  <w:pPr>
                    <w:spacing w:before="20" w:after="20"/>
                    <w:rPr>
                      <w:rFonts w:ascii="Calibri" w:eastAsia="Calibri" w:hAnsi="Calibri" w:cs="Calibri"/>
                      <w:color w:val="4F81BD"/>
                      <w:sz w:val="18"/>
                      <w:szCs w:val="18"/>
                    </w:rPr>
                  </w:pPr>
                </w:p>
                <w:p w14:paraId="0910DD3E" w14:textId="77777777" w:rsidR="00600DEE" w:rsidRDefault="00600DEE">
                  <w:pPr>
                    <w:spacing w:before="20" w:after="20"/>
                    <w:rPr>
                      <w:rFonts w:ascii="Calibri" w:eastAsia="Calibri" w:hAnsi="Calibri" w:cs="Calibri"/>
                      <w:color w:val="4F81BD"/>
                      <w:sz w:val="18"/>
                      <w:szCs w:val="18"/>
                    </w:rPr>
                  </w:pPr>
                </w:p>
                <w:p w14:paraId="67043A7C" w14:textId="77777777" w:rsidR="00600DEE" w:rsidRDefault="00600DEE">
                  <w:pPr>
                    <w:spacing w:before="20" w:after="20"/>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8449245"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9AC3822"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0EF24CBE"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076C714"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67C00AA0"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4D649D74" w14:textId="77777777" w:rsidR="00600DEE" w:rsidRDefault="00600DEE">
                  <w:pPr>
                    <w:spacing w:before="20" w:after="20"/>
                    <w:jc w:val="right"/>
                    <w:rPr>
                      <w:rFonts w:ascii="Calibri" w:eastAsia="Calibri" w:hAnsi="Calibri" w:cs="Calibri"/>
                      <w:color w:val="4F81BD"/>
                      <w:sz w:val="18"/>
                      <w:szCs w:val="18"/>
                    </w:rPr>
                  </w:pPr>
                </w:p>
              </w:tc>
            </w:tr>
            <w:tr w:rsidR="00600DEE" w14:paraId="2F8501D3" w14:textId="77777777" w:rsidTr="00D24D31">
              <w:trPr>
                <w:trHeight w:hRule="exact" w:val="340"/>
              </w:trPr>
              <w:tc>
                <w:tcPr>
                  <w:tcW w:w="532" w:type="dxa"/>
                  <w:vMerge w:val="restart"/>
                  <w:tcBorders>
                    <w:top w:val="single" w:sz="4" w:space="0" w:color="FFFFFF"/>
                    <w:left w:val="single" w:sz="4" w:space="0" w:color="FFFFFF"/>
                  </w:tcBorders>
                  <w:shd w:val="clear" w:color="auto" w:fill="A6A6A6"/>
                  <w:vAlign w:val="center"/>
                </w:tcPr>
                <w:p w14:paraId="1FC14F6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Lp.</w:t>
                  </w:r>
                </w:p>
              </w:tc>
              <w:tc>
                <w:tcPr>
                  <w:tcW w:w="1698" w:type="dxa"/>
                  <w:vMerge w:val="restart"/>
                  <w:tcBorders>
                    <w:top w:val="single" w:sz="4" w:space="0" w:color="FFFFFF"/>
                    <w:left w:val="single" w:sz="4" w:space="0" w:color="FFFFFF"/>
                  </w:tcBorders>
                  <w:shd w:val="clear" w:color="auto" w:fill="A6A6A6"/>
                  <w:vAlign w:val="center"/>
                </w:tcPr>
                <w:p w14:paraId="560FE58D" w14:textId="77777777" w:rsidR="00600DEE" w:rsidRDefault="00641FB5" w:rsidP="00DF6B9D">
                  <w:pPr>
                    <w:spacing w:before="100" w:beforeAutospacing="1" w:after="100" w:afterAutospacing="1"/>
                    <w:jc w:val="center"/>
                    <w:rPr>
                      <w:rFonts w:ascii="Calibri" w:eastAsia="Calibri" w:hAnsi="Calibri" w:cs="Calibri"/>
                      <w:b/>
                      <w:color w:val="FFFFFF"/>
                      <w:sz w:val="18"/>
                      <w:szCs w:val="18"/>
                    </w:rPr>
                  </w:pPr>
                  <w:r>
                    <w:rPr>
                      <w:rFonts w:ascii="Calibri" w:eastAsia="Calibri" w:hAnsi="Calibri" w:cs="Calibri"/>
                      <w:b/>
                      <w:color w:val="FFFFFF"/>
                      <w:sz w:val="18"/>
                      <w:szCs w:val="18"/>
                    </w:rPr>
                    <w:t>Kategoria kosztów</w:t>
                  </w:r>
                </w:p>
              </w:tc>
              <w:tc>
                <w:tcPr>
                  <w:tcW w:w="4496" w:type="dxa"/>
                  <w:gridSpan w:val="6"/>
                  <w:tcBorders>
                    <w:top w:val="single" w:sz="4" w:space="0" w:color="FFFFFF"/>
                    <w:left w:val="single" w:sz="4" w:space="0" w:color="FFFFFF"/>
                    <w:bottom w:val="single" w:sz="4" w:space="0" w:color="FFFFFF"/>
                  </w:tcBorders>
                  <w:shd w:val="clear" w:color="auto" w:fill="A6A6A6"/>
                  <w:vAlign w:val="center"/>
                </w:tcPr>
                <w:p w14:paraId="3AE648D6"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Warianty inwestycyjne (Opcje) w tys. PLN</w:t>
                  </w:r>
                </w:p>
              </w:tc>
            </w:tr>
            <w:tr w:rsidR="00600DEE" w14:paraId="65EE1D30" w14:textId="77777777" w:rsidTr="00D24D31">
              <w:trPr>
                <w:trHeight w:val="274"/>
              </w:trPr>
              <w:tc>
                <w:tcPr>
                  <w:tcW w:w="532" w:type="dxa"/>
                  <w:vMerge/>
                  <w:tcBorders>
                    <w:top w:val="single" w:sz="4" w:space="0" w:color="FFFFFF"/>
                    <w:left w:val="single" w:sz="4" w:space="0" w:color="FFFFFF"/>
                  </w:tcBorders>
                  <w:shd w:val="clear" w:color="auto" w:fill="A6A6A6"/>
                  <w:vAlign w:val="center"/>
                </w:tcPr>
                <w:p w14:paraId="1CA3CB74"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98" w:type="dxa"/>
                  <w:vMerge/>
                  <w:tcBorders>
                    <w:top w:val="single" w:sz="4" w:space="0" w:color="FFFFFF"/>
                    <w:left w:val="single" w:sz="4" w:space="0" w:color="FFFFFF"/>
                  </w:tcBorders>
                  <w:shd w:val="clear" w:color="auto" w:fill="A6A6A6"/>
                  <w:vAlign w:val="center"/>
                </w:tcPr>
                <w:p w14:paraId="52C0E5C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440" w:type="dxa"/>
                  <w:gridSpan w:val="2"/>
                  <w:tcBorders>
                    <w:top w:val="single" w:sz="4" w:space="0" w:color="FFFFFF"/>
                    <w:left w:val="single" w:sz="4" w:space="0" w:color="FFFFFF"/>
                    <w:bottom w:val="single" w:sz="4" w:space="0" w:color="FFFFFF"/>
                  </w:tcBorders>
                  <w:shd w:val="clear" w:color="auto" w:fill="A6A6A6"/>
                  <w:vAlign w:val="center"/>
                </w:tcPr>
                <w:p w14:paraId="4D3BC574"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W1</w:t>
                  </w:r>
                </w:p>
              </w:tc>
              <w:tc>
                <w:tcPr>
                  <w:tcW w:w="1347" w:type="dxa"/>
                  <w:gridSpan w:val="2"/>
                  <w:tcBorders>
                    <w:top w:val="single" w:sz="4" w:space="0" w:color="FFFFFF"/>
                    <w:left w:val="single" w:sz="4" w:space="0" w:color="FFFFFF"/>
                    <w:bottom w:val="single" w:sz="4" w:space="0" w:color="FFFFFF"/>
                  </w:tcBorders>
                  <w:shd w:val="clear" w:color="auto" w:fill="A6A6A6"/>
                  <w:vAlign w:val="center"/>
                </w:tcPr>
                <w:p w14:paraId="0912DBE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W2</w:t>
                  </w:r>
                </w:p>
              </w:tc>
              <w:tc>
                <w:tcPr>
                  <w:tcW w:w="1709" w:type="dxa"/>
                  <w:gridSpan w:val="2"/>
                  <w:tcBorders>
                    <w:top w:val="single" w:sz="4" w:space="0" w:color="FFFFFF"/>
                    <w:left w:val="single" w:sz="4" w:space="0" w:color="FFFFFF"/>
                    <w:bottom w:val="single" w:sz="4" w:space="0" w:color="FFFFFF"/>
                  </w:tcBorders>
                  <w:shd w:val="clear" w:color="auto" w:fill="A6A6A6"/>
                  <w:vAlign w:val="center"/>
                </w:tcPr>
                <w:p w14:paraId="338A911F" w14:textId="77777777" w:rsidR="00600DEE" w:rsidRDefault="00641FB5">
                  <w:pPr>
                    <w:spacing w:before="20" w:after="20"/>
                    <w:jc w:val="center"/>
                    <w:rPr>
                      <w:rFonts w:ascii="Calibri" w:eastAsia="Calibri" w:hAnsi="Calibri" w:cs="Calibri"/>
                      <w:color w:val="4F81BD"/>
                      <w:sz w:val="18"/>
                      <w:szCs w:val="18"/>
                    </w:rPr>
                  </w:pPr>
                  <w:proofErr w:type="spellStart"/>
                  <w:r>
                    <w:rPr>
                      <w:rFonts w:ascii="Calibri" w:eastAsia="Calibri" w:hAnsi="Calibri" w:cs="Calibri"/>
                      <w:b/>
                      <w:color w:val="FFFFFF"/>
                      <w:sz w:val="18"/>
                      <w:szCs w:val="18"/>
                    </w:rPr>
                    <w:t>Wn</w:t>
                  </w:r>
                  <w:proofErr w:type="spellEnd"/>
                </w:p>
              </w:tc>
            </w:tr>
            <w:tr w:rsidR="00600DEE" w14:paraId="3684DB13" w14:textId="77777777" w:rsidTr="00D24D31">
              <w:trPr>
                <w:trHeight w:val="285"/>
              </w:trPr>
              <w:tc>
                <w:tcPr>
                  <w:tcW w:w="532" w:type="dxa"/>
                  <w:vMerge/>
                  <w:tcBorders>
                    <w:top w:val="single" w:sz="4" w:space="0" w:color="FFFFFF"/>
                    <w:left w:val="single" w:sz="4" w:space="0" w:color="FFFFFF"/>
                  </w:tcBorders>
                  <w:shd w:val="clear" w:color="auto" w:fill="A6A6A6"/>
                  <w:vAlign w:val="center"/>
                </w:tcPr>
                <w:p w14:paraId="7AE2ACDA"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1698" w:type="dxa"/>
                  <w:vMerge/>
                  <w:tcBorders>
                    <w:top w:val="single" w:sz="4" w:space="0" w:color="FFFFFF"/>
                    <w:left w:val="single" w:sz="4" w:space="0" w:color="FFFFFF"/>
                  </w:tcBorders>
                  <w:shd w:val="clear" w:color="auto" w:fill="A6A6A6"/>
                  <w:vAlign w:val="center"/>
                </w:tcPr>
                <w:p w14:paraId="650E0F0B"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A6A6A6"/>
                  <w:vAlign w:val="center"/>
                </w:tcPr>
                <w:p w14:paraId="67640FE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netto</w:t>
                  </w:r>
                </w:p>
              </w:tc>
              <w:tc>
                <w:tcPr>
                  <w:tcW w:w="720" w:type="dxa"/>
                  <w:tcBorders>
                    <w:top w:val="single" w:sz="4" w:space="0" w:color="FFFFFF"/>
                    <w:left w:val="single" w:sz="4" w:space="0" w:color="FFFFFF"/>
                    <w:bottom w:val="single" w:sz="4" w:space="0" w:color="FFFFFF"/>
                  </w:tcBorders>
                  <w:shd w:val="clear" w:color="auto" w:fill="A6A6A6"/>
                  <w:vAlign w:val="center"/>
                </w:tcPr>
                <w:p w14:paraId="04C31B3D"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brutto</w:t>
                  </w:r>
                </w:p>
              </w:tc>
              <w:tc>
                <w:tcPr>
                  <w:tcW w:w="631" w:type="dxa"/>
                  <w:tcBorders>
                    <w:top w:val="single" w:sz="4" w:space="0" w:color="FFFFFF"/>
                    <w:left w:val="single" w:sz="4" w:space="0" w:color="FFFFFF"/>
                    <w:bottom w:val="single" w:sz="4" w:space="0" w:color="FFFFFF"/>
                  </w:tcBorders>
                  <w:shd w:val="clear" w:color="auto" w:fill="A6A6A6"/>
                  <w:vAlign w:val="center"/>
                </w:tcPr>
                <w:p w14:paraId="4BF8B279"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netto</w:t>
                  </w:r>
                </w:p>
              </w:tc>
              <w:tc>
                <w:tcPr>
                  <w:tcW w:w="716" w:type="dxa"/>
                  <w:tcBorders>
                    <w:top w:val="single" w:sz="4" w:space="0" w:color="FFFFFF"/>
                    <w:left w:val="single" w:sz="4" w:space="0" w:color="FFFFFF"/>
                    <w:bottom w:val="single" w:sz="4" w:space="0" w:color="FFFFFF"/>
                  </w:tcBorders>
                  <w:shd w:val="clear" w:color="auto" w:fill="A6A6A6"/>
                  <w:vAlign w:val="center"/>
                </w:tcPr>
                <w:p w14:paraId="1EE3B87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brutto</w:t>
                  </w:r>
                </w:p>
              </w:tc>
              <w:tc>
                <w:tcPr>
                  <w:tcW w:w="766" w:type="dxa"/>
                  <w:tcBorders>
                    <w:top w:val="single" w:sz="4" w:space="0" w:color="FFFFFF"/>
                    <w:left w:val="single" w:sz="4" w:space="0" w:color="FFFFFF"/>
                    <w:bottom w:val="single" w:sz="4" w:space="0" w:color="FFFFFF"/>
                  </w:tcBorders>
                  <w:shd w:val="clear" w:color="auto" w:fill="A6A6A6"/>
                  <w:vAlign w:val="center"/>
                </w:tcPr>
                <w:p w14:paraId="2128149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netto</w:t>
                  </w:r>
                </w:p>
              </w:tc>
              <w:tc>
                <w:tcPr>
                  <w:tcW w:w="943" w:type="dxa"/>
                  <w:tcBorders>
                    <w:top w:val="single" w:sz="4" w:space="0" w:color="FFFFFF"/>
                    <w:left w:val="single" w:sz="4" w:space="0" w:color="FFFFFF"/>
                    <w:bottom w:val="single" w:sz="4" w:space="0" w:color="FFFFFF"/>
                  </w:tcBorders>
                  <w:shd w:val="clear" w:color="auto" w:fill="A6A6A6"/>
                  <w:vAlign w:val="center"/>
                </w:tcPr>
                <w:p w14:paraId="19AA54D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brutto</w:t>
                  </w:r>
                </w:p>
              </w:tc>
            </w:tr>
            <w:tr w:rsidR="00600DEE" w14:paraId="7E3A9C0E" w14:textId="77777777" w:rsidTr="00D24D31">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1D53920"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VIII</w:t>
                  </w:r>
                </w:p>
              </w:tc>
              <w:tc>
                <w:tcPr>
                  <w:tcW w:w="1698" w:type="dxa"/>
                  <w:tcBorders>
                    <w:top w:val="single" w:sz="4" w:space="0" w:color="FFFFFF"/>
                    <w:left w:val="single" w:sz="4" w:space="0" w:color="FFFFFF"/>
                    <w:bottom w:val="single" w:sz="4" w:space="0" w:color="FFFFFF"/>
                  </w:tcBorders>
                  <w:shd w:val="clear" w:color="auto" w:fill="DBE5F1"/>
                  <w:vAlign w:val="center"/>
                </w:tcPr>
                <w:p w14:paraId="0BFD5692"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Roboty drogowe </w:t>
                  </w:r>
                </w:p>
              </w:tc>
              <w:tc>
                <w:tcPr>
                  <w:tcW w:w="720" w:type="dxa"/>
                  <w:tcBorders>
                    <w:top w:val="single" w:sz="4" w:space="0" w:color="FFFFFF"/>
                    <w:left w:val="single" w:sz="4" w:space="0" w:color="FFFFFF"/>
                    <w:bottom w:val="single" w:sz="4" w:space="0" w:color="FFFFFF"/>
                  </w:tcBorders>
                  <w:shd w:val="clear" w:color="auto" w:fill="DBE5F1"/>
                  <w:vAlign w:val="center"/>
                </w:tcPr>
                <w:p w14:paraId="10EEDFA1"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705ECFE"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961AD61"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33454BAA"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474821E"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4B065B6" w14:textId="77777777" w:rsidR="00600DEE" w:rsidRDefault="00600DEE">
                  <w:pPr>
                    <w:spacing w:before="20" w:after="20"/>
                    <w:jc w:val="right"/>
                    <w:rPr>
                      <w:rFonts w:ascii="Calibri" w:eastAsia="Calibri" w:hAnsi="Calibri" w:cs="Calibri"/>
                      <w:color w:val="4F81BD"/>
                      <w:sz w:val="18"/>
                      <w:szCs w:val="18"/>
                    </w:rPr>
                  </w:pPr>
                </w:p>
              </w:tc>
            </w:tr>
            <w:tr w:rsidR="00600DEE" w14:paraId="1717F360" w14:textId="77777777" w:rsidTr="00D24D31">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981B3FB"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FE2776D"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Prace przygotowawcze </w:t>
                  </w:r>
                </w:p>
              </w:tc>
              <w:tc>
                <w:tcPr>
                  <w:tcW w:w="720" w:type="dxa"/>
                  <w:tcBorders>
                    <w:top w:val="single" w:sz="4" w:space="0" w:color="FFFFFF"/>
                    <w:left w:val="single" w:sz="4" w:space="0" w:color="FFFFFF"/>
                    <w:bottom w:val="single" w:sz="4" w:space="0" w:color="FFFFFF"/>
                  </w:tcBorders>
                  <w:shd w:val="clear" w:color="auto" w:fill="DBE5F1"/>
                  <w:vAlign w:val="center"/>
                </w:tcPr>
                <w:p w14:paraId="5E0C893B"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1F9875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CCA8F9D"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1F466E9"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181CA947"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1E96B7DA" w14:textId="77777777" w:rsidR="00600DEE" w:rsidRDefault="00600DEE">
                  <w:pPr>
                    <w:spacing w:before="20" w:after="20"/>
                    <w:jc w:val="right"/>
                    <w:rPr>
                      <w:rFonts w:ascii="Calibri" w:eastAsia="Calibri" w:hAnsi="Calibri" w:cs="Calibri"/>
                      <w:color w:val="4F81BD"/>
                      <w:sz w:val="18"/>
                      <w:szCs w:val="18"/>
                    </w:rPr>
                  </w:pPr>
                </w:p>
              </w:tc>
            </w:tr>
            <w:tr w:rsidR="00600DEE" w14:paraId="10E4B4BB"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0CE060CD"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16EE516C"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Roboty ziemne </w:t>
                  </w:r>
                </w:p>
              </w:tc>
              <w:tc>
                <w:tcPr>
                  <w:tcW w:w="720" w:type="dxa"/>
                  <w:tcBorders>
                    <w:top w:val="single" w:sz="4" w:space="0" w:color="FFFFFF"/>
                    <w:left w:val="single" w:sz="4" w:space="0" w:color="FFFFFF"/>
                    <w:bottom w:val="single" w:sz="4" w:space="0" w:color="FFFFFF"/>
                  </w:tcBorders>
                  <w:shd w:val="clear" w:color="auto" w:fill="DBE5F1"/>
                  <w:vAlign w:val="center"/>
                </w:tcPr>
                <w:p w14:paraId="4FB65182"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061C7B0"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2366E25"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5D2C7F05"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F11CD25"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8F7AE41" w14:textId="77777777" w:rsidR="00600DEE" w:rsidRDefault="00600DEE">
                  <w:pPr>
                    <w:spacing w:before="20" w:after="20"/>
                    <w:jc w:val="right"/>
                    <w:rPr>
                      <w:rFonts w:ascii="Calibri" w:eastAsia="Calibri" w:hAnsi="Calibri" w:cs="Calibri"/>
                      <w:color w:val="4F81BD"/>
                      <w:sz w:val="18"/>
                      <w:szCs w:val="18"/>
                    </w:rPr>
                  </w:pPr>
                </w:p>
              </w:tc>
            </w:tr>
            <w:tr w:rsidR="00600DEE" w14:paraId="64E74E9C"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30F6177E"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BF00108"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Obiekty mostowe </w:t>
                  </w:r>
                </w:p>
              </w:tc>
              <w:tc>
                <w:tcPr>
                  <w:tcW w:w="720" w:type="dxa"/>
                  <w:tcBorders>
                    <w:top w:val="single" w:sz="4" w:space="0" w:color="FFFFFF"/>
                    <w:left w:val="single" w:sz="4" w:space="0" w:color="FFFFFF"/>
                    <w:bottom w:val="single" w:sz="4" w:space="0" w:color="FFFFFF"/>
                  </w:tcBorders>
                  <w:shd w:val="clear" w:color="auto" w:fill="DBE5F1"/>
                  <w:vAlign w:val="center"/>
                </w:tcPr>
                <w:p w14:paraId="71647BF3"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6F416C8"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D1ADA16"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A2D5942"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8C5F598"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D6BA009" w14:textId="77777777" w:rsidR="00600DEE" w:rsidRDefault="00600DEE">
                  <w:pPr>
                    <w:spacing w:before="20" w:after="20"/>
                    <w:jc w:val="right"/>
                    <w:rPr>
                      <w:rFonts w:ascii="Calibri" w:eastAsia="Calibri" w:hAnsi="Calibri" w:cs="Calibri"/>
                      <w:color w:val="4F81BD"/>
                      <w:sz w:val="18"/>
                      <w:szCs w:val="18"/>
                    </w:rPr>
                  </w:pPr>
                </w:p>
              </w:tc>
            </w:tr>
            <w:tr w:rsidR="00600DEE" w14:paraId="081A9CE7"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18BFB29B"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0D33A86C"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Tunele </w:t>
                  </w:r>
                </w:p>
              </w:tc>
              <w:tc>
                <w:tcPr>
                  <w:tcW w:w="720" w:type="dxa"/>
                  <w:tcBorders>
                    <w:top w:val="single" w:sz="4" w:space="0" w:color="FFFFFF"/>
                    <w:left w:val="single" w:sz="4" w:space="0" w:color="FFFFFF"/>
                    <w:bottom w:val="single" w:sz="4" w:space="0" w:color="FFFFFF"/>
                  </w:tcBorders>
                  <w:shd w:val="clear" w:color="auto" w:fill="DBE5F1"/>
                  <w:vAlign w:val="center"/>
                </w:tcPr>
                <w:p w14:paraId="11D0EEF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76CF26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99CC78A"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E9FDCB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75E31B50"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49BCD2A" w14:textId="77777777" w:rsidR="00600DEE" w:rsidRDefault="00600DEE">
                  <w:pPr>
                    <w:spacing w:before="20" w:after="20"/>
                    <w:jc w:val="right"/>
                    <w:rPr>
                      <w:rFonts w:ascii="Calibri" w:eastAsia="Calibri" w:hAnsi="Calibri" w:cs="Calibri"/>
                      <w:color w:val="4F81BD"/>
                      <w:sz w:val="18"/>
                      <w:szCs w:val="18"/>
                    </w:rPr>
                  </w:pPr>
                </w:p>
              </w:tc>
            </w:tr>
            <w:tr w:rsidR="00600DEE" w14:paraId="73F8F0F7"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0001F8D4"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6B38540"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Ściany oporowe i podobne </w:t>
                  </w:r>
                </w:p>
              </w:tc>
              <w:tc>
                <w:tcPr>
                  <w:tcW w:w="720" w:type="dxa"/>
                  <w:tcBorders>
                    <w:top w:val="single" w:sz="4" w:space="0" w:color="FFFFFF"/>
                    <w:left w:val="single" w:sz="4" w:space="0" w:color="FFFFFF"/>
                    <w:bottom w:val="single" w:sz="4" w:space="0" w:color="FFFFFF"/>
                  </w:tcBorders>
                  <w:shd w:val="clear" w:color="auto" w:fill="DBE5F1"/>
                  <w:vAlign w:val="center"/>
                </w:tcPr>
                <w:p w14:paraId="100BD6D9"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13E081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3C847B9"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25744BFE"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79940332"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E4B90A5" w14:textId="77777777" w:rsidR="00600DEE" w:rsidRDefault="00600DEE">
                  <w:pPr>
                    <w:spacing w:before="20" w:after="20"/>
                    <w:jc w:val="right"/>
                    <w:rPr>
                      <w:rFonts w:ascii="Calibri" w:eastAsia="Calibri" w:hAnsi="Calibri" w:cs="Calibri"/>
                      <w:color w:val="4F81BD"/>
                      <w:sz w:val="18"/>
                      <w:szCs w:val="18"/>
                    </w:rPr>
                  </w:pPr>
                </w:p>
              </w:tc>
            </w:tr>
            <w:tr w:rsidR="00600DEE" w14:paraId="04A5626D"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30412A91"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4F0AD9D0"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Podbudowa</w:t>
                  </w:r>
                </w:p>
              </w:tc>
              <w:tc>
                <w:tcPr>
                  <w:tcW w:w="720" w:type="dxa"/>
                  <w:tcBorders>
                    <w:top w:val="single" w:sz="4" w:space="0" w:color="FFFFFF"/>
                    <w:left w:val="single" w:sz="4" w:space="0" w:color="FFFFFF"/>
                    <w:bottom w:val="single" w:sz="4" w:space="0" w:color="FFFFFF"/>
                  </w:tcBorders>
                  <w:shd w:val="clear" w:color="auto" w:fill="DBE5F1"/>
                  <w:vAlign w:val="center"/>
                </w:tcPr>
                <w:p w14:paraId="6E52D1EF"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7A4CA1B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8E4552C"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AA470A6"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318246DB"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6DE4FC06" w14:textId="77777777" w:rsidR="00600DEE" w:rsidRDefault="00600DEE">
                  <w:pPr>
                    <w:spacing w:before="20" w:after="20"/>
                    <w:jc w:val="right"/>
                    <w:rPr>
                      <w:rFonts w:ascii="Calibri" w:eastAsia="Calibri" w:hAnsi="Calibri" w:cs="Calibri"/>
                      <w:color w:val="4F81BD"/>
                      <w:sz w:val="18"/>
                      <w:szCs w:val="18"/>
                    </w:rPr>
                  </w:pPr>
                </w:p>
              </w:tc>
            </w:tr>
            <w:tr w:rsidR="00600DEE" w14:paraId="0F6008DD"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57BDA6F8"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21BB5ADA"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Nawierzchnie </w:t>
                  </w:r>
                </w:p>
              </w:tc>
              <w:tc>
                <w:tcPr>
                  <w:tcW w:w="720" w:type="dxa"/>
                  <w:tcBorders>
                    <w:top w:val="single" w:sz="4" w:space="0" w:color="FFFFFF"/>
                    <w:left w:val="single" w:sz="4" w:space="0" w:color="FFFFFF"/>
                    <w:bottom w:val="single" w:sz="4" w:space="0" w:color="FFFFFF"/>
                  </w:tcBorders>
                  <w:shd w:val="clear" w:color="auto" w:fill="DBE5F1"/>
                  <w:vAlign w:val="center"/>
                </w:tcPr>
                <w:p w14:paraId="2B99201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C718D84"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B4ED566"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3A5D78BB"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EED6D22"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65808AF7" w14:textId="77777777" w:rsidR="00600DEE" w:rsidRDefault="00600DEE">
                  <w:pPr>
                    <w:spacing w:before="20" w:after="20"/>
                    <w:jc w:val="right"/>
                    <w:rPr>
                      <w:rFonts w:ascii="Calibri" w:eastAsia="Calibri" w:hAnsi="Calibri" w:cs="Calibri"/>
                      <w:color w:val="4F81BD"/>
                      <w:sz w:val="18"/>
                      <w:szCs w:val="18"/>
                    </w:rPr>
                  </w:pPr>
                </w:p>
              </w:tc>
            </w:tr>
            <w:tr w:rsidR="00600DEE" w14:paraId="3760AA04"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7240C5AC"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39EC4AF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Odwodnienie drogi </w:t>
                  </w:r>
                </w:p>
              </w:tc>
              <w:tc>
                <w:tcPr>
                  <w:tcW w:w="720" w:type="dxa"/>
                  <w:tcBorders>
                    <w:top w:val="single" w:sz="4" w:space="0" w:color="FFFFFF"/>
                    <w:left w:val="single" w:sz="4" w:space="0" w:color="FFFFFF"/>
                    <w:bottom w:val="single" w:sz="4" w:space="0" w:color="FFFFFF"/>
                  </w:tcBorders>
                  <w:shd w:val="clear" w:color="auto" w:fill="DBE5F1"/>
                  <w:vAlign w:val="center"/>
                </w:tcPr>
                <w:p w14:paraId="390422A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EB2E484"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5FF59975"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C0D00EE"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49E9AC16"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47BAB20" w14:textId="77777777" w:rsidR="00600DEE" w:rsidRDefault="00600DEE">
                  <w:pPr>
                    <w:spacing w:before="20" w:after="20"/>
                    <w:jc w:val="right"/>
                    <w:rPr>
                      <w:rFonts w:ascii="Calibri" w:eastAsia="Calibri" w:hAnsi="Calibri" w:cs="Calibri"/>
                      <w:color w:val="4F81BD"/>
                      <w:sz w:val="18"/>
                      <w:szCs w:val="18"/>
                    </w:rPr>
                  </w:pPr>
                </w:p>
              </w:tc>
            </w:tr>
            <w:tr w:rsidR="00600DEE" w14:paraId="118EA5B4"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1267288F"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1A8BA5E8"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Ekrany akustyczne</w:t>
                  </w:r>
                </w:p>
              </w:tc>
              <w:tc>
                <w:tcPr>
                  <w:tcW w:w="720" w:type="dxa"/>
                  <w:tcBorders>
                    <w:top w:val="single" w:sz="4" w:space="0" w:color="FFFFFF"/>
                    <w:left w:val="single" w:sz="4" w:space="0" w:color="FFFFFF"/>
                    <w:bottom w:val="single" w:sz="4" w:space="0" w:color="FFFFFF"/>
                  </w:tcBorders>
                  <w:shd w:val="clear" w:color="auto" w:fill="DBE5F1"/>
                  <w:vAlign w:val="center"/>
                </w:tcPr>
                <w:p w14:paraId="7A687258"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3F79B99"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D18F95A"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222B115"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67F06617"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C897D0A" w14:textId="77777777" w:rsidR="00600DEE" w:rsidRDefault="00600DEE">
                  <w:pPr>
                    <w:spacing w:before="20" w:after="20"/>
                    <w:jc w:val="right"/>
                    <w:rPr>
                      <w:rFonts w:ascii="Calibri" w:eastAsia="Calibri" w:hAnsi="Calibri" w:cs="Calibri"/>
                      <w:color w:val="4F81BD"/>
                      <w:sz w:val="18"/>
                      <w:szCs w:val="18"/>
                    </w:rPr>
                  </w:pPr>
                </w:p>
              </w:tc>
            </w:tr>
            <w:tr w:rsidR="00600DEE" w14:paraId="618B6B33"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8779F4B"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1026BCDE"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Inne działania środowiskowe</w:t>
                  </w:r>
                </w:p>
              </w:tc>
              <w:tc>
                <w:tcPr>
                  <w:tcW w:w="720" w:type="dxa"/>
                  <w:tcBorders>
                    <w:top w:val="single" w:sz="4" w:space="0" w:color="FFFFFF"/>
                    <w:left w:val="single" w:sz="4" w:space="0" w:color="FFFFFF"/>
                    <w:bottom w:val="single" w:sz="4" w:space="0" w:color="FFFFFF"/>
                  </w:tcBorders>
                  <w:shd w:val="clear" w:color="auto" w:fill="DBE5F1"/>
                  <w:vAlign w:val="center"/>
                </w:tcPr>
                <w:p w14:paraId="3928421A"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587CB4CA"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3307EF3"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36831AC0"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EA615DC"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4A17828" w14:textId="77777777" w:rsidR="00600DEE" w:rsidRDefault="00600DEE">
                  <w:pPr>
                    <w:spacing w:before="20" w:after="20"/>
                    <w:jc w:val="right"/>
                    <w:rPr>
                      <w:rFonts w:ascii="Calibri" w:eastAsia="Calibri" w:hAnsi="Calibri" w:cs="Calibri"/>
                      <w:color w:val="4F81BD"/>
                      <w:sz w:val="18"/>
                      <w:szCs w:val="18"/>
                    </w:rPr>
                  </w:pPr>
                </w:p>
              </w:tc>
            </w:tr>
            <w:tr w:rsidR="00600DEE" w14:paraId="32037E43"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3C9C671C"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572C6002"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Roboty wykończeniowe</w:t>
                  </w:r>
                </w:p>
              </w:tc>
              <w:tc>
                <w:tcPr>
                  <w:tcW w:w="720" w:type="dxa"/>
                  <w:tcBorders>
                    <w:top w:val="single" w:sz="4" w:space="0" w:color="FFFFFF"/>
                    <w:left w:val="single" w:sz="4" w:space="0" w:color="FFFFFF"/>
                    <w:bottom w:val="single" w:sz="4" w:space="0" w:color="FFFFFF"/>
                  </w:tcBorders>
                  <w:shd w:val="clear" w:color="auto" w:fill="DBE5F1"/>
                  <w:vAlign w:val="center"/>
                </w:tcPr>
                <w:p w14:paraId="5C6C0777"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76738C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0DFAB86A"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68166DD"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D541A82"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6E89A81E" w14:textId="77777777" w:rsidR="00600DEE" w:rsidRDefault="00600DEE">
                  <w:pPr>
                    <w:spacing w:before="20" w:after="20"/>
                    <w:jc w:val="right"/>
                    <w:rPr>
                      <w:rFonts w:ascii="Calibri" w:eastAsia="Calibri" w:hAnsi="Calibri" w:cs="Calibri"/>
                      <w:color w:val="4F81BD"/>
                      <w:sz w:val="18"/>
                      <w:szCs w:val="18"/>
                    </w:rPr>
                  </w:pPr>
                </w:p>
              </w:tc>
            </w:tr>
            <w:tr w:rsidR="00600DEE" w14:paraId="2EB96212"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4B0F9174"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2F4BE310"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Oznakowanie, oświetlenie i BRD</w:t>
                  </w:r>
                </w:p>
              </w:tc>
              <w:tc>
                <w:tcPr>
                  <w:tcW w:w="720" w:type="dxa"/>
                  <w:tcBorders>
                    <w:top w:val="single" w:sz="4" w:space="0" w:color="FFFFFF"/>
                    <w:left w:val="single" w:sz="4" w:space="0" w:color="FFFFFF"/>
                    <w:bottom w:val="single" w:sz="4" w:space="0" w:color="FFFFFF"/>
                  </w:tcBorders>
                  <w:shd w:val="clear" w:color="auto" w:fill="DBE5F1"/>
                  <w:vAlign w:val="center"/>
                </w:tcPr>
                <w:p w14:paraId="0D52A113"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5FA1B96"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5701207C"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1480A7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3C653C5"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A886C8F" w14:textId="77777777" w:rsidR="00600DEE" w:rsidRDefault="00600DEE">
                  <w:pPr>
                    <w:spacing w:before="20" w:after="20"/>
                    <w:jc w:val="right"/>
                    <w:rPr>
                      <w:rFonts w:ascii="Calibri" w:eastAsia="Calibri" w:hAnsi="Calibri" w:cs="Calibri"/>
                      <w:color w:val="4F81BD"/>
                      <w:sz w:val="18"/>
                      <w:szCs w:val="18"/>
                    </w:rPr>
                  </w:pPr>
                </w:p>
              </w:tc>
            </w:tr>
            <w:tr w:rsidR="00600DEE" w14:paraId="1E6507BF"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8F42841"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9B905AD"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Inne roboty</w:t>
                  </w:r>
                </w:p>
              </w:tc>
              <w:tc>
                <w:tcPr>
                  <w:tcW w:w="720" w:type="dxa"/>
                  <w:tcBorders>
                    <w:top w:val="single" w:sz="4" w:space="0" w:color="FFFFFF"/>
                    <w:left w:val="single" w:sz="4" w:space="0" w:color="FFFFFF"/>
                    <w:bottom w:val="single" w:sz="4" w:space="0" w:color="FFFFFF"/>
                  </w:tcBorders>
                  <w:shd w:val="clear" w:color="auto" w:fill="DBE5F1"/>
                  <w:vAlign w:val="center"/>
                </w:tcPr>
                <w:p w14:paraId="7A1BA34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154989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56DB330"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C80215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A8BC579"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4F2375A5" w14:textId="77777777" w:rsidR="00600DEE" w:rsidRDefault="00600DEE">
                  <w:pPr>
                    <w:spacing w:before="20" w:after="20"/>
                    <w:jc w:val="right"/>
                    <w:rPr>
                      <w:rFonts w:ascii="Calibri" w:eastAsia="Calibri" w:hAnsi="Calibri" w:cs="Calibri"/>
                      <w:color w:val="4F81BD"/>
                      <w:sz w:val="18"/>
                      <w:szCs w:val="18"/>
                    </w:rPr>
                  </w:pPr>
                </w:p>
              </w:tc>
            </w:tr>
            <w:tr w:rsidR="00600DEE" w14:paraId="1B49A9A7"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4E6E4D5"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48E58CEE"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Przebudowa urządzeń obcych</w:t>
                  </w:r>
                </w:p>
              </w:tc>
              <w:tc>
                <w:tcPr>
                  <w:tcW w:w="720" w:type="dxa"/>
                  <w:tcBorders>
                    <w:top w:val="single" w:sz="4" w:space="0" w:color="FFFFFF"/>
                    <w:left w:val="single" w:sz="4" w:space="0" w:color="FFFFFF"/>
                    <w:bottom w:val="single" w:sz="4" w:space="0" w:color="FFFFFF"/>
                  </w:tcBorders>
                  <w:shd w:val="clear" w:color="auto" w:fill="DBE5F1"/>
                  <w:vAlign w:val="center"/>
                </w:tcPr>
                <w:p w14:paraId="295C603A"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57E45BC6"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EA19870"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4861F4E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70FD1144"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78C4541" w14:textId="77777777" w:rsidR="00600DEE" w:rsidRDefault="00600DEE">
                  <w:pPr>
                    <w:spacing w:before="20" w:after="20"/>
                    <w:jc w:val="right"/>
                    <w:rPr>
                      <w:rFonts w:ascii="Calibri" w:eastAsia="Calibri" w:hAnsi="Calibri" w:cs="Calibri"/>
                      <w:color w:val="4F81BD"/>
                      <w:sz w:val="18"/>
                      <w:szCs w:val="18"/>
                    </w:rPr>
                  </w:pPr>
                </w:p>
              </w:tc>
            </w:tr>
            <w:tr w:rsidR="00600DEE" w14:paraId="264E3FFC" w14:textId="77777777" w:rsidTr="00F132E9">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73FE39BE"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7AFA123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Zieleń</w:t>
                  </w:r>
                </w:p>
              </w:tc>
              <w:tc>
                <w:tcPr>
                  <w:tcW w:w="720" w:type="dxa"/>
                  <w:tcBorders>
                    <w:top w:val="single" w:sz="4" w:space="0" w:color="FFFFFF"/>
                    <w:left w:val="single" w:sz="4" w:space="0" w:color="FFFFFF"/>
                    <w:bottom w:val="single" w:sz="4" w:space="0" w:color="FFFFFF"/>
                  </w:tcBorders>
                  <w:shd w:val="clear" w:color="auto" w:fill="DBE5F1"/>
                  <w:vAlign w:val="center"/>
                </w:tcPr>
                <w:p w14:paraId="6699292F"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CCDD74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FC790A9"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46057823"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ADEC143"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EA90C6B" w14:textId="77777777" w:rsidR="00600DEE" w:rsidRDefault="00600DEE">
                  <w:pPr>
                    <w:spacing w:before="20" w:after="20"/>
                    <w:jc w:val="right"/>
                    <w:rPr>
                      <w:rFonts w:ascii="Calibri" w:eastAsia="Calibri" w:hAnsi="Calibri" w:cs="Calibri"/>
                      <w:color w:val="4F81BD"/>
                      <w:sz w:val="18"/>
                      <w:szCs w:val="18"/>
                    </w:rPr>
                  </w:pPr>
                </w:p>
              </w:tc>
            </w:tr>
            <w:tr w:rsidR="00600DEE" w14:paraId="56066B68" w14:textId="77777777" w:rsidTr="00F132E9">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22F97B98"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58072FEA"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ITS</w:t>
                  </w:r>
                </w:p>
              </w:tc>
              <w:tc>
                <w:tcPr>
                  <w:tcW w:w="720" w:type="dxa"/>
                  <w:tcBorders>
                    <w:top w:val="single" w:sz="4" w:space="0" w:color="FFFFFF"/>
                    <w:left w:val="single" w:sz="4" w:space="0" w:color="FFFFFF"/>
                    <w:bottom w:val="single" w:sz="4" w:space="0" w:color="FFFFFF"/>
                  </w:tcBorders>
                  <w:shd w:val="clear" w:color="auto" w:fill="DBE5F1"/>
                  <w:vAlign w:val="center"/>
                </w:tcPr>
                <w:p w14:paraId="26C5F89B"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3DF088F"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E581CE7"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4559CAA5"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0BFF82E"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7FA0C730" w14:textId="77777777" w:rsidR="00600DEE" w:rsidRDefault="00600DEE">
                  <w:pPr>
                    <w:spacing w:before="20" w:after="20"/>
                    <w:jc w:val="right"/>
                    <w:rPr>
                      <w:rFonts w:ascii="Calibri" w:eastAsia="Calibri" w:hAnsi="Calibri" w:cs="Calibri"/>
                      <w:color w:val="4F81BD"/>
                      <w:sz w:val="18"/>
                      <w:szCs w:val="18"/>
                    </w:rPr>
                  </w:pPr>
                </w:p>
              </w:tc>
            </w:tr>
            <w:tr w:rsidR="00600DEE" w14:paraId="517E4FD1" w14:textId="77777777" w:rsidTr="00F132E9">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4F534F12"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IX</w:t>
                  </w:r>
                </w:p>
              </w:tc>
              <w:tc>
                <w:tcPr>
                  <w:tcW w:w="1698" w:type="dxa"/>
                  <w:tcBorders>
                    <w:top w:val="single" w:sz="4" w:space="0" w:color="FFFFFF"/>
                    <w:left w:val="single" w:sz="4" w:space="0" w:color="FFFFFF"/>
                    <w:bottom w:val="single" w:sz="4" w:space="0" w:color="FFFFFF"/>
                  </w:tcBorders>
                  <w:shd w:val="clear" w:color="auto" w:fill="DBE5F1"/>
                  <w:vAlign w:val="center"/>
                </w:tcPr>
                <w:p w14:paraId="4A0D3AA8"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Zakład i maszyny</w:t>
                  </w:r>
                </w:p>
              </w:tc>
              <w:tc>
                <w:tcPr>
                  <w:tcW w:w="720" w:type="dxa"/>
                  <w:tcBorders>
                    <w:top w:val="single" w:sz="4" w:space="0" w:color="FFFFFF"/>
                    <w:left w:val="single" w:sz="4" w:space="0" w:color="FFFFFF"/>
                    <w:bottom w:val="single" w:sz="4" w:space="0" w:color="FFFFFF"/>
                  </w:tcBorders>
                  <w:shd w:val="clear" w:color="auto" w:fill="DBE5F1"/>
                  <w:vAlign w:val="center"/>
                </w:tcPr>
                <w:p w14:paraId="7890260E"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4D10DDE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B1E83DF"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7CB5D361"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667B3A7B"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07F5F78" w14:textId="77777777" w:rsidR="00600DEE" w:rsidRDefault="00600DEE">
                  <w:pPr>
                    <w:spacing w:before="20" w:after="20"/>
                    <w:jc w:val="right"/>
                    <w:rPr>
                      <w:rFonts w:ascii="Calibri" w:eastAsia="Calibri" w:hAnsi="Calibri" w:cs="Calibri"/>
                      <w:color w:val="4F81BD"/>
                      <w:sz w:val="18"/>
                      <w:szCs w:val="18"/>
                    </w:rPr>
                  </w:pPr>
                </w:p>
              </w:tc>
            </w:tr>
            <w:tr w:rsidR="00600DEE" w14:paraId="2EC5F062"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75C8DADE"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w:t>
                  </w:r>
                </w:p>
              </w:tc>
              <w:tc>
                <w:tcPr>
                  <w:tcW w:w="1698" w:type="dxa"/>
                  <w:tcBorders>
                    <w:top w:val="single" w:sz="4" w:space="0" w:color="FFFFFF"/>
                    <w:left w:val="single" w:sz="4" w:space="0" w:color="FFFFFF"/>
                    <w:bottom w:val="single" w:sz="4" w:space="0" w:color="FFFFFF"/>
                  </w:tcBorders>
                  <w:shd w:val="clear" w:color="auto" w:fill="DBE5F1"/>
                  <w:vAlign w:val="center"/>
                </w:tcPr>
                <w:p w14:paraId="35815D9A"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Koszty </w:t>
                  </w:r>
                  <w:proofErr w:type="spellStart"/>
                  <w:r>
                    <w:rPr>
                      <w:rFonts w:ascii="Calibri" w:eastAsia="Calibri" w:hAnsi="Calibri" w:cs="Calibri"/>
                      <w:color w:val="4F81BD"/>
                      <w:sz w:val="18"/>
                      <w:szCs w:val="18"/>
                    </w:rPr>
                    <w:t>okołokontraktowe</w:t>
                  </w:r>
                  <w:proofErr w:type="spellEnd"/>
                </w:p>
              </w:tc>
              <w:tc>
                <w:tcPr>
                  <w:tcW w:w="720" w:type="dxa"/>
                  <w:tcBorders>
                    <w:top w:val="single" w:sz="4" w:space="0" w:color="FFFFFF"/>
                    <w:left w:val="single" w:sz="4" w:space="0" w:color="FFFFFF"/>
                    <w:bottom w:val="single" w:sz="4" w:space="0" w:color="FFFFFF"/>
                  </w:tcBorders>
                  <w:shd w:val="clear" w:color="auto" w:fill="DBE5F1"/>
                  <w:vAlign w:val="center"/>
                </w:tcPr>
                <w:p w14:paraId="3EF0A69A"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1342AA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9541D4F"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AF529BA"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A4EB017"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17C65560" w14:textId="77777777" w:rsidR="00600DEE" w:rsidRDefault="00600DEE">
                  <w:pPr>
                    <w:spacing w:before="20" w:after="20"/>
                    <w:jc w:val="right"/>
                    <w:rPr>
                      <w:rFonts w:ascii="Calibri" w:eastAsia="Calibri" w:hAnsi="Calibri" w:cs="Calibri"/>
                      <w:color w:val="4F81BD"/>
                      <w:sz w:val="18"/>
                      <w:szCs w:val="18"/>
                    </w:rPr>
                  </w:pPr>
                </w:p>
              </w:tc>
            </w:tr>
            <w:tr w:rsidR="00600DEE" w14:paraId="7F908650"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7AA3B56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w:t>
                  </w:r>
                </w:p>
              </w:tc>
              <w:tc>
                <w:tcPr>
                  <w:tcW w:w="1698" w:type="dxa"/>
                  <w:tcBorders>
                    <w:top w:val="single" w:sz="4" w:space="0" w:color="FFFFFF"/>
                    <w:left w:val="single" w:sz="4" w:space="0" w:color="FFFFFF"/>
                    <w:bottom w:val="single" w:sz="4" w:space="0" w:color="FFFFFF"/>
                  </w:tcBorders>
                  <w:shd w:val="clear" w:color="auto" w:fill="DBE5F1"/>
                  <w:vAlign w:val="center"/>
                </w:tcPr>
                <w:p w14:paraId="7572BCB4"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Rezerwa na roboty nieprzewidziane </w:t>
                  </w:r>
                </w:p>
              </w:tc>
              <w:tc>
                <w:tcPr>
                  <w:tcW w:w="720" w:type="dxa"/>
                  <w:tcBorders>
                    <w:top w:val="single" w:sz="4" w:space="0" w:color="FFFFFF"/>
                    <w:left w:val="single" w:sz="4" w:space="0" w:color="FFFFFF"/>
                    <w:bottom w:val="single" w:sz="4" w:space="0" w:color="FFFFFF"/>
                  </w:tcBorders>
                  <w:shd w:val="clear" w:color="auto" w:fill="DBE5F1"/>
                  <w:vAlign w:val="center"/>
                </w:tcPr>
                <w:p w14:paraId="4DBE3D80"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64A37F0"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8509CE6"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79FEB91"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1D1CBC25"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726AA032" w14:textId="77777777" w:rsidR="00600DEE" w:rsidRDefault="00600DEE">
                  <w:pPr>
                    <w:spacing w:before="20" w:after="20"/>
                    <w:jc w:val="right"/>
                    <w:rPr>
                      <w:rFonts w:ascii="Calibri" w:eastAsia="Calibri" w:hAnsi="Calibri" w:cs="Calibri"/>
                      <w:color w:val="4F81BD"/>
                      <w:sz w:val="18"/>
                      <w:szCs w:val="18"/>
                    </w:rPr>
                  </w:pPr>
                </w:p>
              </w:tc>
            </w:tr>
            <w:tr w:rsidR="00600DEE" w14:paraId="51789D52" w14:textId="77777777" w:rsidTr="00F132E9">
              <w:trPr>
                <w:trHeight w:hRule="exact" w:val="680"/>
              </w:trPr>
              <w:tc>
                <w:tcPr>
                  <w:tcW w:w="532" w:type="dxa"/>
                  <w:tcBorders>
                    <w:top w:val="single" w:sz="4" w:space="0" w:color="FFFFFF"/>
                    <w:left w:val="single" w:sz="4" w:space="0" w:color="FFFFFF"/>
                    <w:bottom w:val="single" w:sz="4" w:space="0" w:color="FFFFFF"/>
                  </w:tcBorders>
                  <w:shd w:val="clear" w:color="auto" w:fill="DBE5F1"/>
                  <w:vAlign w:val="center"/>
                </w:tcPr>
                <w:p w14:paraId="667D977B"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XII</w:t>
                  </w:r>
                </w:p>
              </w:tc>
              <w:tc>
                <w:tcPr>
                  <w:tcW w:w="1698" w:type="dxa"/>
                  <w:tcBorders>
                    <w:top w:val="single" w:sz="4" w:space="0" w:color="FFFFFF"/>
                    <w:left w:val="single" w:sz="4" w:space="0" w:color="FFFFFF"/>
                    <w:bottom w:val="single" w:sz="4" w:space="0" w:color="FFFFFF"/>
                  </w:tcBorders>
                  <w:shd w:val="clear" w:color="auto" w:fill="DBE5F1"/>
                  <w:vAlign w:val="center"/>
                </w:tcPr>
                <w:p w14:paraId="7B294397"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Łączny koszt inwestycji, w tym rezerwa</w:t>
                  </w:r>
                </w:p>
              </w:tc>
              <w:tc>
                <w:tcPr>
                  <w:tcW w:w="720" w:type="dxa"/>
                  <w:tcBorders>
                    <w:top w:val="single" w:sz="4" w:space="0" w:color="FFFFFF"/>
                    <w:left w:val="single" w:sz="4" w:space="0" w:color="FFFFFF"/>
                    <w:bottom w:val="single" w:sz="4" w:space="0" w:color="FFFFFF"/>
                  </w:tcBorders>
                  <w:shd w:val="clear" w:color="auto" w:fill="DBE5F1"/>
                  <w:vAlign w:val="center"/>
                </w:tcPr>
                <w:p w14:paraId="7912E5FF"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50E6870"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4C973D1"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F6CFEAD"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43732676"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3976132" w14:textId="77777777" w:rsidR="00600DEE" w:rsidRDefault="00600DEE">
                  <w:pPr>
                    <w:spacing w:before="20" w:after="20"/>
                    <w:jc w:val="right"/>
                    <w:rPr>
                      <w:rFonts w:ascii="Calibri" w:eastAsia="Calibri" w:hAnsi="Calibri" w:cs="Calibri"/>
                      <w:color w:val="4F81BD"/>
                      <w:sz w:val="18"/>
                      <w:szCs w:val="18"/>
                    </w:rPr>
                  </w:pPr>
                </w:p>
              </w:tc>
            </w:tr>
            <w:tr w:rsidR="00600DEE" w14:paraId="2D34763B"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B382AAF"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XIII</w:t>
                  </w:r>
                </w:p>
              </w:tc>
              <w:tc>
                <w:tcPr>
                  <w:tcW w:w="1698" w:type="dxa"/>
                  <w:tcBorders>
                    <w:top w:val="single" w:sz="4" w:space="0" w:color="FFFFFF"/>
                    <w:left w:val="single" w:sz="4" w:space="0" w:color="FFFFFF"/>
                    <w:bottom w:val="single" w:sz="4" w:space="0" w:color="FFFFFF"/>
                  </w:tcBorders>
                  <w:shd w:val="clear" w:color="auto" w:fill="DBE5F1"/>
                  <w:vAlign w:val="center"/>
                </w:tcPr>
                <w:p w14:paraId="54CA3186"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VAT</w:t>
                  </w:r>
                </w:p>
              </w:tc>
              <w:tc>
                <w:tcPr>
                  <w:tcW w:w="1440" w:type="dxa"/>
                  <w:gridSpan w:val="2"/>
                  <w:tcBorders>
                    <w:top w:val="single" w:sz="4" w:space="0" w:color="FFFFFF"/>
                    <w:left w:val="single" w:sz="4" w:space="0" w:color="FFFFFF"/>
                    <w:bottom w:val="single" w:sz="4" w:space="0" w:color="FFFFFF"/>
                  </w:tcBorders>
                  <w:shd w:val="clear" w:color="auto" w:fill="DBE5F1"/>
                  <w:vAlign w:val="center"/>
                </w:tcPr>
                <w:p w14:paraId="6BDAB320" w14:textId="77777777" w:rsidR="00600DEE" w:rsidRDefault="00600DEE">
                  <w:pPr>
                    <w:spacing w:before="20" w:after="20"/>
                    <w:jc w:val="right"/>
                    <w:rPr>
                      <w:rFonts w:ascii="Calibri" w:eastAsia="Calibri" w:hAnsi="Calibri" w:cs="Calibri"/>
                      <w:color w:val="4F81BD"/>
                      <w:sz w:val="18"/>
                      <w:szCs w:val="18"/>
                    </w:rPr>
                  </w:pPr>
                </w:p>
              </w:tc>
              <w:tc>
                <w:tcPr>
                  <w:tcW w:w="1347" w:type="dxa"/>
                  <w:gridSpan w:val="2"/>
                  <w:tcBorders>
                    <w:top w:val="single" w:sz="4" w:space="0" w:color="FFFFFF"/>
                    <w:left w:val="single" w:sz="4" w:space="0" w:color="FFFFFF"/>
                    <w:bottom w:val="single" w:sz="4" w:space="0" w:color="FFFFFF"/>
                  </w:tcBorders>
                  <w:shd w:val="clear" w:color="auto" w:fill="DBE5F1"/>
                  <w:vAlign w:val="center"/>
                </w:tcPr>
                <w:p w14:paraId="4016BD79" w14:textId="77777777" w:rsidR="00600DEE" w:rsidRDefault="00600DEE">
                  <w:pPr>
                    <w:spacing w:before="20" w:after="20"/>
                    <w:jc w:val="right"/>
                    <w:rPr>
                      <w:rFonts w:ascii="Calibri" w:eastAsia="Calibri" w:hAnsi="Calibri" w:cs="Calibri"/>
                      <w:color w:val="4F81BD"/>
                      <w:sz w:val="18"/>
                      <w:szCs w:val="18"/>
                    </w:rPr>
                  </w:pPr>
                </w:p>
              </w:tc>
              <w:tc>
                <w:tcPr>
                  <w:tcW w:w="1709" w:type="dxa"/>
                  <w:gridSpan w:val="2"/>
                  <w:tcBorders>
                    <w:top w:val="single" w:sz="4" w:space="0" w:color="FFFFFF"/>
                    <w:left w:val="single" w:sz="4" w:space="0" w:color="FFFFFF"/>
                    <w:bottom w:val="single" w:sz="4" w:space="0" w:color="FFFFFF"/>
                  </w:tcBorders>
                  <w:shd w:val="clear" w:color="auto" w:fill="DBE5F1"/>
                </w:tcPr>
                <w:p w14:paraId="436FA5B2" w14:textId="77777777" w:rsidR="00600DEE" w:rsidRDefault="00600DEE">
                  <w:pPr>
                    <w:spacing w:before="20" w:after="20"/>
                    <w:jc w:val="right"/>
                    <w:rPr>
                      <w:rFonts w:ascii="Calibri" w:eastAsia="Calibri" w:hAnsi="Calibri" w:cs="Calibri"/>
                      <w:color w:val="4F81BD"/>
                      <w:sz w:val="18"/>
                      <w:szCs w:val="18"/>
                    </w:rPr>
                  </w:pPr>
                </w:p>
              </w:tc>
            </w:tr>
          </w:tbl>
          <w:p w14:paraId="50A883BC" w14:textId="77777777" w:rsidR="00600DEE" w:rsidRDefault="00641FB5" w:rsidP="000927FA">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 sytuacji, gdy w inwestycji występują obiekty inżynierskie o znacznej wartości (tunele, mosty lub wiadukty itp.), należy je wyodrębnić w zestawieniu kosztów jeżeli wykonujący analizę uzna to za stosowne. Takie rozbicie ułatwia porównywanie wariantów i zidentyfikowanie dominujących kosztów inwestycyjnych. Ponadto, </w:t>
            </w:r>
            <w:r>
              <w:rPr>
                <w:rFonts w:ascii="Calibri" w:eastAsia="Calibri" w:hAnsi="Calibri" w:cs="Calibri"/>
                <w:color w:val="000000"/>
                <w:sz w:val="20"/>
                <w:szCs w:val="20"/>
              </w:rPr>
              <w:lastRenderedPageBreak/>
              <w:t>w przypadku zbliżonych wyników AKK, łatwiejsze jest zestawienie wariantów pod względem spełnianych celów i kosztów inwestycyjnych.</w:t>
            </w:r>
          </w:p>
          <w:p w14:paraId="6BD29604" w14:textId="41EF8F0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 zestawieniu należy podać koszty netto oraz z uwzględnieniem podatku VAT. Jest to związane ze zróżnicowanym poziomem VAT dla różnych kategorii kosztów, kwalifikowalnością lub nie podatku VAT dla różnych </w:t>
            </w:r>
            <w:r w:rsidR="00933C7D">
              <w:rPr>
                <w:rFonts w:ascii="Calibri" w:eastAsia="Calibri" w:hAnsi="Calibri" w:cs="Calibri"/>
                <w:color w:val="000000"/>
                <w:sz w:val="20"/>
                <w:szCs w:val="20"/>
              </w:rPr>
              <w:t>B</w:t>
            </w:r>
            <w:r>
              <w:rPr>
                <w:rFonts w:ascii="Calibri" w:eastAsia="Calibri" w:hAnsi="Calibri" w:cs="Calibri"/>
                <w:color w:val="000000"/>
                <w:sz w:val="20"/>
                <w:szCs w:val="20"/>
              </w:rPr>
              <w:t>eneficjentów oraz koniecznością przekształcenia nakładów inwestycyjnych wyrażonych w cenach rynkowych na ceny rozrachunkowe (patrz rozdział 2.2.2).</w:t>
            </w:r>
          </w:p>
          <w:p w14:paraId="08D205A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Dla celów poglądowych zaleca się przedstawienie łącznych kosztów inwestycyjnych wariantu inwestycyjnego, jak również kosztów na kilometr (patrz tabela poniżej).</w:t>
            </w:r>
          </w:p>
          <w:p w14:paraId="7C3078D0"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9. Koszty projektu </w:t>
            </w:r>
          </w:p>
          <w:tbl>
            <w:tblPr>
              <w:tblStyle w:val="aff5"/>
              <w:tblW w:w="6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8"/>
              <w:gridCol w:w="1938"/>
              <w:gridCol w:w="2941"/>
            </w:tblGrid>
            <w:tr w:rsidR="00600DEE" w14:paraId="10BA2D25" w14:textId="77777777" w:rsidTr="00CB0FAE">
              <w:trPr>
                <w:trHeight w:val="243"/>
              </w:trPr>
              <w:tc>
                <w:tcPr>
                  <w:tcW w:w="1938" w:type="dxa"/>
                  <w:tcBorders>
                    <w:top w:val="nil"/>
                    <w:left w:val="nil"/>
                    <w:bottom w:val="nil"/>
                    <w:right w:val="single" w:sz="4" w:space="0" w:color="FFFFFF"/>
                  </w:tcBorders>
                  <w:shd w:val="clear" w:color="auto" w:fill="A6A6A6"/>
                  <w:vAlign w:val="center"/>
                </w:tcPr>
                <w:p w14:paraId="6A97C1E4"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Wyszczególnienie</w:t>
                  </w:r>
                </w:p>
              </w:tc>
              <w:tc>
                <w:tcPr>
                  <w:tcW w:w="1938" w:type="dxa"/>
                  <w:tcBorders>
                    <w:top w:val="nil"/>
                    <w:left w:val="single" w:sz="4" w:space="0" w:color="FFFFFF"/>
                    <w:bottom w:val="nil"/>
                    <w:right w:val="single" w:sz="4" w:space="0" w:color="FFFFFF"/>
                  </w:tcBorders>
                  <w:shd w:val="clear" w:color="auto" w:fill="A6A6A6"/>
                  <w:vAlign w:val="center"/>
                </w:tcPr>
                <w:p w14:paraId="5AF62B42"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Koszt z VAT na km</w:t>
                  </w:r>
                </w:p>
              </w:tc>
              <w:tc>
                <w:tcPr>
                  <w:tcW w:w="2941" w:type="dxa"/>
                  <w:tcBorders>
                    <w:top w:val="nil"/>
                    <w:left w:val="single" w:sz="4" w:space="0" w:color="FFFFFF"/>
                    <w:bottom w:val="nil"/>
                    <w:right w:val="nil"/>
                  </w:tcBorders>
                  <w:shd w:val="clear" w:color="auto" w:fill="A6A6A6"/>
                  <w:vAlign w:val="center"/>
                </w:tcPr>
                <w:p w14:paraId="30E65E3E"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Koszt bez VAT na km</w:t>
                  </w:r>
                </w:p>
              </w:tc>
            </w:tr>
            <w:tr w:rsidR="00600DEE" w14:paraId="556E55B7" w14:textId="77777777" w:rsidTr="00CB0FAE">
              <w:trPr>
                <w:trHeight w:val="291"/>
              </w:trPr>
              <w:tc>
                <w:tcPr>
                  <w:tcW w:w="1938" w:type="dxa"/>
                  <w:tcBorders>
                    <w:top w:val="single" w:sz="4" w:space="0" w:color="FFFFFF"/>
                    <w:left w:val="nil"/>
                    <w:bottom w:val="single" w:sz="4" w:space="0" w:color="FFFFFF"/>
                    <w:right w:val="single" w:sz="4" w:space="0" w:color="FFFFFF"/>
                  </w:tcBorders>
                  <w:shd w:val="clear" w:color="auto" w:fill="DBE5F1"/>
                  <w:vAlign w:val="center"/>
                </w:tcPr>
                <w:p w14:paraId="516295E5" w14:textId="77777777" w:rsidR="00600DEE" w:rsidRDefault="00641FB5">
                  <w:pPr>
                    <w:ind w:right="-20"/>
                    <w:rPr>
                      <w:rFonts w:ascii="Calibri" w:eastAsia="Calibri" w:hAnsi="Calibri" w:cs="Calibri"/>
                      <w:color w:val="4F81BD"/>
                      <w:sz w:val="18"/>
                      <w:szCs w:val="18"/>
                    </w:rPr>
                  </w:pPr>
                  <w:r>
                    <w:rPr>
                      <w:rFonts w:ascii="Calibri" w:eastAsia="Calibri" w:hAnsi="Calibri" w:cs="Calibri"/>
                      <w:color w:val="4F81BD"/>
                      <w:sz w:val="18"/>
                      <w:szCs w:val="18"/>
                    </w:rPr>
                    <w:t>Bez wykupu gruntów</w:t>
                  </w:r>
                </w:p>
              </w:tc>
              <w:tc>
                <w:tcPr>
                  <w:tcW w:w="1938" w:type="dxa"/>
                  <w:tcBorders>
                    <w:top w:val="single" w:sz="4" w:space="0" w:color="FFFFFF"/>
                    <w:left w:val="single" w:sz="4" w:space="0" w:color="FFFFFF"/>
                    <w:bottom w:val="single" w:sz="4" w:space="0" w:color="FFFFFF"/>
                    <w:right w:val="single" w:sz="4" w:space="0" w:color="FFFFFF"/>
                  </w:tcBorders>
                  <w:shd w:val="clear" w:color="auto" w:fill="DBE5F1"/>
                </w:tcPr>
                <w:p w14:paraId="4E1D4789" w14:textId="77777777" w:rsidR="00600DEE" w:rsidRDefault="00600DEE">
                  <w:pPr>
                    <w:ind w:right="952"/>
                    <w:jc w:val="center"/>
                    <w:rPr>
                      <w:rFonts w:ascii="Calibri" w:eastAsia="Calibri" w:hAnsi="Calibri" w:cs="Calibri"/>
                      <w:color w:val="4F81BD"/>
                      <w:sz w:val="18"/>
                      <w:szCs w:val="18"/>
                    </w:rPr>
                  </w:pPr>
                </w:p>
              </w:tc>
              <w:tc>
                <w:tcPr>
                  <w:tcW w:w="2941" w:type="dxa"/>
                  <w:tcBorders>
                    <w:top w:val="single" w:sz="4" w:space="0" w:color="FFFFFF"/>
                    <w:left w:val="single" w:sz="4" w:space="0" w:color="FFFFFF"/>
                    <w:bottom w:val="single" w:sz="4" w:space="0" w:color="FFFFFF"/>
                    <w:right w:val="nil"/>
                  </w:tcBorders>
                  <w:shd w:val="clear" w:color="auto" w:fill="DBE5F1"/>
                </w:tcPr>
                <w:p w14:paraId="544E2856" w14:textId="77777777" w:rsidR="00600DEE" w:rsidRDefault="00600DEE">
                  <w:pPr>
                    <w:ind w:right="904"/>
                    <w:jc w:val="center"/>
                    <w:rPr>
                      <w:rFonts w:ascii="Calibri" w:eastAsia="Calibri" w:hAnsi="Calibri" w:cs="Calibri"/>
                      <w:color w:val="4F81BD"/>
                      <w:sz w:val="18"/>
                      <w:szCs w:val="18"/>
                    </w:rPr>
                  </w:pPr>
                </w:p>
              </w:tc>
            </w:tr>
            <w:tr w:rsidR="00600DEE" w14:paraId="21C0EBC3" w14:textId="77777777" w:rsidTr="00CB0FAE">
              <w:trPr>
                <w:trHeight w:hRule="exact" w:val="616"/>
              </w:trPr>
              <w:tc>
                <w:tcPr>
                  <w:tcW w:w="1938" w:type="dxa"/>
                  <w:tcBorders>
                    <w:top w:val="single" w:sz="4" w:space="0" w:color="FFFFFF"/>
                    <w:left w:val="nil"/>
                    <w:bottom w:val="nil"/>
                    <w:right w:val="single" w:sz="4" w:space="0" w:color="FFFFFF"/>
                  </w:tcBorders>
                  <w:shd w:val="clear" w:color="auto" w:fill="DBE5F1"/>
                </w:tcPr>
                <w:p w14:paraId="04DB2B98" w14:textId="77777777" w:rsidR="00600DEE" w:rsidRDefault="00641FB5">
                  <w:pPr>
                    <w:spacing w:before="4"/>
                    <w:rPr>
                      <w:rFonts w:ascii="Calibri" w:eastAsia="Calibri" w:hAnsi="Calibri" w:cs="Calibri"/>
                      <w:color w:val="4F81BD"/>
                      <w:sz w:val="12"/>
                      <w:szCs w:val="12"/>
                    </w:rPr>
                  </w:pPr>
                  <w:r>
                    <w:rPr>
                      <w:rFonts w:ascii="Calibri" w:eastAsia="Calibri" w:hAnsi="Calibri" w:cs="Calibri"/>
                      <w:color w:val="4F81BD"/>
                      <w:sz w:val="18"/>
                      <w:szCs w:val="18"/>
                    </w:rPr>
                    <w:t>Bez wykupu gruntów i bez obiektów</w:t>
                  </w:r>
                </w:p>
              </w:tc>
              <w:tc>
                <w:tcPr>
                  <w:tcW w:w="1938" w:type="dxa"/>
                  <w:tcBorders>
                    <w:top w:val="single" w:sz="4" w:space="0" w:color="FFFFFF"/>
                    <w:left w:val="single" w:sz="4" w:space="0" w:color="FFFFFF"/>
                    <w:bottom w:val="nil"/>
                    <w:right w:val="single" w:sz="4" w:space="0" w:color="FFFFFF"/>
                  </w:tcBorders>
                  <w:shd w:val="clear" w:color="auto" w:fill="DBE5F1"/>
                </w:tcPr>
                <w:p w14:paraId="67241F16" w14:textId="77777777" w:rsidR="00600DEE" w:rsidRDefault="00600DEE">
                  <w:pPr>
                    <w:ind w:right="952"/>
                    <w:jc w:val="center"/>
                    <w:rPr>
                      <w:rFonts w:ascii="Calibri" w:eastAsia="Calibri" w:hAnsi="Calibri" w:cs="Calibri"/>
                      <w:color w:val="4F81BD"/>
                      <w:sz w:val="18"/>
                      <w:szCs w:val="18"/>
                    </w:rPr>
                  </w:pPr>
                </w:p>
              </w:tc>
              <w:tc>
                <w:tcPr>
                  <w:tcW w:w="2941" w:type="dxa"/>
                  <w:tcBorders>
                    <w:top w:val="single" w:sz="4" w:space="0" w:color="FFFFFF"/>
                    <w:left w:val="single" w:sz="4" w:space="0" w:color="FFFFFF"/>
                    <w:bottom w:val="nil"/>
                    <w:right w:val="nil"/>
                  </w:tcBorders>
                  <w:shd w:val="clear" w:color="auto" w:fill="DBE5F1"/>
                </w:tcPr>
                <w:p w14:paraId="6FC98A06" w14:textId="77777777" w:rsidR="00600DEE" w:rsidRDefault="00600DEE">
                  <w:pPr>
                    <w:ind w:right="904"/>
                    <w:jc w:val="center"/>
                    <w:rPr>
                      <w:rFonts w:ascii="Calibri" w:eastAsia="Calibri" w:hAnsi="Calibri" w:cs="Calibri"/>
                      <w:color w:val="4F81BD"/>
                      <w:sz w:val="18"/>
                      <w:szCs w:val="18"/>
                    </w:rPr>
                  </w:pPr>
                </w:p>
              </w:tc>
            </w:tr>
          </w:tbl>
          <w:p w14:paraId="01215AC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Nakłady inwestycyjne dla celów AKK należy rozłożyć na poszczególne lata analizy zgodnie z harmonogramem finansowym ponoszenia wydatków. Należy unikać przedstawiania bardzo małych nakładów ponoszonych na początku przygotowania i realizacji inwestycji. W takich przypadkach zaleca się, aby wszystkie mniejsze nakłady włączyć do kosztów w pierwszym roku analizy. W przypadku nakładów ponoszonych przed pierwszym rokiem analizy, co do zasady, nie stosuje się ich indeksacji i wykazuje w wartości nominalnej w pierwszym roku analizy.</w:t>
            </w:r>
          </w:p>
        </w:tc>
        <w:tc>
          <w:tcPr>
            <w:tcW w:w="7204" w:type="dxa"/>
            <w:tcBorders>
              <w:left w:val="single" w:sz="4" w:space="0" w:color="000000"/>
            </w:tcBorders>
            <w:tcMar>
              <w:left w:w="284" w:type="dxa"/>
              <w:right w:w="284" w:type="dxa"/>
            </w:tcMar>
          </w:tcPr>
          <w:p w14:paraId="77A35974" w14:textId="77777777" w:rsidR="00600DEE" w:rsidRPr="0045151D" w:rsidRDefault="00641FB5" w:rsidP="00D24D31">
            <w:pPr>
              <w:pBdr>
                <w:top w:val="nil"/>
                <w:left w:val="nil"/>
                <w:bottom w:val="nil"/>
                <w:right w:val="nil"/>
                <w:between w:val="nil"/>
              </w:pBdr>
              <w:spacing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One of the most important inputs are the capital expenditures of each project investment option. </w:t>
            </w:r>
          </w:p>
          <w:p w14:paraId="50ABB1F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ability to estimate future costs and range of uncertainties is crucial not only for the CBA, but also for planning and implementation of the investment programme as a whole. It is a matter concerning many Beneficiaries; therefore, it is recommended to be cautious and accurate during investment costs assessment.</w:t>
            </w:r>
          </w:p>
          <w:p w14:paraId="65D69190"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One must take into account the best available information on current prices of road construction works. An important point is to understand the basis of the estimate and, thus, the accuracy which can be expected, and to test this range of uncertainty in the sensitivity analysis (see chapter 4.1). For option selection, it is more important to use a consistent cost basis for all investment options than to obtain accurate data in absolute values. All assumptions used should be stated. Therefore, it is important that the costs estimation is made on the basis of project documentation of about the same accuracy level.</w:t>
            </w:r>
          </w:p>
          <w:p w14:paraId="739B3CC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At the time of preparing the grant application form, there might be updated costs information on the basis of more accurate bills of quantities from detailed construction designs, or tender prices. If the new estimate is within the range tested in the sensitivity analysis and the results were still considered acceptable, there is no need to repeat the full analysis at this stage (an update only if deemed </w:t>
            </w:r>
            <w:proofErr w:type="spellStart"/>
            <w:r w:rsidRPr="0045151D">
              <w:rPr>
                <w:rFonts w:ascii="Calibri" w:eastAsia="Calibri" w:hAnsi="Calibri" w:cs="Calibri"/>
                <w:color w:val="000000"/>
                <w:sz w:val="20"/>
                <w:szCs w:val="20"/>
                <w:lang w:val="en-GB"/>
              </w:rPr>
              <w:t>appriprate</w:t>
            </w:r>
            <w:proofErr w:type="spellEnd"/>
            <w:r w:rsidRPr="0045151D">
              <w:rPr>
                <w:rFonts w:ascii="Calibri" w:eastAsia="Calibri" w:hAnsi="Calibri" w:cs="Calibri"/>
                <w:color w:val="000000"/>
                <w:sz w:val="20"/>
                <w:szCs w:val="20"/>
                <w:lang w:val="en-GB"/>
              </w:rPr>
              <w:t xml:space="preserve">). </w:t>
            </w:r>
          </w:p>
          <w:p w14:paraId="25781EC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Usually, there are no investment expenditures in W0. However, if the infrastructure is in a very bad condition, it may be necessary to incur significant costs for the works to ensure that the infrastructure functions correctly. In such case, the costs should be classified as maintenance and repair expenditure in W0.</w:t>
            </w:r>
          </w:p>
          <w:p w14:paraId="0C41627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case of road projects, it is recommended that investment costs are broken down into the main items (proposed in the table below), where such a level of information detail is available.</w:t>
            </w:r>
          </w:p>
          <w:p w14:paraId="436BC646" w14:textId="77777777" w:rsidR="00600DEE" w:rsidRPr="0045151D" w:rsidRDefault="00600DEE" w:rsidP="00DF6B9D">
            <w:pPr>
              <w:pBdr>
                <w:top w:val="nil"/>
                <w:left w:val="nil"/>
                <w:bottom w:val="nil"/>
                <w:right w:val="nil"/>
                <w:between w:val="nil"/>
              </w:pBdr>
              <w:jc w:val="both"/>
              <w:rPr>
                <w:rFonts w:ascii="Calibri" w:eastAsia="Calibri" w:hAnsi="Calibri" w:cs="Calibri"/>
                <w:sz w:val="20"/>
                <w:szCs w:val="20"/>
                <w:lang w:val="en-GB"/>
              </w:rPr>
            </w:pPr>
          </w:p>
          <w:p w14:paraId="18A2511C" w14:textId="77777777" w:rsidR="00600DEE" w:rsidRPr="0045151D" w:rsidRDefault="00600DEE" w:rsidP="00DF6B9D">
            <w:pPr>
              <w:pBdr>
                <w:top w:val="nil"/>
                <w:left w:val="nil"/>
                <w:bottom w:val="nil"/>
                <w:right w:val="nil"/>
                <w:between w:val="nil"/>
              </w:pBdr>
              <w:jc w:val="both"/>
              <w:rPr>
                <w:rFonts w:ascii="Calibri" w:eastAsia="Calibri" w:hAnsi="Calibri" w:cs="Calibri"/>
                <w:sz w:val="20"/>
                <w:szCs w:val="20"/>
                <w:lang w:val="en-GB"/>
              </w:rPr>
            </w:pPr>
          </w:p>
          <w:p w14:paraId="5F821E02" w14:textId="77777777" w:rsidR="00DF6B9D" w:rsidRPr="0045151D" w:rsidRDefault="00DF6B9D">
            <w:pPr>
              <w:keepNext/>
              <w:pBdr>
                <w:top w:val="nil"/>
                <w:left w:val="nil"/>
                <w:bottom w:val="nil"/>
                <w:right w:val="nil"/>
                <w:between w:val="nil"/>
              </w:pBdr>
              <w:tabs>
                <w:tab w:val="left" w:pos="720"/>
                <w:tab w:val="left" w:pos="0"/>
              </w:tabs>
              <w:spacing w:after="120"/>
              <w:ind w:right="26"/>
              <w:rPr>
                <w:rFonts w:ascii="Calibri" w:eastAsia="Calibri" w:hAnsi="Calibri" w:cs="Calibri"/>
                <w:sz w:val="20"/>
                <w:szCs w:val="20"/>
                <w:lang w:val="en-GB"/>
              </w:rPr>
            </w:pPr>
          </w:p>
          <w:p w14:paraId="746EFDFB" w14:textId="30EBC21A" w:rsidR="00600DEE" w:rsidRPr="0045151D" w:rsidRDefault="00641FB5" w:rsidP="00DF6B9D">
            <w:pPr>
              <w:keepNext/>
              <w:pBdr>
                <w:top w:val="nil"/>
                <w:left w:val="nil"/>
                <w:bottom w:val="nil"/>
                <w:right w:val="nil"/>
                <w:between w:val="nil"/>
              </w:pBdr>
              <w:tabs>
                <w:tab w:val="left" w:pos="720"/>
                <w:tab w:val="left" w:pos="0"/>
              </w:tabs>
              <w:spacing w:before="240"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8. Statement of estimated investment costs</w:t>
            </w:r>
          </w:p>
          <w:tbl>
            <w:tblPr>
              <w:tblStyle w:val="aff6"/>
              <w:tblW w:w="6941" w:type="dxa"/>
              <w:tblLayout w:type="fixed"/>
              <w:tblLook w:val="0000" w:firstRow="0" w:lastRow="0" w:firstColumn="0" w:lastColumn="0" w:noHBand="0" w:noVBand="0"/>
            </w:tblPr>
            <w:tblGrid>
              <w:gridCol w:w="625"/>
              <w:gridCol w:w="1979"/>
              <w:gridCol w:w="660"/>
              <w:gridCol w:w="35"/>
              <w:gridCol w:w="644"/>
              <w:gridCol w:w="683"/>
              <w:gridCol w:w="7"/>
              <w:gridCol w:w="730"/>
              <w:gridCol w:w="540"/>
              <w:gridCol w:w="49"/>
              <w:gridCol w:w="989"/>
            </w:tblGrid>
            <w:tr w:rsidR="00600DEE" w14:paraId="64134ACE" w14:textId="77777777" w:rsidTr="00DF6B9D">
              <w:trPr>
                <w:trHeight w:hRule="exact" w:val="567"/>
              </w:trPr>
              <w:tc>
                <w:tcPr>
                  <w:tcW w:w="625" w:type="dxa"/>
                  <w:vMerge w:val="restart"/>
                  <w:tcBorders>
                    <w:top w:val="single" w:sz="4" w:space="0" w:color="FFFFFF"/>
                    <w:left w:val="single" w:sz="4" w:space="0" w:color="FFFFFF"/>
                  </w:tcBorders>
                  <w:shd w:val="clear" w:color="auto" w:fill="A6A6A6"/>
                  <w:vAlign w:val="center"/>
                </w:tcPr>
                <w:p w14:paraId="61128B54"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Nb.</w:t>
                  </w:r>
                </w:p>
              </w:tc>
              <w:tc>
                <w:tcPr>
                  <w:tcW w:w="1979" w:type="dxa"/>
                  <w:vMerge w:val="restart"/>
                  <w:tcBorders>
                    <w:top w:val="single" w:sz="4" w:space="0" w:color="FFFFFF"/>
                    <w:left w:val="single" w:sz="4" w:space="0" w:color="FFFFFF"/>
                  </w:tcBorders>
                  <w:shd w:val="clear" w:color="auto" w:fill="A6A6A6"/>
                  <w:vAlign w:val="center"/>
                </w:tcPr>
                <w:p w14:paraId="1F780D2E"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Cost</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category</w:t>
                  </w:r>
                  <w:proofErr w:type="spellEnd"/>
                </w:p>
              </w:tc>
              <w:tc>
                <w:tcPr>
                  <w:tcW w:w="4337" w:type="dxa"/>
                  <w:gridSpan w:val="9"/>
                  <w:tcBorders>
                    <w:top w:val="single" w:sz="4" w:space="0" w:color="FFFFFF"/>
                    <w:left w:val="single" w:sz="4" w:space="0" w:color="FFFFFF"/>
                    <w:bottom w:val="single" w:sz="4" w:space="0" w:color="FFFFFF"/>
                  </w:tcBorders>
                  <w:shd w:val="clear" w:color="auto" w:fill="A6A6A6"/>
                  <w:vAlign w:val="center"/>
                </w:tcPr>
                <w:p w14:paraId="5B9E544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Project investment </w:t>
                  </w:r>
                  <w:proofErr w:type="spellStart"/>
                  <w:r>
                    <w:rPr>
                      <w:rFonts w:ascii="Calibri" w:eastAsia="Calibri" w:hAnsi="Calibri" w:cs="Calibri"/>
                      <w:b/>
                      <w:color w:val="FFFFFF"/>
                      <w:sz w:val="18"/>
                      <w:szCs w:val="18"/>
                    </w:rPr>
                    <w:t>options</w:t>
                  </w:r>
                  <w:proofErr w:type="spellEnd"/>
                  <w:r>
                    <w:rPr>
                      <w:rFonts w:ascii="Calibri" w:eastAsia="Calibri" w:hAnsi="Calibri" w:cs="Calibri"/>
                      <w:b/>
                      <w:color w:val="FFFFFF"/>
                      <w:sz w:val="18"/>
                      <w:szCs w:val="18"/>
                    </w:rPr>
                    <w:t xml:space="preserve"> (PLN ‘000)</w:t>
                  </w:r>
                </w:p>
              </w:tc>
            </w:tr>
            <w:tr w:rsidR="00600DEE" w14:paraId="083AE426" w14:textId="77777777" w:rsidTr="00DF6B9D">
              <w:trPr>
                <w:trHeight w:val="405"/>
              </w:trPr>
              <w:tc>
                <w:tcPr>
                  <w:tcW w:w="625" w:type="dxa"/>
                  <w:vMerge/>
                  <w:tcBorders>
                    <w:top w:val="single" w:sz="4" w:space="0" w:color="FFFFFF"/>
                    <w:left w:val="single" w:sz="4" w:space="0" w:color="FFFFFF"/>
                  </w:tcBorders>
                  <w:shd w:val="clear" w:color="auto" w:fill="A6A6A6"/>
                  <w:vAlign w:val="center"/>
                </w:tcPr>
                <w:p w14:paraId="5329B114"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017B29DB"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339"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6D016503"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W1</w:t>
                  </w:r>
                </w:p>
              </w:tc>
              <w:tc>
                <w:tcPr>
                  <w:tcW w:w="1420"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698D159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W2</w:t>
                  </w:r>
                </w:p>
              </w:tc>
              <w:tc>
                <w:tcPr>
                  <w:tcW w:w="1578" w:type="dxa"/>
                  <w:gridSpan w:val="3"/>
                  <w:tcBorders>
                    <w:top w:val="single" w:sz="4" w:space="0" w:color="FFFFFF"/>
                    <w:left w:val="single" w:sz="4" w:space="0" w:color="FFFFFF"/>
                    <w:bottom w:val="single" w:sz="4" w:space="0" w:color="FFFFFF"/>
                  </w:tcBorders>
                  <w:shd w:val="clear" w:color="auto" w:fill="A6A6A6"/>
                  <w:vAlign w:val="center"/>
                </w:tcPr>
                <w:p w14:paraId="6482C7E1"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Wn</w:t>
                  </w:r>
                  <w:proofErr w:type="spellEnd"/>
                </w:p>
              </w:tc>
            </w:tr>
            <w:tr w:rsidR="00600DEE" w14:paraId="28E794F6" w14:textId="77777777" w:rsidTr="00DF6B9D">
              <w:trPr>
                <w:trHeight w:val="280"/>
              </w:trPr>
              <w:tc>
                <w:tcPr>
                  <w:tcW w:w="625" w:type="dxa"/>
                  <w:vMerge/>
                  <w:tcBorders>
                    <w:top w:val="single" w:sz="4" w:space="0" w:color="FFFFFF"/>
                    <w:left w:val="single" w:sz="4" w:space="0" w:color="FFFFFF"/>
                  </w:tcBorders>
                  <w:shd w:val="clear" w:color="auto" w:fill="A6A6A6"/>
                  <w:vAlign w:val="center"/>
                </w:tcPr>
                <w:p w14:paraId="564F3E6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3918C809"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66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6BECEF9"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net</w:t>
                  </w:r>
                </w:p>
              </w:tc>
              <w:tc>
                <w:tcPr>
                  <w:tcW w:w="67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6116E7CB"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gross</w:t>
                  </w:r>
                  <w:proofErr w:type="spellEnd"/>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6C73F9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net</w:t>
                  </w:r>
                </w:p>
              </w:tc>
              <w:tc>
                <w:tcPr>
                  <w:tcW w:w="73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4DEA24C"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gross</w:t>
                  </w:r>
                  <w:proofErr w:type="spellEnd"/>
                </w:p>
              </w:tc>
              <w:tc>
                <w:tcPr>
                  <w:tcW w:w="54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C052AC8"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net</w:t>
                  </w:r>
                </w:p>
              </w:tc>
              <w:tc>
                <w:tcPr>
                  <w:tcW w:w="1038" w:type="dxa"/>
                  <w:gridSpan w:val="2"/>
                  <w:tcBorders>
                    <w:top w:val="single" w:sz="4" w:space="0" w:color="FFFFFF"/>
                    <w:left w:val="single" w:sz="4" w:space="0" w:color="FFFFFF"/>
                    <w:bottom w:val="single" w:sz="4" w:space="0" w:color="FFFFFF"/>
                  </w:tcBorders>
                  <w:shd w:val="clear" w:color="auto" w:fill="A6A6A6"/>
                  <w:vAlign w:val="center"/>
                </w:tcPr>
                <w:p w14:paraId="7D470714"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gross</w:t>
                  </w:r>
                  <w:proofErr w:type="spellEnd"/>
                </w:p>
              </w:tc>
            </w:tr>
            <w:tr w:rsidR="00600DEE" w:rsidRPr="007463B9" w14:paraId="37AC9D47"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574A5D3C"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w:t>
                  </w:r>
                </w:p>
              </w:tc>
              <w:tc>
                <w:tcPr>
                  <w:tcW w:w="1979" w:type="dxa"/>
                  <w:tcBorders>
                    <w:top w:val="single" w:sz="4" w:space="0" w:color="FFFFFF"/>
                    <w:left w:val="single" w:sz="4" w:space="0" w:color="FFFFFF"/>
                    <w:bottom w:val="single" w:sz="4" w:space="0" w:color="FFFFFF"/>
                  </w:tcBorders>
                  <w:shd w:val="clear" w:color="auto" w:fill="DBE5F1"/>
                  <w:vAlign w:val="center"/>
                </w:tcPr>
                <w:p w14:paraId="5AE7A5A8"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Planning/Design fees, technical assistance</w:t>
                  </w:r>
                </w:p>
              </w:tc>
              <w:tc>
                <w:tcPr>
                  <w:tcW w:w="66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3CAF63A"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79"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1C54BA88"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7984B45E"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308667E"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40" w:type="dxa"/>
                  <w:tcBorders>
                    <w:top w:val="single" w:sz="4" w:space="0" w:color="FFFFFF"/>
                    <w:left w:val="single" w:sz="4" w:space="0" w:color="FFFFFF"/>
                    <w:bottom w:val="single" w:sz="4" w:space="0" w:color="FFFFFF"/>
                    <w:right w:val="single" w:sz="4" w:space="0" w:color="FFFFFF"/>
                  </w:tcBorders>
                  <w:shd w:val="clear" w:color="auto" w:fill="DBE5F1"/>
                </w:tcPr>
                <w:p w14:paraId="2450E2CA"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1038" w:type="dxa"/>
                  <w:gridSpan w:val="2"/>
                  <w:tcBorders>
                    <w:top w:val="single" w:sz="4" w:space="0" w:color="FFFFFF"/>
                    <w:left w:val="single" w:sz="4" w:space="0" w:color="FFFFFF"/>
                    <w:bottom w:val="single" w:sz="4" w:space="0" w:color="FFFFFF"/>
                  </w:tcBorders>
                  <w:shd w:val="clear" w:color="auto" w:fill="DBE5F1"/>
                </w:tcPr>
                <w:p w14:paraId="4E193254"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14:paraId="78B0E1A6"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741A81AF"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w:t>
                  </w:r>
                </w:p>
              </w:tc>
              <w:tc>
                <w:tcPr>
                  <w:tcW w:w="1979" w:type="dxa"/>
                  <w:tcBorders>
                    <w:top w:val="single" w:sz="4" w:space="0" w:color="FFFFFF"/>
                    <w:left w:val="single" w:sz="4" w:space="0" w:color="FFFFFF"/>
                    <w:bottom w:val="single" w:sz="4" w:space="0" w:color="FFFFFF"/>
                  </w:tcBorders>
                  <w:shd w:val="clear" w:color="auto" w:fill="DBE5F1"/>
                  <w:vAlign w:val="center"/>
                </w:tcPr>
                <w:p w14:paraId="37EE0F0F" w14:textId="77777777" w:rsidR="00600DEE" w:rsidRDefault="00641FB5">
                  <w:pPr>
                    <w:spacing w:before="20" w:after="20"/>
                    <w:rPr>
                      <w:rFonts w:ascii="Calibri" w:eastAsia="Calibri" w:hAnsi="Calibri" w:cs="Calibri"/>
                      <w:color w:val="4F81BD"/>
                      <w:sz w:val="18"/>
                      <w:szCs w:val="18"/>
                    </w:rPr>
                  </w:pPr>
                  <w:proofErr w:type="spellStart"/>
                  <w:r>
                    <w:rPr>
                      <w:rFonts w:ascii="Calibri" w:eastAsia="Calibri" w:hAnsi="Calibri" w:cs="Calibri"/>
                      <w:color w:val="4F81BD"/>
                      <w:sz w:val="18"/>
                      <w:szCs w:val="18"/>
                    </w:rPr>
                    <w:t>Superivision</w:t>
                  </w:r>
                  <w:proofErr w:type="spellEnd"/>
                </w:p>
              </w:tc>
              <w:tc>
                <w:tcPr>
                  <w:tcW w:w="66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2C48F49" w14:textId="77777777" w:rsidR="00600DEE" w:rsidRDefault="00600DEE">
                  <w:pPr>
                    <w:spacing w:before="20" w:after="20"/>
                    <w:jc w:val="right"/>
                    <w:rPr>
                      <w:rFonts w:ascii="Calibri" w:eastAsia="Calibri" w:hAnsi="Calibri" w:cs="Calibri"/>
                      <w:color w:val="4F81BD"/>
                      <w:sz w:val="18"/>
                      <w:szCs w:val="18"/>
                    </w:rPr>
                  </w:pPr>
                </w:p>
              </w:tc>
              <w:tc>
                <w:tcPr>
                  <w:tcW w:w="679"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09B9BF63" w14:textId="77777777" w:rsidR="00600DEE" w:rsidRDefault="00600DEE">
                  <w:pPr>
                    <w:spacing w:before="20" w:after="20"/>
                    <w:jc w:val="right"/>
                    <w:rPr>
                      <w:rFonts w:ascii="Calibri" w:eastAsia="Calibri" w:hAnsi="Calibri" w:cs="Calibri"/>
                      <w:color w:val="4F81BD"/>
                      <w:sz w:val="18"/>
                      <w:szCs w:val="18"/>
                    </w:rPr>
                  </w:pPr>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35EFE09A" w14:textId="77777777" w:rsidR="00600DEE" w:rsidRDefault="00600DEE">
                  <w:pPr>
                    <w:spacing w:before="20" w:after="20"/>
                    <w:jc w:val="right"/>
                    <w:rPr>
                      <w:rFonts w:ascii="Calibri" w:eastAsia="Calibri" w:hAnsi="Calibri" w:cs="Calibri"/>
                      <w:color w:val="4F81BD"/>
                      <w:sz w:val="18"/>
                      <w:szCs w:val="18"/>
                    </w:rPr>
                  </w:pPr>
                </w:p>
              </w:tc>
              <w:tc>
                <w:tcPr>
                  <w:tcW w:w="73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E885128" w14:textId="77777777" w:rsidR="00600DEE" w:rsidRDefault="00600DEE">
                  <w:pPr>
                    <w:spacing w:before="20" w:after="20"/>
                    <w:jc w:val="right"/>
                    <w:rPr>
                      <w:rFonts w:ascii="Calibri" w:eastAsia="Calibri" w:hAnsi="Calibri" w:cs="Calibri"/>
                      <w:color w:val="4F81BD"/>
                      <w:sz w:val="18"/>
                      <w:szCs w:val="18"/>
                    </w:rPr>
                  </w:pPr>
                </w:p>
              </w:tc>
              <w:tc>
                <w:tcPr>
                  <w:tcW w:w="540" w:type="dxa"/>
                  <w:tcBorders>
                    <w:top w:val="single" w:sz="4" w:space="0" w:color="FFFFFF"/>
                    <w:left w:val="single" w:sz="4" w:space="0" w:color="FFFFFF"/>
                    <w:bottom w:val="single" w:sz="4" w:space="0" w:color="FFFFFF"/>
                    <w:right w:val="single" w:sz="4" w:space="0" w:color="FFFFFF"/>
                  </w:tcBorders>
                  <w:shd w:val="clear" w:color="auto" w:fill="DBE5F1"/>
                </w:tcPr>
                <w:p w14:paraId="5E9E43DF" w14:textId="77777777" w:rsidR="00600DEE" w:rsidRDefault="00600DEE">
                  <w:pPr>
                    <w:spacing w:before="20" w:after="20"/>
                    <w:jc w:val="right"/>
                    <w:rPr>
                      <w:rFonts w:ascii="Calibri" w:eastAsia="Calibri" w:hAnsi="Calibri" w:cs="Calibri"/>
                      <w:color w:val="4F81BD"/>
                      <w:sz w:val="18"/>
                      <w:szCs w:val="18"/>
                    </w:rPr>
                  </w:pPr>
                </w:p>
              </w:tc>
              <w:tc>
                <w:tcPr>
                  <w:tcW w:w="1038" w:type="dxa"/>
                  <w:gridSpan w:val="2"/>
                  <w:tcBorders>
                    <w:top w:val="single" w:sz="4" w:space="0" w:color="FFFFFF"/>
                    <w:left w:val="single" w:sz="4" w:space="0" w:color="FFFFFF"/>
                    <w:bottom w:val="single" w:sz="4" w:space="0" w:color="FFFFFF"/>
                  </w:tcBorders>
                  <w:shd w:val="clear" w:color="auto" w:fill="DBE5F1"/>
                </w:tcPr>
                <w:p w14:paraId="789EA1C4" w14:textId="77777777" w:rsidR="00600DEE" w:rsidRDefault="00600DEE">
                  <w:pPr>
                    <w:spacing w:before="20" w:after="20"/>
                    <w:jc w:val="right"/>
                    <w:rPr>
                      <w:rFonts w:ascii="Calibri" w:eastAsia="Calibri" w:hAnsi="Calibri" w:cs="Calibri"/>
                      <w:color w:val="4F81BD"/>
                      <w:sz w:val="18"/>
                      <w:szCs w:val="18"/>
                    </w:rPr>
                  </w:pPr>
                </w:p>
              </w:tc>
            </w:tr>
            <w:tr w:rsidR="00600DEE" w14:paraId="3F563B12"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34CD8A7A"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III</w:t>
                  </w:r>
                </w:p>
              </w:tc>
              <w:tc>
                <w:tcPr>
                  <w:tcW w:w="1979" w:type="dxa"/>
                  <w:tcBorders>
                    <w:top w:val="single" w:sz="4" w:space="0" w:color="FFFFFF"/>
                    <w:left w:val="single" w:sz="4" w:space="0" w:color="FFFFFF"/>
                    <w:bottom w:val="single" w:sz="4" w:space="0" w:color="FFFFFF"/>
                  </w:tcBorders>
                  <w:shd w:val="clear" w:color="auto" w:fill="DBE5F1"/>
                  <w:vAlign w:val="center"/>
                </w:tcPr>
                <w:p w14:paraId="4C4636D2" w14:textId="77777777" w:rsidR="00600DEE" w:rsidRDefault="00641FB5">
                  <w:pPr>
                    <w:spacing w:before="20" w:after="20"/>
                    <w:rPr>
                      <w:rFonts w:ascii="Calibri" w:eastAsia="Calibri" w:hAnsi="Calibri" w:cs="Calibri"/>
                      <w:color w:val="4F81BD"/>
                      <w:sz w:val="18"/>
                      <w:szCs w:val="18"/>
                    </w:rPr>
                  </w:pPr>
                  <w:proofErr w:type="spellStart"/>
                  <w:r>
                    <w:rPr>
                      <w:rFonts w:ascii="Calibri" w:eastAsia="Calibri" w:hAnsi="Calibri" w:cs="Calibri"/>
                      <w:color w:val="4F81BD"/>
                      <w:sz w:val="18"/>
                      <w:szCs w:val="18"/>
                    </w:rPr>
                    <w:t>Archeology</w:t>
                  </w:r>
                  <w:proofErr w:type="spellEnd"/>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3CB20196"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3F3B588"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787D450"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0E8B37E"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7A3AA59D"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6F064C2" w14:textId="77777777" w:rsidR="00600DEE" w:rsidRDefault="00600DEE">
                  <w:pPr>
                    <w:spacing w:before="20" w:after="20"/>
                    <w:jc w:val="right"/>
                    <w:rPr>
                      <w:rFonts w:ascii="Calibri" w:eastAsia="Calibri" w:hAnsi="Calibri" w:cs="Calibri"/>
                      <w:color w:val="4F81BD"/>
                      <w:sz w:val="18"/>
                      <w:szCs w:val="18"/>
                    </w:rPr>
                  </w:pPr>
                </w:p>
              </w:tc>
            </w:tr>
            <w:tr w:rsidR="00600DEE" w14:paraId="0C8CEAF4"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6A24FE26"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IV</w:t>
                  </w:r>
                </w:p>
              </w:tc>
              <w:tc>
                <w:tcPr>
                  <w:tcW w:w="1979" w:type="dxa"/>
                  <w:tcBorders>
                    <w:top w:val="single" w:sz="4" w:space="0" w:color="FFFFFF"/>
                    <w:left w:val="single" w:sz="4" w:space="0" w:color="FFFFFF"/>
                    <w:bottom w:val="single" w:sz="4" w:space="0" w:color="FFFFFF"/>
                  </w:tcBorders>
                  <w:shd w:val="clear" w:color="auto" w:fill="DBE5F1"/>
                  <w:vAlign w:val="center"/>
                </w:tcPr>
                <w:p w14:paraId="2836E520" w14:textId="77777777" w:rsidR="00600DEE" w:rsidRDefault="00641FB5">
                  <w:pPr>
                    <w:spacing w:before="20" w:after="20"/>
                    <w:rPr>
                      <w:rFonts w:ascii="Calibri" w:eastAsia="Calibri" w:hAnsi="Calibri" w:cs="Calibri"/>
                      <w:color w:val="4F81BD"/>
                      <w:sz w:val="18"/>
                      <w:szCs w:val="18"/>
                    </w:rPr>
                  </w:pPr>
                  <w:proofErr w:type="spellStart"/>
                  <w:r>
                    <w:rPr>
                      <w:rFonts w:ascii="Calibri" w:eastAsia="Calibri" w:hAnsi="Calibri" w:cs="Calibri"/>
                      <w:color w:val="4F81BD"/>
                      <w:sz w:val="18"/>
                      <w:szCs w:val="18"/>
                    </w:rPr>
                    <w:t>Other</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preparatory</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work</w:t>
                  </w:r>
                  <w:proofErr w:type="spellEnd"/>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D00D6F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4448400"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388B08B"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3DE99558"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5132A6F"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B4FB985" w14:textId="77777777" w:rsidR="00600DEE" w:rsidRDefault="00600DEE">
                  <w:pPr>
                    <w:spacing w:before="20" w:after="20"/>
                    <w:jc w:val="right"/>
                    <w:rPr>
                      <w:rFonts w:ascii="Calibri" w:eastAsia="Calibri" w:hAnsi="Calibri" w:cs="Calibri"/>
                      <w:color w:val="4F81BD"/>
                      <w:sz w:val="18"/>
                      <w:szCs w:val="18"/>
                    </w:rPr>
                  </w:pPr>
                </w:p>
              </w:tc>
            </w:tr>
            <w:tr w:rsidR="00600DEE" w14:paraId="225A99AF"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151E38A2"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w:t>
                  </w:r>
                </w:p>
              </w:tc>
              <w:tc>
                <w:tcPr>
                  <w:tcW w:w="1979" w:type="dxa"/>
                  <w:tcBorders>
                    <w:top w:val="single" w:sz="4" w:space="0" w:color="FFFFFF"/>
                    <w:left w:val="single" w:sz="4" w:space="0" w:color="FFFFFF"/>
                    <w:bottom w:val="single" w:sz="4" w:space="0" w:color="FFFFFF"/>
                  </w:tcBorders>
                  <w:shd w:val="clear" w:color="auto" w:fill="DBE5F1"/>
                  <w:vAlign w:val="center"/>
                </w:tcPr>
                <w:p w14:paraId="436F55D9"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Publicity</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213D4C1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79DA5B0"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5EA30C6"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45DDB9F"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1FBF2560"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30999B6" w14:textId="77777777" w:rsidR="00600DEE" w:rsidRDefault="00600DEE">
                  <w:pPr>
                    <w:spacing w:before="20" w:after="20"/>
                    <w:jc w:val="right"/>
                    <w:rPr>
                      <w:rFonts w:ascii="Calibri" w:eastAsia="Calibri" w:hAnsi="Calibri" w:cs="Calibri"/>
                      <w:color w:val="4F81BD"/>
                      <w:sz w:val="18"/>
                      <w:szCs w:val="18"/>
                    </w:rPr>
                  </w:pPr>
                </w:p>
              </w:tc>
            </w:tr>
            <w:tr w:rsidR="00600DEE" w14:paraId="6266CACC"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08C69BC2"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w:t>
                  </w:r>
                </w:p>
              </w:tc>
              <w:tc>
                <w:tcPr>
                  <w:tcW w:w="1979" w:type="dxa"/>
                  <w:tcBorders>
                    <w:top w:val="single" w:sz="4" w:space="0" w:color="FFFFFF"/>
                    <w:left w:val="single" w:sz="4" w:space="0" w:color="FFFFFF"/>
                    <w:bottom w:val="single" w:sz="4" w:space="0" w:color="FFFFFF"/>
                  </w:tcBorders>
                  <w:shd w:val="clear" w:color="auto" w:fill="DBE5F1"/>
                  <w:vAlign w:val="center"/>
                </w:tcPr>
                <w:p w14:paraId="4652090A"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Land </w:t>
                  </w:r>
                  <w:proofErr w:type="spellStart"/>
                  <w:r>
                    <w:rPr>
                      <w:rFonts w:ascii="Calibri" w:eastAsia="Calibri" w:hAnsi="Calibri" w:cs="Calibri"/>
                      <w:color w:val="4F81BD"/>
                      <w:sz w:val="18"/>
                      <w:szCs w:val="18"/>
                    </w:rPr>
                    <w:t>acquisition</w:t>
                  </w:r>
                  <w:proofErr w:type="spellEnd"/>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4319AE0"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E0F5FD7"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EDC741F"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A5FD23A"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7910FCC5"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1BBDFB84" w14:textId="77777777" w:rsidR="00600DEE" w:rsidRDefault="00600DEE">
                  <w:pPr>
                    <w:spacing w:before="20" w:after="20"/>
                    <w:jc w:val="right"/>
                    <w:rPr>
                      <w:rFonts w:ascii="Calibri" w:eastAsia="Calibri" w:hAnsi="Calibri" w:cs="Calibri"/>
                      <w:color w:val="4F81BD"/>
                      <w:sz w:val="18"/>
                      <w:szCs w:val="18"/>
                    </w:rPr>
                  </w:pPr>
                </w:p>
              </w:tc>
            </w:tr>
            <w:tr w:rsidR="00600DEE" w14:paraId="248FCD09" w14:textId="77777777" w:rsidTr="00D24D31">
              <w:trPr>
                <w:trHeight w:hRule="exact" w:val="340"/>
              </w:trPr>
              <w:tc>
                <w:tcPr>
                  <w:tcW w:w="625" w:type="dxa"/>
                  <w:tcBorders>
                    <w:top w:val="single" w:sz="4" w:space="0" w:color="FFFFFF"/>
                    <w:left w:val="single" w:sz="4" w:space="0" w:color="FFFFFF"/>
                    <w:bottom w:val="single" w:sz="4" w:space="0" w:color="FFFFFF"/>
                  </w:tcBorders>
                  <w:shd w:val="clear" w:color="auto" w:fill="DBE5F1"/>
                  <w:vAlign w:val="center"/>
                </w:tcPr>
                <w:p w14:paraId="1C7ED7C4"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w:t>
                  </w:r>
                </w:p>
              </w:tc>
              <w:tc>
                <w:tcPr>
                  <w:tcW w:w="1979" w:type="dxa"/>
                  <w:tcBorders>
                    <w:top w:val="single" w:sz="4" w:space="0" w:color="FFFFFF"/>
                    <w:left w:val="single" w:sz="4" w:space="0" w:color="FFFFFF"/>
                    <w:bottom w:val="single" w:sz="4" w:space="0" w:color="FFFFFF"/>
                  </w:tcBorders>
                  <w:shd w:val="clear" w:color="auto" w:fill="DBE5F1"/>
                  <w:vAlign w:val="center"/>
                </w:tcPr>
                <w:p w14:paraId="49284402" w14:textId="77777777" w:rsidR="00600DEE" w:rsidRDefault="00641FB5">
                  <w:pPr>
                    <w:spacing w:before="20" w:after="20"/>
                    <w:rPr>
                      <w:rFonts w:ascii="Calibri" w:eastAsia="Calibri" w:hAnsi="Calibri" w:cs="Calibri"/>
                      <w:color w:val="4F81BD"/>
                      <w:sz w:val="18"/>
                      <w:szCs w:val="18"/>
                    </w:rPr>
                  </w:pPr>
                  <w:proofErr w:type="spellStart"/>
                  <w:r>
                    <w:rPr>
                      <w:rFonts w:ascii="Calibri" w:eastAsia="Calibri" w:hAnsi="Calibri" w:cs="Calibri"/>
                      <w:color w:val="4F81BD"/>
                      <w:sz w:val="18"/>
                      <w:szCs w:val="18"/>
                    </w:rPr>
                    <w:t>Preliminaries</w:t>
                  </w:r>
                  <w:proofErr w:type="spellEnd"/>
                </w:p>
                <w:p w14:paraId="28C5D758" w14:textId="77777777" w:rsidR="00600DEE" w:rsidRDefault="00600DEE">
                  <w:pPr>
                    <w:spacing w:before="20" w:after="20"/>
                    <w:rPr>
                      <w:rFonts w:ascii="Calibri" w:eastAsia="Calibri" w:hAnsi="Calibri" w:cs="Calibri"/>
                      <w:color w:val="4F81BD"/>
                      <w:sz w:val="18"/>
                      <w:szCs w:val="18"/>
                    </w:rPr>
                  </w:pPr>
                </w:p>
                <w:p w14:paraId="48E323E9" w14:textId="77777777" w:rsidR="00600DEE" w:rsidRDefault="00600DEE">
                  <w:pPr>
                    <w:spacing w:before="20" w:after="20"/>
                    <w:rPr>
                      <w:rFonts w:ascii="Calibri" w:eastAsia="Calibri" w:hAnsi="Calibri" w:cs="Calibri"/>
                      <w:color w:val="4F81BD"/>
                      <w:sz w:val="18"/>
                      <w:szCs w:val="18"/>
                    </w:rPr>
                  </w:pPr>
                </w:p>
                <w:p w14:paraId="4CE56C6C" w14:textId="77777777" w:rsidR="00600DEE" w:rsidRDefault="00600DEE">
                  <w:pPr>
                    <w:spacing w:before="20" w:after="20"/>
                    <w:rPr>
                      <w:rFonts w:ascii="Calibri" w:eastAsia="Calibri" w:hAnsi="Calibri" w:cs="Calibri"/>
                      <w:color w:val="4F81BD"/>
                      <w:sz w:val="18"/>
                      <w:szCs w:val="18"/>
                    </w:rPr>
                  </w:pP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187D4FB7"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A67E936"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F6A8C45"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5593E9C3"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267BCE9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6B1F84E" w14:textId="77777777" w:rsidR="00600DEE" w:rsidRDefault="00600DEE">
                  <w:pPr>
                    <w:spacing w:before="20" w:after="20"/>
                    <w:jc w:val="right"/>
                    <w:rPr>
                      <w:rFonts w:ascii="Calibri" w:eastAsia="Calibri" w:hAnsi="Calibri" w:cs="Calibri"/>
                      <w:color w:val="4F81BD"/>
                      <w:sz w:val="18"/>
                      <w:szCs w:val="18"/>
                    </w:rPr>
                  </w:pPr>
                </w:p>
              </w:tc>
            </w:tr>
            <w:tr w:rsidR="00600DEE" w14:paraId="2AA557B5" w14:textId="77777777" w:rsidTr="00D24D31">
              <w:trPr>
                <w:trHeight w:hRule="exact" w:val="340"/>
              </w:trPr>
              <w:tc>
                <w:tcPr>
                  <w:tcW w:w="625" w:type="dxa"/>
                  <w:vMerge w:val="restart"/>
                  <w:tcBorders>
                    <w:top w:val="single" w:sz="4" w:space="0" w:color="FFFFFF"/>
                    <w:left w:val="single" w:sz="4" w:space="0" w:color="FFFFFF"/>
                  </w:tcBorders>
                  <w:shd w:val="clear" w:color="auto" w:fill="A6A6A6"/>
                  <w:vAlign w:val="center"/>
                </w:tcPr>
                <w:p w14:paraId="3BB9A01F"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Nb.</w:t>
                  </w:r>
                </w:p>
              </w:tc>
              <w:tc>
                <w:tcPr>
                  <w:tcW w:w="1979" w:type="dxa"/>
                  <w:vMerge w:val="restart"/>
                  <w:tcBorders>
                    <w:top w:val="single" w:sz="4" w:space="0" w:color="FFFFFF"/>
                    <w:left w:val="single" w:sz="4" w:space="0" w:color="FFFFFF"/>
                  </w:tcBorders>
                  <w:shd w:val="clear" w:color="auto" w:fill="A6A6A6"/>
                  <w:vAlign w:val="center"/>
                </w:tcPr>
                <w:p w14:paraId="5B409489"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Cost</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category</w:t>
                  </w:r>
                  <w:proofErr w:type="spellEnd"/>
                </w:p>
              </w:tc>
              <w:tc>
                <w:tcPr>
                  <w:tcW w:w="4337" w:type="dxa"/>
                  <w:gridSpan w:val="9"/>
                  <w:tcBorders>
                    <w:top w:val="single" w:sz="4" w:space="0" w:color="FFFFFF"/>
                    <w:left w:val="single" w:sz="4" w:space="0" w:color="FFFFFF"/>
                    <w:bottom w:val="single" w:sz="4" w:space="0" w:color="FFFFFF"/>
                  </w:tcBorders>
                  <w:shd w:val="clear" w:color="auto" w:fill="A6A6A6"/>
                  <w:vAlign w:val="center"/>
                </w:tcPr>
                <w:p w14:paraId="578F2C5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Project investment </w:t>
                  </w:r>
                  <w:proofErr w:type="spellStart"/>
                  <w:r>
                    <w:rPr>
                      <w:rFonts w:ascii="Calibri" w:eastAsia="Calibri" w:hAnsi="Calibri" w:cs="Calibri"/>
                      <w:b/>
                      <w:color w:val="FFFFFF"/>
                      <w:sz w:val="18"/>
                      <w:szCs w:val="18"/>
                    </w:rPr>
                    <w:t>options</w:t>
                  </w:r>
                  <w:proofErr w:type="spellEnd"/>
                  <w:r>
                    <w:rPr>
                      <w:rFonts w:ascii="Calibri" w:eastAsia="Calibri" w:hAnsi="Calibri" w:cs="Calibri"/>
                      <w:b/>
                      <w:color w:val="FFFFFF"/>
                      <w:sz w:val="18"/>
                      <w:szCs w:val="18"/>
                    </w:rPr>
                    <w:t xml:space="preserve"> (PLN ‘000)</w:t>
                  </w:r>
                </w:p>
              </w:tc>
            </w:tr>
            <w:tr w:rsidR="00600DEE" w14:paraId="62CC3248" w14:textId="77777777" w:rsidTr="00DF6B9D">
              <w:trPr>
                <w:trHeight w:val="276"/>
              </w:trPr>
              <w:tc>
                <w:tcPr>
                  <w:tcW w:w="625" w:type="dxa"/>
                  <w:vMerge/>
                  <w:tcBorders>
                    <w:top w:val="single" w:sz="4" w:space="0" w:color="FFFFFF"/>
                    <w:left w:val="single" w:sz="4" w:space="0" w:color="FFFFFF"/>
                  </w:tcBorders>
                  <w:shd w:val="clear" w:color="auto" w:fill="A6A6A6"/>
                  <w:vAlign w:val="center"/>
                </w:tcPr>
                <w:p w14:paraId="24227A85"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59C309E5"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339"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2A5F7E45"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W1</w:t>
                  </w:r>
                </w:p>
              </w:tc>
              <w:tc>
                <w:tcPr>
                  <w:tcW w:w="1420"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2C7BDC0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W2</w:t>
                  </w:r>
                </w:p>
              </w:tc>
              <w:tc>
                <w:tcPr>
                  <w:tcW w:w="1578" w:type="dxa"/>
                  <w:gridSpan w:val="3"/>
                  <w:tcBorders>
                    <w:top w:val="single" w:sz="4" w:space="0" w:color="FFFFFF"/>
                    <w:left w:val="single" w:sz="4" w:space="0" w:color="FFFFFF"/>
                    <w:bottom w:val="single" w:sz="4" w:space="0" w:color="FFFFFF"/>
                  </w:tcBorders>
                  <w:shd w:val="clear" w:color="auto" w:fill="A6A6A6"/>
                  <w:vAlign w:val="center"/>
                </w:tcPr>
                <w:p w14:paraId="26B40262"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Wn</w:t>
                  </w:r>
                  <w:proofErr w:type="spellEnd"/>
                </w:p>
              </w:tc>
            </w:tr>
            <w:tr w:rsidR="00600DEE" w14:paraId="43E371FC" w14:textId="77777777" w:rsidTr="00DF6B9D">
              <w:trPr>
                <w:trHeight w:val="275"/>
              </w:trPr>
              <w:tc>
                <w:tcPr>
                  <w:tcW w:w="625" w:type="dxa"/>
                  <w:vMerge/>
                  <w:tcBorders>
                    <w:top w:val="single" w:sz="4" w:space="0" w:color="FFFFFF"/>
                    <w:left w:val="single" w:sz="4" w:space="0" w:color="FFFFFF"/>
                  </w:tcBorders>
                  <w:shd w:val="clear" w:color="auto" w:fill="A6A6A6"/>
                  <w:vAlign w:val="center"/>
                </w:tcPr>
                <w:p w14:paraId="4EB1D55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175234A3"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7BA1660"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net</w:t>
                  </w:r>
                </w:p>
              </w:tc>
              <w:tc>
                <w:tcPr>
                  <w:tcW w:w="64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8F92D74" w14:textId="77777777" w:rsidR="00600DEE" w:rsidRDefault="00641FB5">
                  <w:pPr>
                    <w:spacing w:before="20" w:after="20"/>
                    <w:jc w:val="center"/>
                    <w:rPr>
                      <w:rFonts w:ascii="Calibri" w:eastAsia="Calibri" w:hAnsi="Calibri" w:cs="Calibri"/>
                      <w:color w:val="4F81BD"/>
                      <w:sz w:val="18"/>
                      <w:szCs w:val="18"/>
                    </w:rPr>
                  </w:pPr>
                  <w:proofErr w:type="spellStart"/>
                  <w:r>
                    <w:rPr>
                      <w:rFonts w:ascii="Calibri" w:eastAsia="Calibri" w:hAnsi="Calibri" w:cs="Calibri"/>
                      <w:b/>
                      <w:color w:val="FFFFFF"/>
                      <w:sz w:val="18"/>
                      <w:szCs w:val="18"/>
                    </w:rPr>
                    <w:t>gross</w:t>
                  </w:r>
                  <w:proofErr w:type="spellEnd"/>
                </w:p>
              </w:tc>
              <w:tc>
                <w:tcPr>
                  <w:tcW w:w="68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A51870C"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net</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4B68AE9" w14:textId="77777777" w:rsidR="00600DEE" w:rsidRDefault="00641FB5">
                  <w:pPr>
                    <w:spacing w:before="20" w:after="20"/>
                    <w:jc w:val="center"/>
                    <w:rPr>
                      <w:rFonts w:ascii="Calibri" w:eastAsia="Calibri" w:hAnsi="Calibri" w:cs="Calibri"/>
                      <w:color w:val="4F81BD"/>
                      <w:sz w:val="18"/>
                      <w:szCs w:val="18"/>
                    </w:rPr>
                  </w:pPr>
                  <w:proofErr w:type="spellStart"/>
                  <w:r>
                    <w:rPr>
                      <w:rFonts w:ascii="Calibri" w:eastAsia="Calibri" w:hAnsi="Calibri" w:cs="Calibri"/>
                      <w:b/>
                      <w:color w:val="FFFFFF"/>
                      <w:sz w:val="18"/>
                      <w:szCs w:val="18"/>
                    </w:rPr>
                    <w:t>gross</w:t>
                  </w:r>
                  <w:proofErr w:type="spellEnd"/>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29FBE549"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net</w:t>
                  </w:r>
                </w:p>
              </w:tc>
              <w:tc>
                <w:tcPr>
                  <w:tcW w:w="989" w:type="dxa"/>
                  <w:tcBorders>
                    <w:top w:val="single" w:sz="4" w:space="0" w:color="FFFFFF"/>
                    <w:left w:val="single" w:sz="4" w:space="0" w:color="FFFFFF"/>
                    <w:bottom w:val="single" w:sz="4" w:space="0" w:color="FFFFFF"/>
                  </w:tcBorders>
                  <w:shd w:val="clear" w:color="auto" w:fill="A6A6A6"/>
                  <w:vAlign w:val="center"/>
                </w:tcPr>
                <w:p w14:paraId="3F97F6CA" w14:textId="77777777" w:rsidR="00600DEE" w:rsidRDefault="00641FB5">
                  <w:pPr>
                    <w:spacing w:before="20" w:after="20"/>
                    <w:jc w:val="center"/>
                    <w:rPr>
                      <w:rFonts w:ascii="Calibri" w:eastAsia="Calibri" w:hAnsi="Calibri" w:cs="Calibri"/>
                      <w:color w:val="4F81BD"/>
                      <w:sz w:val="18"/>
                      <w:szCs w:val="18"/>
                    </w:rPr>
                  </w:pPr>
                  <w:proofErr w:type="spellStart"/>
                  <w:r>
                    <w:rPr>
                      <w:rFonts w:ascii="Calibri" w:eastAsia="Calibri" w:hAnsi="Calibri" w:cs="Calibri"/>
                      <w:b/>
                      <w:color w:val="FFFFFF"/>
                      <w:sz w:val="18"/>
                      <w:szCs w:val="18"/>
                    </w:rPr>
                    <w:t>gross</w:t>
                  </w:r>
                  <w:proofErr w:type="spellEnd"/>
                </w:p>
              </w:tc>
            </w:tr>
            <w:tr w:rsidR="00600DEE" w:rsidRPr="007463B9" w14:paraId="4F3ECBF5" w14:textId="77777777" w:rsidTr="00D24D31">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079898C8"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VIII</w:t>
                  </w:r>
                </w:p>
              </w:tc>
              <w:tc>
                <w:tcPr>
                  <w:tcW w:w="1979" w:type="dxa"/>
                  <w:tcBorders>
                    <w:top w:val="single" w:sz="4" w:space="0" w:color="FFFFFF"/>
                    <w:left w:val="single" w:sz="4" w:space="0" w:color="FFFFFF"/>
                    <w:bottom w:val="single" w:sz="4" w:space="0" w:color="FFFFFF"/>
                  </w:tcBorders>
                  <w:shd w:val="clear" w:color="auto" w:fill="DBE5F1"/>
                  <w:vAlign w:val="center"/>
                </w:tcPr>
                <w:p w14:paraId="0429E808"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Building and construction of which:</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6B7374C"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DD147E2"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0BF8ACE"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7F3CFBA4"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618EB7B0"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989" w:type="dxa"/>
                  <w:tcBorders>
                    <w:top w:val="single" w:sz="4" w:space="0" w:color="FFFFFF"/>
                    <w:left w:val="single" w:sz="4" w:space="0" w:color="FFFFFF"/>
                    <w:bottom w:val="single" w:sz="4" w:space="0" w:color="FFFFFF"/>
                  </w:tcBorders>
                  <w:shd w:val="clear" w:color="auto" w:fill="DBE5F1"/>
                </w:tcPr>
                <w:p w14:paraId="3B29D78B"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14:paraId="5B90A875" w14:textId="77777777" w:rsidTr="00D24D31">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37235563" w14:textId="77777777" w:rsidR="00600DEE" w:rsidRPr="0045151D" w:rsidRDefault="00600DEE">
                  <w:pPr>
                    <w:spacing w:before="20" w:after="20"/>
                    <w:jc w:val="center"/>
                    <w:rPr>
                      <w:rFonts w:ascii="Calibri" w:eastAsia="Calibri" w:hAnsi="Calibri" w:cs="Calibri"/>
                      <w:b/>
                      <w:color w:val="4F81BD"/>
                      <w:sz w:val="18"/>
                      <w:szCs w:val="18"/>
                      <w:lang w:val="en-GB"/>
                    </w:rPr>
                  </w:pPr>
                </w:p>
              </w:tc>
              <w:tc>
                <w:tcPr>
                  <w:tcW w:w="1979" w:type="dxa"/>
                  <w:tcBorders>
                    <w:top w:val="single" w:sz="4" w:space="0" w:color="FFFFFF"/>
                    <w:left w:val="single" w:sz="4" w:space="0" w:color="FFFFFF"/>
                    <w:bottom w:val="single" w:sz="4" w:space="0" w:color="FFFFFF"/>
                  </w:tcBorders>
                  <w:shd w:val="clear" w:color="auto" w:fill="DBE5F1"/>
                  <w:vAlign w:val="center"/>
                </w:tcPr>
                <w:p w14:paraId="618F9992"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Preparatory</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works</w:t>
                  </w:r>
                  <w:proofErr w:type="spellEnd"/>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D035160"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355B9D2"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AC6A758"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20ED70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6E5CDFC4"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C015E6E" w14:textId="77777777" w:rsidR="00600DEE" w:rsidRDefault="00600DEE">
                  <w:pPr>
                    <w:spacing w:before="20" w:after="20"/>
                    <w:jc w:val="right"/>
                    <w:rPr>
                      <w:rFonts w:ascii="Calibri" w:eastAsia="Calibri" w:hAnsi="Calibri" w:cs="Calibri"/>
                      <w:color w:val="4F81BD"/>
                      <w:sz w:val="18"/>
                      <w:szCs w:val="18"/>
                    </w:rPr>
                  </w:pPr>
                </w:p>
              </w:tc>
            </w:tr>
            <w:tr w:rsidR="00600DEE" w14:paraId="07F12860"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579B6C24"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0090808A"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Earthworks</w:t>
                  </w:r>
                  <w:proofErr w:type="spellEnd"/>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429FF158"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CFA9431"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413C4DE"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5741A72"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522737D1"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459533CD" w14:textId="77777777" w:rsidR="00600DEE" w:rsidRDefault="00600DEE">
                  <w:pPr>
                    <w:spacing w:before="20" w:after="20"/>
                    <w:jc w:val="right"/>
                    <w:rPr>
                      <w:rFonts w:ascii="Calibri" w:eastAsia="Calibri" w:hAnsi="Calibri" w:cs="Calibri"/>
                      <w:color w:val="4F81BD"/>
                      <w:sz w:val="18"/>
                      <w:szCs w:val="18"/>
                    </w:rPr>
                  </w:pPr>
                </w:p>
              </w:tc>
            </w:tr>
            <w:tr w:rsidR="00600DEE" w14:paraId="3FE2BC4C"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49A6A9BD"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19CAA0B6"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Bridges</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0D8432EC"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3A2422E"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2D1AC44"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0CA601A"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ED5B683"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7C79D19" w14:textId="77777777" w:rsidR="00600DEE" w:rsidRDefault="00600DEE">
                  <w:pPr>
                    <w:spacing w:before="20" w:after="20"/>
                    <w:jc w:val="right"/>
                    <w:rPr>
                      <w:rFonts w:ascii="Calibri" w:eastAsia="Calibri" w:hAnsi="Calibri" w:cs="Calibri"/>
                      <w:color w:val="4F81BD"/>
                      <w:sz w:val="18"/>
                      <w:szCs w:val="18"/>
                    </w:rPr>
                  </w:pPr>
                </w:p>
              </w:tc>
            </w:tr>
            <w:tr w:rsidR="00600DEE" w14:paraId="421B6290"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785E7EF5"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5C39648E"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Tunnels</w:t>
                  </w:r>
                  <w:proofErr w:type="spellEnd"/>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20D376A0"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B7AA633"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B46D6B5"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47A7B20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07665D77"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D1C4F4E" w14:textId="77777777" w:rsidR="00600DEE" w:rsidRDefault="00600DEE">
                  <w:pPr>
                    <w:spacing w:before="20" w:after="20"/>
                    <w:jc w:val="right"/>
                    <w:rPr>
                      <w:rFonts w:ascii="Calibri" w:eastAsia="Calibri" w:hAnsi="Calibri" w:cs="Calibri"/>
                      <w:color w:val="4F81BD"/>
                      <w:sz w:val="18"/>
                      <w:szCs w:val="18"/>
                    </w:rPr>
                  </w:pPr>
                </w:p>
              </w:tc>
            </w:tr>
            <w:tr w:rsidR="00600DEE" w14:paraId="42E298AD"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2FA118A3"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523AF563"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Retaining</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walls</w:t>
                  </w:r>
                  <w:proofErr w:type="spellEnd"/>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3AE4BE71"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46AC8F8"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FACBCB8"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0D0A49A"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3F4785E8"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5E8E694" w14:textId="77777777" w:rsidR="00600DEE" w:rsidRDefault="00600DEE">
                  <w:pPr>
                    <w:spacing w:before="20" w:after="20"/>
                    <w:jc w:val="right"/>
                    <w:rPr>
                      <w:rFonts w:ascii="Calibri" w:eastAsia="Calibri" w:hAnsi="Calibri" w:cs="Calibri"/>
                      <w:color w:val="4F81BD"/>
                      <w:sz w:val="18"/>
                      <w:szCs w:val="18"/>
                    </w:rPr>
                  </w:pPr>
                </w:p>
              </w:tc>
            </w:tr>
            <w:tr w:rsidR="00600DEE" w14:paraId="0B186BD6"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0A0807AF"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11B6816"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Subbase</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437517F1"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7E244D71"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51BBE089"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FA1C49B"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6C004A2B"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622A47FC" w14:textId="77777777" w:rsidR="00600DEE" w:rsidRDefault="00600DEE">
                  <w:pPr>
                    <w:spacing w:before="20" w:after="20"/>
                    <w:jc w:val="right"/>
                    <w:rPr>
                      <w:rFonts w:ascii="Calibri" w:eastAsia="Calibri" w:hAnsi="Calibri" w:cs="Calibri"/>
                      <w:color w:val="4F81BD"/>
                      <w:sz w:val="18"/>
                      <w:szCs w:val="18"/>
                    </w:rPr>
                  </w:pPr>
                </w:p>
              </w:tc>
            </w:tr>
            <w:tr w:rsidR="00600DEE" w14:paraId="5A03D2E2"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42EDA9B0"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3293A09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Road </w:t>
                  </w:r>
                  <w:proofErr w:type="spellStart"/>
                  <w:r>
                    <w:rPr>
                      <w:rFonts w:ascii="Calibri" w:eastAsia="Calibri" w:hAnsi="Calibri" w:cs="Calibri"/>
                      <w:color w:val="4F81BD"/>
                      <w:sz w:val="18"/>
                      <w:szCs w:val="18"/>
                    </w:rPr>
                    <w:t>pavement</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648406DC"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38080F7F"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2847525B"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532F3105"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54785CFD"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8943D63" w14:textId="77777777" w:rsidR="00600DEE" w:rsidRDefault="00600DEE">
                  <w:pPr>
                    <w:spacing w:before="20" w:after="20"/>
                    <w:jc w:val="right"/>
                    <w:rPr>
                      <w:rFonts w:ascii="Calibri" w:eastAsia="Calibri" w:hAnsi="Calibri" w:cs="Calibri"/>
                      <w:color w:val="4F81BD"/>
                      <w:sz w:val="18"/>
                      <w:szCs w:val="18"/>
                    </w:rPr>
                  </w:pPr>
                </w:p>
              </w:tc>
            </w:tr>
            <w:tr w:rsidR="00600DEE" w14:paraId="268BB7E9"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5FBE12B9"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19E12F42"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Drainage</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6EDEA79A"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6ED0BAB9"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58984E1B"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65F9483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27550B40"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49D6DD8" w14:textId="77777777" w:rsidR="00600DEE" w:rsidRDefault="00600DEE">
                  <w:pPr>
                    <w:spacing w:before="20" w:after="20"/>
                    <w:jc w:val="right"/>
                    <w:rPr>
                      <w:rFonts w:ascii="Calibri" w:eastAsia="Calibri" w:hAnsi="Calibri" w:cs="Calibri"/>
                      <w:color w:val="4F81BD"/>
                      <w:sz w:val="18"/>
                      <w:szCs w:val="18"/>
                    </w:rPr>
                  </w:pPr>
                </w:p>
              </w:tc>
            </w:tr>
            <w:tr w:rsidR="00600DEE" w14:paraId="5456F654"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591B2136"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00D5FDF8"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Noise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barriers</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2C7CD568"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4C13C71B"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2DCA315C"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40D470C9"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30F7AB1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86C0DB7" w14:textId="77777777" w:rsidR="00600DEE" w:rsidRDefault="00600DEE">
                  <w:pPr>
                    <w:spacing w:before="20" w:after="20"/>
                    <w:jc w:val="right"/>
                    <w:rPr>
                      <w:rFonts w:ascii="Calibri" w:eastAsia="Calibri" w:hAnsi="Calibri" w:cs="Calibri"/>
                      <w:color w:val="4F81BD"/>
                      <w:sz w:val="18"/>
                      <w:szCs w:val="18"/>
                    </w:rPr>
                  </w:pPr>
                </w:p>
              </w:tc>
            </w:tr>
            <w:tr w:rsidR="00600DEE" w14:paraId="6D2FD6AA"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2734CDFB"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2FCEEB61"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Other</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environmental</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measures</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3028AFDF"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23EFCA5E"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41332F25"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63A484B7"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39845E5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624CF42" w14:textId="77777777" w:rsidR="00600DEE" w:rsidRDefault="00600DEE">
                  <w:pPr>
                    <w:spacing w:before="20" w:after="20"/>
                    <w:jc w:val="right"/>
                    <w:rPr>
                      <w:rFonts w:ascii="Calibri" w:eastAsia="Calibri" w:hAnsi="Calibri" w:cs="Calibri"/>
                      <w:color w:val="4F81BD"/>
                      <w:sz w:val="18"/>
                      <w:szCs w:val="18"/>
                    </w:rPr>
                  </w:pPr>
                </w:p>
              </w:tc>
            </w:tr>
            <w:tr w:rsidR="00600DEE" w14:paraId="5CA7EDCE"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5F4B20BB"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60339234"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Finishing</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works</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357CC0CA"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0DFCCE71"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36887C59"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D173E1F"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6FB6F24B"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587A0894" w14:textId="77777777" w:rsidR="00600DEE" w:rsidRDefault="00600DEE">
                  <w:pPr>
                    <w:spacing w:before="20" w:after="20"/>
                    <w:jc w:val="right"/>
                    <w:rPr>
                      <w:rFonts w:ascii="Calibri" w:eastAsia="Calibri" w:hAnsi="Calibri" w:cs="Calibri"/>
                      <w:color w:val="4F81BD"/>
                      <w:sz w:val="18"/>
                      <w:szCs w:val="18"/>
                    </w:rPr>
                  </w:pPr>
                </w:p>
              </w:tc>
            </w:tr>
            <w:tr w:rsidR="00600DEE" w14:paraId="30C57939"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315AE216"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06A02F33"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Signalling</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lighting</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safety</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equipment</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4A3F7CC3"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00A21864"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658E55BF"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07C5AAE"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5DAF7F6E"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0B87DF9" w14:textId="77777777" w:rsidR="00600DEE" w:rsidRDefault="00600DEE">
                  <w:pPr>
                    <w:spacing w:before="20" w:after="20"/>
                    <w:jc w:val="right"/>
                    <w:rPr>
                      <w:rFonts w:ascii="Calibri" w:eastAsia="Calibri" w:hAnsi="Calibri" w:cs="Calibri"/>
                      <w:color w:val="4F81BD"/>
                      <w:sz w:val="18"/>
                      <w:szCs w:val="18"/>
                    </w:rPr>
                  </w:pPr>
                </w:p>
              </w:tc>
            </w:tr>
            <w:tr w:rsidR="00600DEE" w14:paraId="48866B58"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22C8494A"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8B05D97"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Other</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works</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21037586"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1CC05F56"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1B162EED"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3D12F4EB"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1B4AA567"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19B82594" w14:textId="77777777" w:rsidR="00600DEE" w:rsidRDefault="00600DEE">
                  <w:pPr>
                    <w:spacing w:before="20" w:after="20"/>
                    <w:jc w:val="right"/>
                    <w:rPr>
                      <w:rFonts w:ascii="Calibri" w:eastAsia="Calibri" w:hAnsi="Calibri" w:cs="Calibri"/>
                      <w:color w:val="4F81BD"/>
                      <w:sz w:val="18"/>
                      <w:szCs w:val="18"/>
                    </w:rPr>
                  </w:pPr>
                </w:p>
              </w:tc>
            </w:tr>
            <w:tr w:rsidR="00600DEE" w14:paraId="4A53E036"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67D0DADE"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526976ED"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Realignment</w:t>
                  </w:r>
                  <w:proofErr w:type="spellEnd"/>
                  <w:r>
                    <w:rPr>
                      <w:rFonts w:ascii="Calibri" w:eastAsia="Calibri" w:hAnsi="Calibri" w:cs="Calibri"/>
                      <w:color w:val="4F81BD"/>
                      <w:sz w:val="18"/>
                      <w:szCs w:val="18"/>
                    </w:rPr>
                    <w:t xml:space="preserve"> of public utilities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33043AB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444E39EE"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08112E11"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1620E40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06D957B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5B0783B0" w14:textId="77777777" w:rsidR="00600DEE" w:rsidRDefault="00600DEE">
                  <w:pPr>
                    <w:spacing w:before="20" w:after="20"/>
                    <w:jc w:val="right"/>
                    <w:rPr>
                      <w:rFonts w:ascii="Calibri" w:eastAsia="Calibri" w:hAnsi="Calibri" w:cs="Calibri"/>
                      <w:color w:val="4F81BD"/>
                      <w:sz w:val="18"/>
                      <w:szCs w:val="18"/>
                    </w:rPr>
                  </w:pPr>
                </w:p>
              </w:tc>
            </w:tr>
            <w:tr w:rsidR="00600DEE" w14:paraId="4A1E7A97" w14:textId="77777777" w:rsidTr="00F132E9">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0ECD5954"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6E89998" w14:textId="77777777" w:rsidR="00600DEE" w:rsidRDefault="00641FB5">
                  <w:pPr>
                    <w:spacing w:before="20" w:after="20"/>
                    <w:jc w:val="right"/>
                    <w:rPr>
                      <w:rFonts w:ascii="Calibri" w:eastAsia="Calibri" w:hAnsi="Calibri" w:cs="Calibri"/>
                      <w:color w:val="4F81BD"/>
                      <w:sz w:val="18"/>
                      <w:szCs w:val="18"/>
                    </w:rPr>
                  </w:pPr>
                  <w:proofErr w:type="spellStart"/>
                  <w:r>
                    <w:rPr>
                      <w:rFonts w:ascii="Calibri" w:eastAsia="Calibri" w:hAnsi="Calibri" w:cs="Calibri"/>
                      <w:color w:val="4F81BD"/>
                      <w:sz w:val="18"/>
                      <w:szCs w:val="18"/>
                    </w:rPr>
                    <w:t>Vegetation</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54595141"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018F2054"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6AD7F7B3"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7A468F47"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7FF388E8"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CD81EB3" w14:textId="77777777" w:rsidR="00600DEE" w:rsidRDefault="00600DEE">
                  <w:pPr>
                    <w:spacing w:before="20" w:after="20"/>
                    <w:jc w:val="right"/>
                    <w:rPr>
                      <w:rFonts w:ascii="Calibri" w:eastAsia="Calibri" w:hAnsi="Calibri" w:cs="Calibri"/>
                      <w:color w:val="4F81BD"/>
                      <w:sz w:val="18"/>
                      <w:szCs w:val="18"/>
                    </w:rPr>
                  </w:pPr>
                </w:p>
              </w:tc>
            </w:tr>
            <w:tr w:rsidR="00600DEE" w14:paraId="6B48BC30" w14:textId="77777777" w:rsidTr="00F132E9">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0E51CA3A"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2C7BE9A"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ITS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73E8083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2790F463"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7EFC46EA"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F396DC1"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49344A92"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61DAB7C" w14:textId="77777777" w:rsidR="00600DEE" w:rsidRDefault="00600DEE">
                  <w:pPr>
                    <w:spacing w:before="20" w:after="20"/>
                    <w:jc w:val="right"/>
                    <w:rPr>
                      <w:rFonts w:ascii="Calibri" w:eastAsia="Calibri" w:hAnsi="Calibri" w:cs="Calibri"/>
                      <w:color w:val="4F81BD"/>
                      <w:sz w:val="18"/>
                      <w:szCs w:val="18"/>
                    </w:rPr>
                  </w:pPr>
                </w:p>
              </w:tc>
            </w:tr>
            <w:tr w:rsidR="00600DEE" w14:paraId="26D3950B" w14:textId="77777777" w:rsidTr="00F132E9">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60687F49"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IX</w:t>
                  </w:r>
                </w:p>
              </w:tc>
              <w:tc>
                <w:tcPr>
                  <w:tcW w:w="1979" w:type="dxa"/>
                  <w:tcBorders>
                    <w:top w:val="single" w:sz="4" w:space="0" w:color="FFFFFF"/>
                    <w:left w:val="single" w:sz="4" w:space="0" w:color="FFFFFF"/>
                    <w:bottom w:val="single" w:sz="4" w:space="0" w:color="FFFFFF"/>
                  </w:tcBorders>
                  <w:shd w:val="clear" w:color="auto" w:fill="DBE5F1"/>
                  <w:vAlign w:val="center"/>
                </w:tcPr>
                <w:p w14:paraId="23E80B7B"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Plant and </w:t>
                  </w:r>
                  <w:proofErr w:type="spellStart"/>
                  <w:r>
                    <w:rPr>
                      <w:rFonts w:ascii="Calibri" w:eastAsia="Calibri" w:hAnsi="Calibri" w:cs="Calibri"/>
                      <w:color w:val="4F81BD"/>
                      <w:sz w:val="18"/>
                      <w:szCs w:val="18"/>
                    </w:rPr>
                    <w:t>machinery</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180D401C"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4F611E27"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5BCEAFE8"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33F4D25"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4E7F5391"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5B5B453" w14:textId="77777777" w:rsidR="00600DEE" w:rsidRDefault="00600DEE">
                  <w:pPr>
                    <w:spacing w:before="20" w:after="20"/>
                    <w:jc w:val="right"/>
                    <w:rPr>
                      <w:rFonts w:ascii="Calibri" w:eastAsia="Calibri" w:hAnsi="Calibri" w:cs="Calibri"/>
                      <w:color w:val="4F81BD"/>
                      <w:sz w:val="18"/>
                      <w:szCs w:val="18"/>
                    </w:rPr>
                  </w:pPr>
                </w:p>
              </w:tc>
            </w:tr>
            <w:tr w:rsidR="00600DEE" w:rsidRPr="007463B9" w14:paraId="069D89DF"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1E098603"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w:t>
                  </w:r>
                </w:p>
              </w:tc>
              <w:tc>
                <w:tcPr>
                  <w:tcW w:w="1979" w:type="dxa"/>
                  <w:tcBorders>
                    <w:top w:val="single" w:sz="4" w:space="0" w:color="FFFFFF"/>
                    <w:left w:val="single" w:sz="4" w:space="0" w:color="FFFFFF"/>
                    <w:bottom w:val="single" w:sz="4" w:space="0" w:color="FFFFFF"/>
                  </w:tcBorders>
                  <w:shd w:val="clear" w:color="auto" w:fill="DBE5F1"/>
                  <w:vAlign w:val="center"/>
                </w:tcPr>
                <w:p w14:paraId="6E66F1B6"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 works not covered by the contract</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7E53BE09"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44" w:type="dxa"/>
                  <w:tcBorders>
                    <w:top w:val="single" w:sz="4" w:space="0" w:color="FFFFFF"/>
                    <w:left w:val="single" w:sz="4" w:space="0" w:color="FFFFFF"/>
                    <w:bottom w:val="single" w:sz="4" w:space="0" w:color="FFFFFF"/>
                  </w:tcBorders>
                  <w:shd w:val="clear" w:color="auto" w:fill="DBE5F1"/>
                  <w:vAlign w:val="center"/>
                </w:tcPr>
                <w:p w14:paraId="6DAE6743"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83" w:type="dxa"/>
                  <w:tcBorders>
                    <w:top w:val="single" w:sz="4" w:space="0" w:color="FFFFFF"/>
                    <w:left w:val="single" w:sz="4" w:space="0" w:color="FFFFFF"/>
                    <w:bottom w:val="single" w:sz="4" w:space="0" w:color="FFFFFF"/>
                  </w:tcBorders>
                  <w:shd w:val="clear" w:color="auto" w:fill="DBE5F1"/>
                  <w:vAlign w:val="center"/>
                </w:tcPr>
                <w:p w14:paraId="56BC6941"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7" w:type="dxa"/>
                  <w:gridSpan w:val="2"/>
                  <w:tcBorders>
                    <w:top w:val="single" w:sz="4" w:space="0" w:color="FFFFFF"/>
                    <w:left w:val="single" w:sz="4" w:space="0" w:color="FFFFFF"/>
                    <w:bottom w:val="single" w:sz="4" w:space="0" w:color="FFFFFF"/>
                  </w:tcBorders>
                  <w:shd w:val="clear" w:color="auto" w:fill="DBE5F1"/>
                </w:tcPr>
                <w:p w14:paraId="151EBC75"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89" w:type="dxa"/>
                  <w:gridSpan w:val="2"/>
                  <w:tcBorders>
                    <w:top w:val="single" w:sz="4" w:space="0" w:color="FFFFFF"/>
                    <w:left w:val="single" w:sz="4" w:space="0" w:color="FFFFFF"/>
                    <w:bottom w:val="single" w:sz="4" w:space="0" w:color="FFFFFF"/>
                  </w:tcBorders>
                  <w:shd w:val="clear" w:color="auto" w:fill="DBE5F1"/>
                </w:tcPr>
                <w:p w14:paraId="57307FD0"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989" w:type="dxa"/>
                  <w:tcBorders>
                    <w:top w:val="single" w:sz="4" w:space="0" w:color="FFFFFF"/>
                    <w:left w:val="single" w:sz="4" w:space="0" w:color="FFFFFF"/>
                    <w:bottom w:val="single" w:sz="4" w:space="0" w:color="FFFFFF"/>
                  </w:tcBorders>
                  <w:shd w:val="clear" w:color="auto" w:fill="DBE5F1"/>
                </w:tcPr>
                <w:p w14:paraId="7AA427F3"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14:paraId="2F45A30A"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64BED56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w:t>
                  </w:r>
                </w:p>
              </w:tc>
              <w:tc>
                <w:tcPr>
                  <w:tcW w:w="1979" w:type="dxa"/>
                  <w:tcBorders>
                    <w:top w:val="single" w:sz="4" w:space="0" w:color="FFFFFF"/>
                    <w:left w:val="single" w:sz="4" w:space="0" w:color="FFFFFF"/>
                    <w:bottom w:val="single" w:sz="4" w:space="0" w:color="FFFFFF"/>
                  </w:tcBorders>
                  <w:shd w:val="clear" w:color="auto" w:fill="DBE5F1"/>
                  <w:vAlign w:val="center"/>
                </w:tcPr>
                <w:p w14:paraId="080D9C66" w14:textId="77777777" w:rsidR="00600DEE" w:rsidRDefault="00641FB5">
                  <w:pPr>
                    <w:spacing w:before="20" w:after="20"/>
                    <w:rPr>
                      <w:rFonts w:ascii="Calibri" w:eastAsia="Calibri" w:hAnsi="Calibri" w:cs="Calibri"/>
                      <w:color w:val="4F81BD"/>
                      <w:sz w:val="18"/>
                      <w:szCs w:val="18"/>
                    </w:rPr>
                  </w:pPr>
                  <w:proofErr w:type="spellStart"/>
                  <w:r>
                    <w:rPr>
                      <w:rFonts w:ascii="Calibri" w:eastAsia="Calibri" w:hAnsi="Calibri" w:cs="Calibri"/>
                      <w:color w:val="4F81BD"/>
                      <w:sz w:val="18"/>
                      <w:szCs w:val="18"/>
                    </w:rPr>
                    <w:t>Contingencies</w:t>
                  </w:r>
                  <w:proofErr w:type="spellEnd"/>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0D35AF94"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5F9D6EEB"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35B52961"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02013952"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0400B26B"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9C96C1F" w14:textId="77777777" w:rsidR="00600DEE" w:rsidRDefault="00600DEE">
                  <w:pPr>
                    <w:spacing w:before="20" w:after="20"/>
                    <w:jc w:val="right"/>
                    <w:rPr>
                      <w:rFonts w:ascii="Calibri" w:eastAsia="Calibri" w:hAnsi="Calibri" w:cs="Calibri"/>
                      <w:color w:val="4F81BD"/>
                      <w:sz w:val="18"/>
                      <w:szCs w:val="18"/>
                    </w:rPr>
                  </w:pPr>
                </w:p>
              </w:tc>
            </w:tr>
            <w:tr w:rsidR="00600DEE" w:rsidRPr="007463B9" w14:paraId="0D254A9E" w14:textId="77777777" w:rsidTr="00F132E9">
              <w:trPr>
                <w:trHeight w:hRule="exact" w:val="680"/>
              </w:trPr>
              <w:tc>
                <w:tcPr>
                  <w:tcW w:w="625" w:type="dxa"/>
                  <w:tcBorders>
                    <w:top w:val="single" w:sz="4" w:space="0" w:color="FFFFFF"/>
                    <w:left w:val="single" w:sz="4" w:space="0" w:color="FFFFFF"/>
                    <w:bottom w:val="single" w:sz="4" w:space="0" w:color="FFFFFF"/>
                  </w:tcBorders>
                  <w:shd w:val="clear" w:color="auto" w:fill="DBE5F1"/>
                  <w:vAlign w:val="center"/>
                </w:tcPr>
                <w:p w14:paraId="1D8C93A9"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XII</w:t>
                  </w:r>
                </w:p>
              </w:tc>
              <w:tc>
                <w:tcPr>
                  <w:tcW w:w="1979" w:type="dxa"/>
                  <w:tcBorders>
                    <w:top w:val="single" w:sz="4" w:space="0" w:color="FFFFFF"/>
                    <w:left w:val="single" w:sz="4" w:space="0" w:color="FFFFFF"/>
                    <w:bottom w:val="single" w:sz="4" w:space="0" w:color="FFFFFF"/>
                  </w:tcBorders>
                  <w:shd w:val="clear" w:color="auto" w:fill="DBE5F1"/>
                  <w:vAlign w:val="center"/>
                </w:tcPr>
                <w:p w14:paraId="35096E22"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b/>
                      <w:color w:val="4F81BD"/>
                      <w:sz w:val="18"/>
                      <w:szCs w:val="18"/>
                      <w:lang w:val="en-GB"/>
                    </w:rPr>
                    <w:t>Total investment cost incl. contingencies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45D2E53B"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44" w:type="dxa"/>
                  <w:tcBorders>
                    <w:top w:val="single" w:sz="4" w:space="0" w:color="FFFFFF"/>
                    <w:left w:val="single" w:sz="4" w:space="0" w:color="FFFFFF"/>
                    <w:bottom w:val="single" w:sz="4" w:space="0" w:color="FFFFFF"/>
                  </w:tcBorders>
                  <w:shd w:val="clear" w:color="auto" w:fill="DBE5F1"/>
                  <w:vAlign w:val="center"/>
                </w:tcPr>
                <w:p w14:paraId="46B0E695"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83" w:type="dxa"/>
                  <w:tcBorders>
                    <w:top w:val="single" w:sz="4" w:space="0" w:color="FFFFFF"/>
                    <w:left w:val="single" w:sz="4" w:space="0" w:color="FFFFFF"/>
                    <w:bottom w:val="single" w:sz="4" w:space="0" w:color="FFFFFF"/>
                  </w:tcBorders>
                  <w:shd w:val="clear" w:color="auto" w:fill="DBE5F1"/>
                  <w:vAlign w:val="center"/>
                </w:tcPr>
                <w:p w14:paraId="0B8AB1B5"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7" w:type="dxa"/>
                  <w:gridSpan w:val="2"/>
                  <w:tcBorders>
                    <w:top w:val="single" w:sz="4" w:space="0" w:color="FFFFFF"/>
                    <w:left w:val="single" w:sz="4" w:space="0" w:color="FFFFFF"/>
                    <w:bottom w:val="single" w:sz="4" w:space="0" w:color="FFFFFF"/>
                  </w:tcBorders>
                  <w:shd w:val="clear" w:color="auto" w:fill="DBE5F1"/>
                </w:tcPr>
                <w:p w14:paraId="62D01C7B"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89" w:type="dxa"/>
                  <w:gridSpan w:val="2"/>
                  <w:tcBorders>
                    <w:top w:val="single" w:sz="4" w:space="0" w:color="FFFFFF"/>
                    <w:left w:val="single" w:sz="4" w:space="0" w:color="FFFFFF"/>
                    <w:bottom w:val="single" w:sz="4" w:space="0" w:color="FFFFFF"/>
                  </w:tcBorders>
                  <w:shd w:val="clear" w:color="auto" w:fill="DBE5F1"/>
                </w:tcPr>
                <w:p w14:paraId="64E18F92"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989" w:type="dxa"/>
                  <w:tcBorders>
                    <w:top w:val="single" w:sz="4" w:space="0" w:color="FFFFFF"/>
                    <w:left w:val="single" w:sz="4" w:space="0" w:color="FFFFFF"/>
                    <w:bottom w:val="single" w:sz="4" w:space="0" w:color="FFFFFF"/>
                  </w:tcBorders>
                  <w:shd w:val="clear" w:color="auto" w:fill="DBE5F1"/>
                </w:tcPr>
                <w:p w14:paraId="3C4DBBAA"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rsidRPr="007463B9" w14:paraId="2002939B"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6AAC4B6A" w14:textId="77777777" w:rsidR="00600DEE" w:rsidRPr="0045151D" w:rsidRDefault="00641FB5">
                  <w:pPr>
                    <w:spacing w:before="20" w:after="20"/>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XIII</w:t>
                  </w:r>
                </w:p>
              </w:tc>
              <w:tc>
                <w:tcPr>
                  <w:tcW w:w="1979" w:type="dxa"/>
                  <w:tcBorders>
                    <w:top w:val="single" w:sz="4" w:space="0" w:color="FFFFFF"/>
                    <w:left w:val="single" w:sz="4" w:space="0" w:color="FFFFFF"/>
                    <w:bottom w:val="single" w:sz="4" w:space="0" w:color="FFFFFF"/>
                  </w:tcBorders>
                  <w:shd w:val="clear" w:color="auto" w:fill="DBE5F1"/>
                  <w:vAlign w:val="center"/>
                </w:tcPr>
                <w:p w14:paraId="6ED60E4D"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VAT</w:t>
                  </w:r>
                </w:p>
              </w:tc>
              <w:tc>
                <w:tcPr>
                  <w:tcW w:w="1339" w:type="dxa"/>
                  <w:gridSpan w:val="3"/>
                  <w:tcBorders>
                    <w:top w:val="single" w:sz="4" w:space="0" w:color="FFFFFF"/>
                    <w:left w:val="single" w:sz="4" w:space="0" w:color="FFFFFF"/>
                    <w:bottom w:val="single" w:sz="4" w:space="0" w:color="FFFFFF"/>
                  </w:tcBorders>
                  <w:shd w:val="clear" w:color="auto" w:fill="DBE5F1"/>
                  <w:vAlign w:val="center"/>
                </w:tcPr>
                <w:p w14:paraId="24EF9649"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1420" w:type="dxa"/>
                  <w:gridSpan w:val="3"/>
                  <w:tcBorders>
                    <w:top w:val="single" w:sz="4" w:space="0" w:color="FFFFFF"/>
                    <w:left w:val="single" w:sz="4" w:space="0" w:color="FFFFFF"/>
                    <w:bottom w:val="single" w:sz="4" w:space="0" w:color="FFFFFF"/>
                  </w:tcBorders>
                  <w:shd w:val="clear" w:color="auto" w:fill="DBE5F1"/>
                  <w:vAlign w:val="center"/>
                </w:tcPr>
                <w:p w14:paraId="1665412B"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1578" w:type="dxa"/>
                  <w:gridSpan w:val="3"/>
                  <w:tcBorders>
                    <w:top w:val="single" w:sz="4" w:space="0" w:color="FFFFFF"/>
                    <w:left w:val="single" w:sz="4" w:space="0" w:color="FFFFFF"/>
                    <w:bottom w:val="single" w:sz="4" w:space="0" w:color="FFFFFF"/>
                  </w:tcBorders>
                  <w:shd w:val="clear" w:color="auto" w:fill="DBE5F1"/>
                </w:tcPr>
                <w:p w14:paraId="4581CF82" w14:textId="77777777" w:rsidR="00600DEE" w:rsidRPr="0045151D" w:rsidRDefault="00600DEE">
                  <w:pPr>
                    <w:spacing w:before="20" w:after="20"/>
                    <w:jc w:val="right"/>
                    <w:rPr>
                      <w:rFonts w:ascii="Calibri" w:eastAsia="Calibri" w:hAnsi="Calibri" w:cs="Calibri"/>
                      <w:color w:val="4F81BD"/>
                      <w:sz w:val="18"/>
                      <w:szCs w:val="18"/>
                      <w:lang w:val="en-GB"/>
                    </w:rPr>
                  </w:pPr>
                </w:p>
              </w:tc>
            </w:tr>
          </w:tbl>
          <w:p w14:paraId="1DE571EF" w14:textId="7A9BA65E" w:rsidR="00600DEE" w:rsidRPr="0045151D" w:rsidRDefault="00641FB5" w:rsidP="000927FA">
            <w:pPr>
              <w:pBdr>
                <w:top w:val="nil"/>
                <w:left w:val="nil"/>
                <w:bottom w:val="nil"/>
                <w:right w:val="nil"/>
                <w:between w:val="nil"/>
              </w:pBdr>
              <w:spacing w:before="24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Costly engineering structures (tunnels, bridges, overpasses, etc.) should be shown separately in the cost statement if deemed </w:t>
            </w:r>
            <w:proofErr w:type="spellStart"/>
            <w:r w:rsidRPr="0045151D">
              <w:rPr>
                <w:rFonts w:ascii="Calibri" w:eastAsia="Calibri" w:hAnsi="Calibri" w:cs="Calibri"/>
                <w:color w:val="000000"/>
                <w:sz w:val="20"/>
                <w:szCs w:val="20"/>
                <w:lang w:val="en-GB"/>
              </w:rPr>
              <w:t>apprioprate</w:t>
            </w:r>
            <w:proofErr w:type="spellEnd"/>
            <w:r w:rsidRPr="0045151D">
              <w:rPr>
                <w:rFonts w:ascii="Calibri" w:eastAsia="Calibri" w:hAnsi="Calibri" w:cs="Calibri"/>
                <w:color w:val="000000"/>
                <w:sz w:val="20"/>
                <w:szCs w:val="20"/>
                <w:lang w:val="en-GB"/>
              </w:rPr>
              <w:t xml:space="preserve">. Such a breakdown allows a quick comparison between options and highlights major investment costs </w:t>
            </w:r>
            <w:r w:rsidRPr="0045151D">
              <w:rPr>
                <w:rFonts w:ascii="Calibri" w:eastAsia="Calibri" w:hAnsi="Calibri" w:cs="Calibri"/>
                <w:color w:val="000000"/>
                <w:sz w:val="20"/>
                <w:szCs w:val="20"/>
                <w:lang w:val="en-GB"/>
              </w:rPr>
              <w:lastRenderedPageBreak/>
              <w:t>components. Moreover, in case of similar CBA results, it is easier to compare options in terms of performance of objectives and investment costs.</w:t>
            </w:r>
          </w:p>
          <w:p w14:paraId="0650A26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statement should present net cost and cost with VAT. The reasons are: different VAT rates applicable to some cost categories; eligibility/non-eligibility of VAT for some Beneficiaries; and the need to convert financial investment costs to accounting prices (see Chapter 2.2.2).</w:t>
            </w:r>
          </w:p>
          <w:p w14:paraId="5E726B2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an overview, it is recommended to present the total cost of the project for the investment option, as well as the cost per kilometre (see the Table below).</w:t>
            </w:r>
          </w:p>
          <w:p w14:paraId="6685CA66" w14:textId="1FAD2C10" w:rsidR="00600DEE" w:rsidRDefault="00641FB5" w:rsidP="00DF6B9D">
            <w:pPr>
              <w:pBdr>
                <w:top w:val="nil"/>
                <w:left w:val="nil"/>
                <w:bottom w:val="nil"/>
                <w:right w:val="nil"/>
                <w:between w:val="nil"/>
              </w:pBdr>
              <w:spacing w:after="120"/>
              <w:jc w:val="both"/>
              <w:rPr>
                <w:rFonts w:ascii="Calibri" w:eastAsia="Calibri" w:hAnsi="Calibri" w:cs="Calibri"/>
                <w:b/>
                <w:color w:val="4F81BD"/>
                <w:sz w:val="20"/>
                <w:szCs w:val="20"/>
              </w:rPr>
            </w:pPr>
            <w:proofErr w:type="spellStart"/>
            <w:r>
              <w:rPr>
                <w:rFonts w:ascii="Calibri" w:eastAsia="Calibri" w:hAnsi="Calibri" w:cs="Calibri"/>
                <w:b/>
                <w:color w:val="4F81BD"/>
                <w:sz w:val="20"/>
                <w:szCs w:val="20"/>
              </w:rPr>
              <w:t>Table</w:t>
            </w:r>
            <w:proofErr w:type="spellEnd"/>
            <w:r>
              <w:rPr>
                <w:rFonts w:ascii="Calibri" w:eastAsia="Calibri" w:hAnsi="Calibri" w:cs="Calibri"/>
                <w:b/>
                <w:color w:val="4F81BD"/>
                <w:sz w:val="20"/>
                <w:szCs w:val="20"/>
              </w:rPr>
              <w:t xml:space="preserve"> 9. Project </w:t>
            </w:r>
            <w:proofErr w:type="spellStart"/>
            <w:r>
              <w:rPr>
                <w:rFonts w:ascii="Calibri" w:eastAsia="Calibri" w:hAnsi="Calibri" w:cs="Calibri"/>
                <w:b/>
                <w:color w:val="4F81BD"/>
                <w:sz w:val="20"/>
                <w:szCs w:val="20"/>
              </w:rPr>
              <w:t>costs</w:t>
            </w:r>
            <w:proofErr w:type="spellEnd"/>
            <w:r>
              <w:rPr>
                <w:rFonts w:ascii="Calibri" w:eastAsia="Calibri" w:hAnsi="Calibri" w:cs="Calibri"/>
                <w:b/>
                <w:color w:val="4F81BD"/>
                <w:sz w:val="20"/>
                <w:szCs w:val="20"/>
              </w:rPr>
              <w:t xml:space="preserve"> </w:t>
            </w:r>
          </w:p>
          <w:tbl>
            <w:tblPr>
              <w:tblStyle w:val="aff7"/>
              <w:tblW w:w="680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2237"/>
              <w:gridCol w:w="2552"/>
            </w:tblGrid>
            <w:tr w:rsidR="00600DEE" w:rsidRPr="007463B9" w14:paraId="373BEBFB" w14:textId="77777777">
              <w:trPr>
                <w:trHeight w:val="269"/>
              </w:trPr>
              <w:tc>
                <w:tcPr>
                  <w:tcW w:w="2015" w:type="dxa"/>
                  <w:tcBorders>
                    <w:top w:val="nil"/>
                    <w:left w:val="nil"/>
                    <w:bottom w:val="nil"/>
                    <w:right w:val="single" w:sz="4" w:space="0" w:color="FFFFFF"/>
                  </w:tcBorders>
                  <w:shd w:val="clear" w:color="auto" w:fill="A6A6A6"/>
                  <w:vAlign w:val="center"/>
                </w:tcPr>
                <w:p w14:paraId="35B2A856" w14:textId="77777777" w:rsidR="00600DEE" w:rsidRDefault="00641FB5">
                  <w:pPr>
                    <w:spacing w:line="276" w:lineRule="auto"/>
                    <w:ind w:right="17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Specification</w:t>
                  </w:r>
                  <w:proofErr w:type="spellEnd"/>
                </w:p>
              </w:tc>
              <w:tc>
                <w:tcPr>
                  <w:tcW w:w="2237" w:type="dxa"/>
                  <w:tcBorders>
                    <w:top w:val="nil"/>
                    <w:left w:val="single" w:sz="4" w:space="0" w:color="FFFFFF"/>
                    <w:bottom w:val="nil"/>
                    <w:right w:val="single" w:sz="4" w:space="0" w:color="FFFFFF"/>
                  </w:tcBorders>
                  <w:shd w:val="clear" w:color="auto" w:fill="A6A6A6"/>
                  <w:vAlign w:val="center"/>
                </w:tcPr>
                <w:p w14:paraId="21F0B9B2"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Cost per km with VAT</w:t>
                  </w:r>
                </w:p>
              </w:tc>
              <w:tc>
                <w:tcPr>
                  <w:tcW w:w="2552" w:type="dxa"/>
                  <w:tcBorders>
                    <w:top w:val="nil"/>
                    <w:left w:val="single" w:sz="4" w:space="0" w:color="FFFFFF"/>
                    <w:bottom w:val="nil"/>
                    <w:right w:val="nil"/>
                  </w:tcBorders>
                  <w:shd w:val="clear" w:color="auto" w:fill="A6A6A6"/>
                  <w:vAlign w:val="center"/>
                </w:tcPr>
                <w:p w14:paraId="2B109BF6"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Cost per km without VAT</w:t>
                  </w:r>
                </w:p>
              </w:tc>
            </w:tr>
            <w:tr w:rsidR="00600DEE" w14:paraId="280E3FF8" w14:textId="77777777">
              <w:trPr>
                <w:trHeight w:val="322"/>
              </w:trPr>
              <w:tc>
                <w:tcPr>
                  <w:tcW w:w="2015" w:type="dxa"/>
                  <w:tcBorders>
                    <w:top w:val="single" w:sz="4" w:space="0" w:color="FFFFFF"/>
                    <w:left w:val="nil"/>
                    <w:bottom w:val="single" w:sz="4" w:space="0" w:color="FFFFFF"/>
                    <w:right w:val="single" w:sz="4" w:space="0" w:color="FFFFFF"/>
                  </w:tcBorders>
                  <w:shd w:val="clear" w:color="auto" w:fill="DBE5F1"/>
                  <w:vAlign w:val="center"/>
                </w:tcPr>
                <w:p w14:paraId="10D8DE31" w14:textId="77777777" w:rsidR="00600DEE" w:rsidRDefault="00641FB5">
                  <w:pPr>
                    <w:ind w:right="-20"/>
                    <w:rPr>
                      <w:rFonts w:ascii="Calibri" w:eastAsia="Calibri" w:hAnsi="Calibri" w:cs="Calibri"/>
                      <w:color w:val="4F81BD"/>
                      <w:sz w:val="18"/>
                      <w:szCs w:val="18"/>
                    </w:rPr>
                  </w:pPr>
                  <w:proofErr w:type="spellStart"/>
                  <w:r>
                    <w:rPr>
                      <w:rFonts w:ascii="Calibri" w:eastAsia="Calibri" w:hAnsi="Calibri" w:cs="Calibri"/>
                      <w:color w:val="4F81BD"/>
                      <w:sz w:val="18"/>
                      <w:szCs w:val="18"/>
                    </w:rPr>
                    <w:t>Without</w:t>
                  </w:r>
                  <w:proofErr w:type="spellEnd"/>
                  <w:r>
                    <w:rPr>
                      <w:rFonts w:ascii="Calibri" w:eastAsia="Calibri" w:hAnsi="Calibri" w:cs="Calibri"/>
                      <w:color w:val="4F81BD"/>
                      <w:sz w:val="18"/>
                      <w:szCs w:val="18"/>
                    </w:rPr>
                    <w:t xml:space="preserve"> land </w:t>
                  </w:r>
                  <w:proofErr w:type="spellStart"/>
                  <w:r>
                    <w:rPr>
                      <w:rFonts w:ascii="Calibri" w:eastAsia="Calibri" w:hAnsi="Calibri" w:cs="Calibri"/>
                      <w:color w:val="4F81BD"/>
                      <w:sz w:val="18"/>
                      <w:szCs w:val="18"/>
                    </w:rPr>
                    <w:t>acquisition</w:t>
                  </w:r>
                  <w:proofErr w:type="spellEnd"/>
                </w:p>
              </w:tc>
              <w:tc>
                <w:tcPr>
                  <w:tcW w:w="2237" w:type="dxa"/>
                  <w:tcBorders>
                    <w:top w:val="single" w:sz="4" w:space="0" w:color="FFFFFF"/>
                    <w:left w:val="single" w:sz="4" w:space="0" w:color="FFFFFF"/>
                    <w:bottom w:val="single" w:sz="4" w:space="0" w:color="FFFFFF"/>
                    <w:right w:val="single" w:sz="4" w:space="0" w:color="FFFFFF"/>
                  </w:tcBorders>
                  <w:shd w:val="clear" w:color="auto" w:fill="DBE5F1"/>
                </w:tcPr>
                <w:p w14:paraId="6AD0C7C1" w14:textId="77777777" w:rsidR="00600DEE" w:rsidRDefault="00600DEE">
                  <w:pPr>
                    <w:ind w:right="952"/>
                    <w:jc w:val="center"/>
                    <w:rPr>
                      <w:rFonts w:ascii="Calibri" w:eastAsia="Calibri" w:hAnsi="Calibri" w:cs="Calibri"/>
                      <w:color w:val="4F81BD"/>
                      <w:sz w:val="18"/>
                      <w:szCs w:val="18"/>
                    </w:rPr>
                  </w:pPr>
                </w:p>
              </w:tc>
              <w:tc>
                <w:tcPr>
                  <w:tcW w:w="2552" w:type="dxa"/>
                  <w:tcBorders>
                    <w:top w:val="single" w:sz="4" w:space="0" w:color="FFFFFF"/>
                    <w:left w:val="single" w:sz="4" w:space="0" w:color="FFFFFF"/>
                    <w:bottom w:val="single" w:sz="4" w:space="0" w:color="FFFFFF"/>
                    <w:right w:val="nil"/>
                  </w:tcBorders>
                  <w:shd w:val="clear" w:color="auto" w:fill="DBE5F1"/>
                </w:tcPr>
                <w:p w14:paraId="668C1BAA" w14:textId="77777777" w:rsidR="00600DEE" w:rsidRDefault="00600DEE">
                  <w:pPr>
                    <w:ind w:right="904"/>
                    <w:jc w:val="center"/>
                    <w:rPr>
                      <w:rFonts w:ascii="Calibri" w:eastAsia="Calibri" w:hAnsi="Calibri" w:cs="Calibri"/>
                      <w:color w:val="4F81BD"/>
                      <w:sz w:val="18"/>
                      <w:szCs w:val="18"/>
                    </w:rPr>
                  </w:pPr>
                </w:p>
              </w:tc>
            </w:tr>
            <w:tr w:rsidR="00600DEE" w:rsidRPr="007463B9" w14:paraId="21B3E542" w14:textId="77777777" w:rsidTr="000927FA">
              <w:trPr>
                <w:trHeight w:hRule="exact" w:val="680"/>
              </w:trPr>
              <w:tc>
                <w:tcPr>
                  <w:tcW w:w="2015" w:type="dxa"/>
                  <w:tcBorders>
                    <w:top w:val="single" w:sz="4" w:space="0" w:color="FFFFFF"/>
                    <w:left w:val="nil"/>
                    <w:bottom w:val="nil"/>
                    <w:right w:val="single" w:sz="4" w:space="0" w:color="FFFFFF"/>
                  </w:tcBorders>
                  <w:shd w:val="clear" w:color="auto" w:fill="DBE5F1"/>
                </w:tcPr>
                <w:p w14:paraId="45B8E68F" w14:textId="77777777" w:rsidR="00600DEE" w:rsidRPr="0045151D" w:rsidRDefault="00641FB5">
                  <w:pPr>
                    <w:spacing w:before="4"/>
                    <w:rPr>
                      <w:rFonts w:ascii="Calibri" w:eastAsia="Calibri" w:hAnsi="Calibri" w:cs="Calibri"/>
                      <w:color w:val="4F81BD"/>
                      <w:sz w:val="12"/>
                      <w:szCs w:val="12"/>
                      <w:lang w:val="en-GB"/>
                    </w:rPr>
                  </w:pPr>
                  <w:r w:rsidRPr="0045151D">
                    <w:rPr>
                      <w:rFonts w:ascii="Calibri" w:eastAsia="Calibri" w:hAnsi="Calibri" w:cs="Calibri"/>
                      <w:color w:val="4F81BD"/>
                      <w:sz w:val="18"/>
                      <w:szCs w:val="18"/>
                      <w:lang w:val="en-GB"/>
                    </w:rPr>
                    <w:t>Without land acquisition and without structures</w:t>
                  </w:r>
                </w:p>
              </w:tc>
              <w:tc>
                <w:tcPr>
                  <w:tcW w:w="2237" w:type="dxa"/>
                  <w:tcBorders>
                    <w:top w:val="single" w:sz="4" w:space="0" w:color="FFFFFF"/>
                    <w:left w:val="single" w:sz="4" w:space="0" w:color="FFFFFF"/>
                    <w:bottom w:val="nil"/>
                    <w:right w:val="single" w:sz="4" w:space="0" w:color="FFFFFF"/>
                  </w:tcBorders>
                  <w:shd w:val="clear" w:color="auto" w:fill="DBE5F1"/>
                </w:tcPr>
                <w:p w14:paraId="6171D124" w14:textId="77777777" w:rsidR="00600DEE" w:rsidRPr="0045151D" w:rsidRDefault="00600DEE">
                  <w:pPr>
                    <w:ind w:right="952"/>
                    <w:jc w:val="center"/>
                    <w:rPr>
                      <w:rFonts w:ascii="Calibri" w:eastAsia="Calibri" w:hAnsi="Calibri" w:cs="Calibri"/>
                      <w:color w:val="4F81BD"/>
                      <w:sz w:val="18"/>
                      <w:szCs w:val="18"/>
                      <w:lang w:val="en-GB"/>
                    </w:rPr>
                  </w:pPr>
                </w:p>
              </w:tc>
              <w:tc>
                <w:tcPr>
                  <w:tcW w:w="2552" w:type="dxa"/>
                  <w:tcBorders>
                    <w:top w:val="single" w:sz="4" w:space="0" w:color="FFFFFF"/>
                    <w:left w:val="single" w:sz="4" w:space="0" w:color="FFFFFF"/>
                    <w:bottom w:val="nil"/>
                    <w:right w:val="nil"/>
                  </w:tcBorders>
                  <w:shd w:val="clear" w:color="auto" w:fill="DBE5F1"/>
                </w:tcPr>
                <w:p w14:paraId="66714012" w14:textId="77777777" w:rsidR="00600DEE" w:rsidRPr="0045151D" w:rsidRDefault="00600DEE">
                  <w:pPr>
                    <w:ind w:right="904"/>
                    <w:jc w:val="center"/>
                    <w:rPr>
                      <w:rFonts w:ascii="Calibri" w:eastAsia="Calibri" w:hAnsi="Calibri" w:cs="Calibri"/>
                      <w:color w:val="4F81BD"/>
                      <w:sz w:val="18"/>
                      <w:szCs w:val="18"/>
                      <w:lang w:val="en-GB"/>
                    </w:rPr>
                  </w:pPr>
                </w:p>
              </w:tc>
            </w:tr>
          </w:tbl>
          <w:p w14:paraId="0D119B6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Capital expenditures for the purposes of the CBA should be spread into individual years of the analysis, according to the financial schedule of expenses. The situation where very small expenditures at the beginning of the investment preparation and implementation are shown for several years in the CBA simulation model should be avoided. In such cases, it is recommended to integrate all smaller amounts to the costs in the first year of the analysis. In the case of expenditures incurred before the first year of the analysis, as a matter of principle, such expenditures should not be indexed and should be disclosed in nominal value in the first year of the analysis.</w:t>
            </w:r>
          </w:p>
          <w:p w14:paraId="0D6ECBFA" w14:textId="47DD3A47" w:rsidR="00DF6B9D" w:rsidRPr="0045151D" w:rsidRDefault="00DF6B9D">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r>
    </w:tbl>
    <w:p w14:paraId="3D4704D0" w14:textId="55A7D535" w:rsidR="00600DEE" w:rsidRDefault="00641FB5" w:rsidP="00D5736B">
      <w:pPr>
        <w:pStyle w:val="Nagwek3"/>
        <w:numPr>
          <w:ilvl w:val="2"/>
          <w:numId w:val="17"/>
        </w:numPr>
        <w:ind w:left="0" w:firstLine="0"/>
        <w:rPr>
          <w:rFonts w:ascii="Calibri" w:eastAsia="Calibri" w:hAnsi="Calibri" w:cs="Calibri"/>
          <w:color w:val="4F81BD"/>
        </w:rPr>
      </w:pPr>
      <w:bookmarkStart w:id="51" w:name="_Toc95377981"/>
      <w:r>
        <w:rPr>
          <w:rFonts w:ascii="Calibri" w:eastAsia="Calibri" w:hAnsi="Calibri" w:cs="Calibri"/>
          <w:color w:val="4F81BD"/>
        </w:rPr>
        <w:lastRenderedPageBreak/>
        <w:t>Oszacowanie wydatków na eksploatację i utrzymanie</w:t>
      </w:r>
      <w:r>
        <w:rPr>
          <w:rFonts w:ascii="Calibri" w:eastAsia="Calibri" w:hAnsi="Calibri" w:cs="Calibri"/>
          <w:color w:val="4F81BD"/>
        </w:rPr>
        <w:tab/>
        <w:t xml:space="preserve">         </w:t>
      </w:r>
      <w:r>
        <w:rPr>
          <w:rFonts w:ascii="Calibri" w:eastAsia="Calibri" w:hAnsi="Calibri" w:cs="Calibri"/>
          <w:i/>
          <w:color w:val="4F81BD"/>
        </w:rPr>
        <w:t>1.9.2.</w:t>
      </w:r>
      <w:r>
        <w:rPr>
          <w:rFonts w:ascii="Calibri" w:eastAsia="Calibri" w:hAnsi="Calibri" w:cs="Calibri"/>
          <w:color w:val="4F81BD"/>
        </w:rPr>
        <w:t xml:space="preserve">   </w:t>
      </w:r>
      <w:proofErr w:type="spellStart"/>
      <w:r>
        <w:rPr>
          <w:rFonts w:ascii="Calibri" w:eastAsia="Calibri" w:hAnsi="Calibri" w:cs="Calibri"/>
          <w:i/>
          <w:color w:val="4F81BD"/>
        </w:rPr>
        <w:t>Estimation</w:t>
      </w:r>
      <w:proofErr w:type="spellEnd"/>
      <w:r>
        <w:rPr>
          <w:rFonts w:ascii="Calibri" w:eastAsia="Calibri" w:hAnsi="Calibri" w:cs="Calibri"/>
          <w:i/>
          <w:color w:val="4F81BD"/>
        </w:rPr>
        <w:t xml:space="preserve"> of </w:t>
      </w:r>
      <w:proofErr w:type="spellStart"/>
      <w:r>
        <w:rPr>
          <w:rFonts w:ascii="Calibri" w:eastAsia="Calibri" w:hAnsi="Calibri" w:cs="Calibri"/>
          <w:i/>
          <w:color w:val="4F81BD"/>
        </w:rPr>
        <w:t>operating</w:t>
      </w:r>
      <w:proofErr w:type="spellEnd"/>
      <w:r>
        <w:rPr>
          <w:rFonts w:ascii="Calibri" w:eastAsia="Calibri" w:hAnsi="Calibri" w:cs="Calibri"/>
          <w:i/>
          <w:color w:val="4F81BD"/>
        </w:rPr>
        <w:t xml:space="preserve"> and </w:t>
      </w:r>
      <w:proofErr w:type="spellStart"/>
      <w:r>
        <w:rPr>
          <w:rFonts w:ascii="Calibri" w:eastAsia="Calibri" w:hAnsi="Calibri" w:cs="Calibri"/>
          <w:i/>
          <w:color w:val="4F81BD"/>
        </w:rPr>
        <w:t>maintenance</w:t>
      </w:r>
      <w:proofErr w:type="spellEnd"/>
      <w:r>
        <w:rPr>
          <w:rFonts w:ascii="Calibri" w:eastAsia="Calibri" w:hAnsi="Calibri" w:cs="Calibri"/>
          <w:i/>
          <w:color w:val="4F81BD"/>
        </w:rPr>
        <w:t xml:space="preserve"> (O&amp;M) </w:t>
      </w:r>
      <w:proofErr w:type="spellStart"/>
      <w:r>
        <w:rPr>
          <w:rFonts w:ascii="Calibri" w:eastAsia="Calibri" w:hAnsi="Calibri" w:cs="Calibri"/>
          <w:i/>
          <w:color w:val="4F81BD"/>
        </w:rPr>
        <w:t>expenditures</w:t>
      </w:r>
      <w:bookmarkEnd w:id="51"/>
      <w:proofErr w:type="spellEnd"/>
    </w:p>
    <w:tbl>
      <w:tblPr>
        <w:tblStyle w:val="aff8"/>
        <w:tblW w:w="14571" w:type="dxa"/>
        <w:tblLayout w:type="fixed"/>
        <w:tblLook w:val="0400" w:firstRow="0" w:lastRow="0" w:firstColumn="0" w:lastColumn="0" w:noHBand="0" w:noVBand="1"/>
      </w:tblPr>
      <w:tblGrid>
        <w:gridCol w:w="7367"/>
        <w:gridCol w:w="7204"/>
      </w:tblGrid>
      <w:tr w:rsidR="00600DEE" w:rsidRPr="007463B9" w14:paraId="508F77BF" w14:textId="77777777">
        <w:tc>
          <w:tcPr>
            <w:tcW w:w="7367" w:type="dxa"/>
            <w:tcBorders>
              <w:right w:val="single" w:sz="4" w:space="0" w:color="000000"/>
            </w:tcBorders>
            <w:tcMar>
              <w:left w:w="284" w:type="dxa"/>
              <w:right w:w="284" w:type="dxa"/>
            </w:tcMar>
          </w:tcPr>
          <w:p w14:paraId="68907F6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Dane wejściowe dotyczące kosztów eksploatacji i utrzymania należy zawsze przygotować zarówno dla W0, jak i dla wszystkich wariantów inwestycyjnych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xml:space="preserve">). </w:t>
            </w:r>
          </w:p>
          <w:p w14:paraId="07F0C8F8" w14:textId="77777777" w:rsidR="00B802AC" w:rsidRPr="00371A33" w:rsidRDefault="00B802AC" w:rsidP="00B802AC">
            <w:pPr>
              <w:pStyle w:val="anxnormalZnak"/>
              <w:spacing w:after="120"/>
              <w:ind w:left="0"/>
              <w:rPr>
                <w:rFonts w:asciiTheme="minorHAnsi" w:hAnsiTheme="minorHAnsi" w:cstheme="minorHAnsi"/>
                <w:spacing w:val="-3"/>
              </w:rPr>
            </w:pPr>
            <w:bookmarkStart w:id="52" w:name="_heading=h.3fwokq0" w:colFirst="0" w:colLast="0"/>
            <w:bookmarkEnd w:id="52"/>
            <w:r w:rsidRPr="00371A33">
              <w:rPr>
                <w:rFonts w:asciiTheme="minorHAnsi" w:hAnsiTheme="minorHAnsi" w:cstheme="minorHAnsi"/>
                <w:spacing w:val="-3"/>
              </w:rPr>
              <w:t>Przy stosowaniu metody przyrostowej w AKK dla nowego projektu budowy drogi, zakłada się, że różnica w wydatkach na utrzymanie i eksploatację (zdyskontowanych) między W0 i </w:t>
            </w:r>
            <w:proofErr w:type="spellStart"/>
            <w:r w:rsidRPr="00371A33">
              <w:rPr>
                <w:rFonts w:asciiTheme="minorHAnsi" w:hAnsiTheme="minorHAnsi" w:cstheme="minorHAnsi"/>
                <w:spacing w:val="-3"/>
              </w:rPr>
              <w:t>Wn</w:t>
            </w:r>
            <w:proofErr w:type="spellEnd"/>
            <w:r w:rsidRPr="00371A33">
              <w:rPr>
                <w:rFonts w:asciiTheme="minorHAnsi" w:hAnsiTheme="minorHAnsi" w:cstheme="minorHAnsi"/>
                <w:spacing w:val="-3"/>
              </w:rPr>
              <w:t xml:space="preserve"> dla istniejącej sieci drogowej jest znikoma (jednak w szczególnych przypadkach konieczności przeanalizowania wpływu zmian kosztów utrzymania i </w:t>
            </w:r>
            <w:r w:rsidRPr="00371A33">
              <w:rPr>
                <w:rFonts w:asciiTheme="minorHAnsi" w:hAnsiTheme="minorHAnsi" w:cstheme="minorHAnsi"/>
                <w:spacing w:val="-3"/>
              </w:rPr>
              <w:lastRenderedPageBreak/>
              <w:t>eksploatacji, analiza może zostać uszczegółowiona). Dlatego też jedynie wydatki na utrzymanie i eksploatację dla nowej inwestycji drogowej uwzględniane są w obliczeniach od pierwszego pełnego roku eksploatacji inwestycji.</w:t>
            </w:r>
          </w:p>
          <w:p w14:paraId="3B5A8C50" w14:textId="77777777" w:rsidR="00B802AC" w:rsidRDefault="00B802AC" w:rsidP="00B802AC">
            <w:pPr>
              <w:pStyle w:val="anxnormalZnak"/>
              <w:spacing w:after="120"/>
              <w:ind w:left="0"/>
              <w:rPr>
                <w:rFonts w:asciiTheme="minorHAnsi" w:hAnsiTheme="minorHAnsi" w:cstheme="minorHAnsi"/>
                <w:spacing w:val="-3"/>
              </w:rPr>
            </w:pPr>
            <w:r w:rsidRPr="000E52FF">
              <w:rPr>
                <w:rFonts w:asciiTheme="minorHAnsi" w:hAnsiTheme="minorHAnsi" w:cstheme="minorHAnsi"/>
                <w:spacing w:val="-3"/>
              </w:rPr>
              <w:t>W przypadku realizacji nowej drogi, wykorzystującej całkowicie lub częściowo przebieg drogi istniejącej wydatki na utrzymanie i eksploatację należy oszacować oddzielnie dla wariantu istniejącego (W0) i wariantu inwestycyjnego (</w:t>
            </w:r>
            <w:proofErr w:type="spellStart"/>
            <w:r w:rsidRPr="000E52FF">
              <w:rPr>
                <w:rFonts w:asciiTheme="minorHAnsi" w:hAnsiTheme="minorHAnsi" w:cstheme="minorHAnsi"/>
                <w:spacing w:val="-3"/>
              </w:rPr>
              <w:t>Wn</w:t>
            </w:r>
            <w:proofErr w:type="spellEnd"/>
            <w:r w:rsidRPr="000E52FF">
              <w:rPr>
                <w:rFonts w:asciiTheme="minorHAnsi" w:hAnsiTheme="minorHAnsi" w:cstheme="minorHAnsi"/>
                <w:spacing w:val="-3"/>
              </w:rPr>
              <w:t xml:space="preserve">). W przypadku przebudowy/rozbudowy drogi bez zmiany parametrów drogi, wydatki są identyczne dla obydwu wariantów. W przypadku przebudowy/rozbudowy drogi ze zmianą parametrów koszty należy oszacować oddzielnie dla wariantu W0 i wariantu </w:t>
            </w:r>
            <w:proofErr w:type="spellStart"/>
            <w:r w:rsidRPr="000E52FF">
              <w:rPr>
                <w:rFonts w:asciiTheme="minorHAnsi" w:hAnsiTheme="minorHAnsi" w:cstheme="minorHAnsi"/>
                <w:spacing w:val="-3"/>
              </w:rPr>
              <w:t>Wn</w:t>
            </w:r>
            <w:proofErr w:type="spellEnd"/>
            <w:r w:rsidRPr="000E52FF">
              <w:rPr>
                <w:rFonts w:asciiTheme="minorHAnsi" w:hAnsiTheme="minorHAnsi" w:cstheme="minorHAnsi"/>
                <w:spacing w:val="-3"/>
              </w:rPr>
              <w:t xml:space="preserve">. W przypadku przeprowadzenia rozbudowy/budowy/przebudowy odcinka drogi, prowadzonej pod ruchem koszty eksploatacji i utrzymania powinny obejmować również okres realizacji inwestycji dla W0 i </w:t>
            </w:r>
            <w:proofErr w:type="spellStart"/>
            <w:r w:rsidRPr="000E52FF">
              <w:rPr>
                <w:rFonts w:asciiTheme="minorHAnsi" w:hAnsiTheme="minorHAnsi" w:cstheme="minorHAnsi"/>
                <w:spacing w:val="-3"/>
              </w:rPr>
              <w:t>Wn</w:t>
            </w:r>
            <w:proofErr w:type="spellEnd"/>
            <w:r w:rsidRPr="000E52FF">
              <w:rPr>
                <w:rFonts w:asciiTheme="minorHAnsi" w:hAnsiTheme="minorHAnsi" w:cstheme="minorHAnsi"/>
                <w:spacing w:val="-3"/>
              </w:rPr>
              <w:t>.</w:t>
            </w:r>
          </w:p>
          <w:p w14:paraId="70BA27B8" w14:textId="3092AF5D" w:rsidR="00DF6B9D"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przypadku każdej analizy ważne jest sprawdzenie, nawet jeśli dane źródłowe są zagregowane w kosztach eksploatacji i utrzymania ogółem, czy uwzględniono wszystkie następujące elementy kosztowe:</w:t>
            </w:r>
          </w:p>
          <w:p w14:paraId="0F3AE5E1"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Bieżące roczne koszty eksploatacji i utrzymania, w tym:</w:t>
            </w:r>
          </w:p>
          <w:p w14:paraId="61919FA9"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bieżące utrzymanie całoroczne, w tym utrzymanie zimowe,</w:t>
            </w:r>
          </w:p>
          <w:p w14:paraId="2AA6F5B4"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koszty ogólne prowadzenia działalności (budynki, administracja itp.),</w:t>
            </w:r>
          </w:p>
          <w:p w14:paraId="622CD607"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zarządzanie ruchem.</w:t>
            </w:r>
          </w:p>
          <w:p w14:paraId="6D1BAA00"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eksploatacji systemu poboru opłat: </w:t>
            </w:r>
          </w:p>
          <w:p w14:paraId="5955AB93" w14:textId="747AE196" w:rsidR="00600DEE" w:rsidRDefault="00497CC7"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sidRPr="00497CC7">
              <w:rPr>
                <w:rFonts w:asciiTheme="minorHAnsi" w:hAnsiTheme="minorHAnsi"/>
                <w:sz w:val="20"/>
                <w:szCs w:val="20"/>
                <w:lang w:eastAsia="en-US"/>
              </w:rPr>
              <w:t>utrzymanie elektronicznego systemu poboru opłat,</w:t>
            </w:r>
          </w:p>
          <w:p w14:paraId="46A3FDB2"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Koszt okresowych prac utrzymaniowych: </w:t>
            </w:r>
          </w:p>
          <w:p w14:paraId="1C486098"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remont okresowy (odnowa),</w:t>
            </w:r>
          </w:p>
          <w:p w14:paraId="1FAE7346"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remont cząstkowy i naprawa.</w:t>
            </w:r>
          </w:p>
          <w:p w14:paraId="028905E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Całoroczne bieżące utrzymanie obejmuje wszystkie koszty prac, służących zapewnieniu bezpieczeństwa infrastruktury drogi pod względem technicznym i jej dostępności do codziennej eksploatacji, a także zapobieganiu jej degradacji. Utrzymanie zimowe i inne prace związane z sezonowością (np. koszenie, malowanie, sprzątanie, itp.) stanowią także część tych kosztów.  </w:t>
            </w:r>
          </w:p>
          <w:p w14:paraId="5DB4D8C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Okresowe prace remontowe dotyczą wszelkich zabiegów, których celem jest przywrócenie pierwotnych parametrów użytkowych drogi. Koszty okresowego utrzymania obejmują zwykle wymianę nawierzchni, konserwację elementów </w:t>
            </w:r>
            <w:r>
              <w:rPr>
                <w:rFonts w:ascii="Calibri" w:eastAsia="Calibri" w:hAnsi="Calibri" w:cs="Calibri"/>
                <w:color w:val="000000"/>
                <w:sz w:val="20"/>
                <w:szCs w:val="20"/>
              </w:rPr>
              <w:lastRenderedPageBreak/>
              <w:t xml:space="preserve">obiektów mostowych (łożyska, izolacja, itd.) lub zasadnicze zabiegi utrzymaniowe dotyczące pozostałej infrastruktury towarzyszącej. </w:t>
            </w:r>
          </w:p>
          <w:p w14:paraId="7DECD39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Przy obliczaniu kosztów eksploatacji i utrzymania w przypadku W0 nie należy wprost ekstrapolować kosztów historycznych (szczególnie, jeśli były sztucznie zaniżone ze względu na limity wydatków), lecz powinno się uwzględnić wiek i stan infrastruktury oraz prawdopodobne zwiększenie częstotliwości i kosztów okresowych prac remontowych w okresie odniesienia.</w:t>
            </w:r>
          </w:p>
          <w:p w14:paraId="64ED77C0" w14:textId="77777777" w:rsidR="00B802AC" w:rsidRPr="00371A33" w:rsidRDefault="00B802AC" w:rsidP="00B802AC">
            <w:pPr>
              <w:pStyle w:val="anxnormalZnak"/>
              <w:spacing w:after="120"/>
              <w:ind w:left="0"/>
              <w:rPr>
                <w:rFonts w:asciiTheme="minorHAnsi" w:hAnsiTheme="minorHAnsi"/>
                <w:spacing w:val="-3"/>
              </w:rPr>
            </w:pPr>
            <w:r w:rsidRPr="000E52FF">
              <w:rPr>
                <w:rFonts w:asciiTheme="minorHAnsi" w:hAnsiTheme="minorHAnsi"/>
                <w:spacing w:val="-3"/>
              </w:rPr>
              <w:t>Koszty jednostkowe eksploatacji i utrzymania będą różne dla różnych kategorii dróg. Koszty jednostkowe bieżącego utrzymania przy tej samej kategorii drogi będą identyczne dla W0 i wariantów inwestycyjnych. Koszty jednostkowe okresowych prac remontowych również będą zbliżone do tych dla sieci istniejącej i dróg projektowanych, różnić się będą tylko harmonogramem wykonywania poszczególnych typó</w:t>
            </w:r>
            <w:r w:rsidRPr="00371A33">
              <w:rPr>
                <w:rFonts w:asciiTheme="minorHAnsi" w:hAnsiTheme="minorHAnsi"/>
                <w:spacing w:val="-3"/>
              </w:rPr>
              <w:t>w robót. W przypadku istniejącej sieci częściej wystąpią koszty remontów cząstkowych i okresowych, z uwagi na postępujący proces degradacji. Jak wspomniano powyżej, dla każdego nowego projektu drogowego różnica w wydatkach na utrzymanie i eksploatację między W0 i </w:t>
            </w:r>
            <w:proofErr w:type="spellStart"/>
            <w:r w:rsidRPr="00371A33">
              <w:rPr>
                <w:rFonts w:asciiTheme="minorHAnsi" w:hAnsiTheme="minorHAnsi"/>
                <w:spacing w:val="-3"/>
              </w:rPr>
              <w:t>Wn</w:t>
            </w:r>
            <w:proofErr w:type="spellEnd"/>
            <w:r w:rsidRPr="00371A33">
              <w:rPr>
                <w:rFonts w:asciiTheme="minorHAnsi" w:hAnsiTheme="minorHAnsi"/>
                <w:spacing w:val="-3"/>
              </w:rPr>
              <w:t xml:space="preserve"> dla istniejącej sieci drogowej jest pomijalna (chyba, że inwestor zamierza ją wykorzystać do innych celów).</w:t>
            </w:r>
          </w:p>
          <w:p w14:paraId="0517EDC6" w14:textId="77777777" w:rsidR="00B802AC" w:rsidRDefault="00B802AC" w:rsidP="00B802AC">
            <w:pPr>
              <w:pStyle w:val="anxnormalZnak"/>
              <w:spacing w:after="120"/>
              <w:ind w:left="0"/>
              <w:rPr>
                <w:rFonts w:asciiTheme="minorHAnsi" w:hAnsiTheme="minorHAnsi"/>
                <w:spacing w:val="-3"/>
              </w:rPr>
            </w:pPr>
            <w:r w:rsidRPr="00371A33">
              <w:rPr>
                <w:rFonts w:asciiTheme="minorHAnsi" w:hAnsiTheme="minorHAnsi"/>
                <w:spacing w:val="-3"/>
              </w:rPr>
              <w:t xml:space="preserve">Dla projektów drogowych, dla których wdrożono całoroczne bieżące oraz prewencyjne utrzymanie, obejmujące niezbędne remonty cząstkowe, zaleca się wykorzystanie scenariusza utrzymania i cen jednostkowych z załącznika A przedstawiających średni jednostkowy koszt eksploatacji i utrzymania dla różnych klas dróg w Polsce. Zakłada się coroczne alokacje na eksploatację i utrzymanie na podstawie tych uśrednionych wymogów. Przy takich założeniach, całościowa wymiana/ odnowa nawierzchni dla nowej lub remontowanej drogi, powinna zostać przeprowadzona po upływie 10 lat od momentu oddania do użytku. W całym okresie analizy, wynoszącym 25 lat, należy zaplanować dwukrotną wymianę nawierzchni (w 10 i 20 roku po oddaniu drogi do użytkowania). Zakładając takie podejście do utrzymania, nie będą potrzebne bardziej kosztowne pełne remonty. Jest to podejście konserwatywne, zakładające uwzględnienie w kosztach jednostkowych zaproponowanych w załączniku A, wykonywanie pewnych prac eliminujących ewentualne strukturalne problemy w niższych warstwach podbudowy lub wady konstrukcyjnych obiektów. Zakłada się, że wszystkie inne niezbędne okresowe czynności utrzymaniowe elementów wyposażenia drogi, oprócz nawierzchni (np. urządzenia zabezpieczające, sygnalizacyjne, ekrany akustyczne, urządzenia ochrony środowiska itp.), wraz z odpowiednimi kosztami ogólnymi, uwzględnione są w kosztach utrzymania okresowego. Pomimo, że terminy tych okresowych prac są różne dla poszczególnych elementów ze względu na różne cykle utrzymania, proponuje się, aby przyjąć średnie okresowe koszty utrzymania tych </w:t>
            </w:r>
            <w:r w:rsidRPr="00371A33">
              <w:rPr>
                <w:rFonts w:asciiTheme="minorHAnsi" w:hAnsiTheme="minorHAnsi"/>
                <w:spacing w:val="-3"/>
              </w:rPr>
              <w:lastRenderedPageBreak/>
              <w:t>elementów zgodnie z załącznikiem A w 10 i 20 roku eksploatowanej infrastruktury dla danego okresu analizy.</w:t>
            </w:r>
          </w:p>
          <w:p w14:paraId="0209836D" w14:textId="77777777" w:rsidR="00B802AC" w:rsidRPr="00A9003B" w:rsidRDefault="00B802AC" w:rsidP="00B802AC">
            <w:pPr>
              <w:pStyle w:val="anxnormalZnak"/>
              <w:spacing w:after="120"/>
              <w:ind w:left="0"/>
              <w:rPr>
                <w:rFonts w:asciiTheme="minorHAnsi" w:hAnsiTheme="minorHAnsi" w:cstheme="minorHAnsi"/>
                <w:spacing w:val="-3"/>
              </w:rPr>
            </w:pPr>
            <w:r w:rsidRPr="00A812BC">
              <w:rPr>
                <w:rFonts w:asciiTheme="minorHAnsi" w:hAnsiTheme="minorHAnsi" w:cstheme="minorHAnsi"/>
                <w:spacing w:val="-3"/>
              </w:rPr>
              <w:t xml:space="preserve">Jeżeli dla danego projektu dostępne są szczegółowe </w:t>
            </w:r>
            <w:r w:rsidRPr="00E806EA">
              <w:rPr>
                <w:rFonts w:asciiTheme="minorHAnsi" w:hAnsiTheme="minorHAnsi" w:cstheme="minorHAnsi"/>
                <w:spacing w:val="-3"/>
              </w:rPr>
              <w:t xml:space="preserve">dane dotyczące kosztów </w:t>
            </w:r>
            <w:r w:rsidRPr="00823F0C">
              <w:rPr>
                <w:rFonts w:asciiTheme="minorHAnsi" w:hAnsiTheme="minorHAnsi" w:cstheme="minorHAnsi"/>
                <w:spacing w:val="-3"/>
              </w:rPr>
              <w:t xml:space="preserve">eksploatacji i utrzymania </w:t>
            </w:r>
            <w:r w:rsidRPr="00A9003B">
              <w:rPr>
                <w:rFonts w:asciiTheme="minorHAnsi" w:hAnsiTheme="minorHAnsi" w:cstheme="minorHAnsi"/>
                <w:spacing w:val="-3"/>
              </w:rPr>
              <w:t>(tzn. powyższe podejście utrzymaniowe a także koszty z załącznika A nie są zastosowane), to należy przedstawić użyte koszty w rozbiciu na koszty jednostkowe na km dla poszczególnych składników co może być użyteczne do celów szybkiego porównania wariantów inwestycyjnych projektu.</w:t>
            </w:r>
          </w:p>
          <w:p w14:paraId="42038C71" w14:textId="77777777" w:rsidR="00B802AC" w:rsidRPr="00731E4E" w:rsidRDefault="00B802AC" w:rsidP="00B802AC">
            <w:pPr>
              <w:pStyle w:val="anxnormalZnak"/>
              <w:spacing w:after="120"/>
              <w:ind w:left="0"/>
              <w:rPr>
                <w:rFonts w:asciiTheme="minorHAnsi" w:hAnsiTheme="minorHAnsi"/>
                <w:spacing w:val="-3"/>
              </w:rPr>
            </w:pPr>
            <w:r w:rsidRPr="00257D85">
              <w:rPr>
                <w:rFonts w:asciiTheme="minorHAnsi" w:hAnsiTheme="minorHAnsi"/>
                <w:spacing w:val="-3"/>
              </w:rPr>
              <w:t xml:space="preserve">Dla dużych obiektów inżynierskich (na przykład długie obiekty mostowe, tunele) o kosztach utrzymania znacząco wyższych od ryczałtowych kosztów na km przedstawionych w załączniku A, koszty utrzymania </w:t>
            </w:r>
            <w:r>
              <w:rPr>
                <w:rFonts w:asciiTheme="minorHAnsi" w:hAnsiTheme="minorHAnsi"/>
                <w:spacing w:val="-3"/>
              </w:rPr>
              <w:t xml:space="preserve">można </w:t>
            </w:r>
            <w:r w:rsidRPr="00257D85">
              <w:rPr>
                <w:rFonts w:asciiTheme="minorHAnsi" w:hAnsiTheme="minorHAnsi"/>
                <w:spacing w:val="-3"/>
              </w:rPr>
              <w:t>wyodrębnić</w:t>
            </w:r>
            <w:r>
              <w:rPr>
                <w:rFonts w:asciiTheme="minorHAnsi" w:hAnsiTheme="minorHAnsi"/>
                <w:spacing w:val="-3"/>
              </w:rPr>
              <w:t xml:space="preserve"> jeżeli wykonujący analizę uzna to za stosowne</w:t>
            </w:r>
            <w:r w:rsidRPr="00257D85">
              <w:rPr>
                <w:rFonts w:asciiTheme="minorHAnsi" w:hAnsiTheme="minorHAnsi"/>
                <w:spacing w:val="-3"/>
              </w:rPr>
              <w:t>.</w:t>
            </w:r>
            <w:r w:rsidRPr="00731E4E">
              <w:rPr>
                <w:rFonts w:asciiTheme="minorHAnsi" w:hAnsiTheme="minorHAnsi"/>
                <w:spacing w:val="-3"/>
              </w:rPr>
              <w:t xml:space="preserve"> </w:t>
            </w:r>
          </w:p>
          <w:p w14:paraId="1D2FAC76" w14:textId="77777777" w:rsidR="00B802AC" w:rsidRPr="00731E4E" w:rsidRDefault="00B802AC" w:rsidP="00B802AC">
            <w:pPr>
              <w:pStyle w:val="anxnormalZnak"/>
              <w:spacing w:after="120"/>
              <w:ind w:left="0"/>
              <w:rPr>
                <w:rFonts w:asciiTheme="minorHAnsi" w:hAnsiTheme="minorHAnsi"/>
                <w:spacing w:val="-3"/>
              </w:rPr>
            </w:pPr>
            <w:r w:rsidRPr="00731E4E">
              <w:rPr>
                <w:rFonts w:asciiTheme="minorHAnsi" w:hAnsiTheme="minorHAnsi"/>
                <w:spacing w:val="-3"/>
              </w:rPr>
              <w:t>Koszty związane</w:t>
            </w:r>
            <w:r>
              <w:rPr>
                <w:rFonts w:asciiTheme="minorHAnsi" w:hAnsiTheme="minorHAnsi"/>
                <w:spacing w:val="-3"/>
              </w:rPr>
              <w:t xml:space="preserve"> z </w:t>
            </w:r>
            <w:r w:rsidRPr="00731E4E">
              <w:rPr>
                <w:rFonts w:asciiTheme="minorHAnsi" w:hAnsiTheme="minorHAnsi"/>
                <w:spacing w:val="-3"/>
              </w:rPr>
              <w:t>poborem opłat (jeśli dotyczą) również powinny być włączone do kosztów eksploatacji</w:t>
            </w:r>
            <w:r>
              <w:rPr>
                <w:rFonts w:asciiTheme="minorHAnsi" w:hAnsiTheme="minorHAnsi"/>
                <w:spacing w:val="-3"/>
              </w:rPr>
              <w:t xml:space="preserve"> i </w:t>
            </w:r>
            <w:r w:rsidRPr="00731E4E">
              <w:rPr>
                <w:rFonts w:asciiTheme="minorHAnsi" w:hAnsiTheme="minorHAnsi"/>
                <w:spacing w:val="-3"/>
              </w:rPr>
              <w:t>utrzymania wraz</w:t>
            </w:r>
            <w:r>
              <w:rPr>
                <w:rFonts w:asciiTheme="minorHAnsi" w:hAnsiTheme="minorHAnsi"/>
                <w:spacing w:val="-3"/>
              </w:rPr>
              <w:t xml:space="preserve"> z </w:t>
            </w:r>
            <w:r w:rsidRPr="00731E4E">
              <w:rPr>
                <w:rFonts w:asciiTheme="minorHAnsi" w:hAnsiTheme="minorHAnsi"/>
                <w:spacing w:val="-3"/>
              </w:rPr>
              <w:t>informacją</w:t>
            </w:r>
            <w:r>
              <w:rPr>
                <w:rFonts w:asciiTheme="minorHAnsi" w:hAnsiTheme="minorHAnsi"/>
                <w:spacing w:val="-3"/>
              </w:rPr>
              <w:t xml:space="preserve"> o </w:t>
            </w:r>
            <w:r w:rsidRPr="00731E4E">
              <w:rPr>
                <w:rFonts w:asciiTheme="minorHAnsi" w:hAnsiTheme="minorHAnsi"/>
                <w:spacing w:val="-3"/>
              </w:rPr>
              <w:t>przyjętych kosztach jednostkowych (załącznik A, proponowane koszty jednostkowe).</w:t>
            </w:r>
          </w:p>
          <w:p w14:paraId="2A3FB660" w14:textId="48F7FA71" w:rsidR="00DF6B9D" w:rsidRPr="00B802AC" w:rsidRDefault="00B802AC" w:rsidP="00B802AC">
            <w:pPr>
              <w:pStyle w:val="anxnormalZnak"/>
              <w:pBdr>
                <w:top w:val="nil"/>
                <w:left w:val="nil"/>
                <w:bottom w:val="nil"/>
                <w:right w:val="nil"/>
                <w:between w:val="nil"/>
              </w:pBdr>
              <w:spacing w:after="120"/>
              <w:ind w:left="0"/>
              <w:rPr>
                <w:rFonts w:asciiTheme="minorHAnsi" w:hAnsiTheme="minorHAnsi"/>
                <w:spacing w:val="-3"/>
              </w:rPr>
            </w:pPr>
            <w:r w:rsidRPr="00731E4E">
              <w:rPr>
                <w:rFonts w:asciiTheme="minorHAnsi" w:hAnsiTheme="minorHAnsi"/>
                <w:spacing w:val="-3"/>
              </w:rPr>
              <w:t>Poniższa tabela zawiera zalecany schemat podziału kosztów eksploatacji</w:t>
            </w:r>
            <w:r>
              <w:rPr>
                <w:rFonts w:asciiTheme="minorHAnsi" w:hAnsiTheme="minorHAnsi"/>
                <w:spacing w:val="-3"/>
              </w:rPr>
              <w:t xml:space="preserve"> i </w:t>
            </w:r>
            <w:r w:rsidRPr="00731E4E">
              <w:rPr>
                <w:rFonts w:asciiTheme="minorHAnsi" w:hAnsiTheme="minorHAnsi"/>
                <w:spacing w:val="-3"/>
              </w:rPr>
              <w:t>utrzymania.</w:t>
            </w:r>
          </w:p>
          <w:p w14:paraId="72D77DCF" w14:textId="13B3D39F" w:rsidR="00DF6B9D" w:rsidRDefault="00DF6B9D" w:rsidP="00505091">
            <w:pPr>
              <w:pBdr>
                <w:top w:val="nil"/>
                <w:left w:val="nil"/>
                <w:bottom w:val="nil"/>
                <w:right w:val="nil"/>
                <w:between w:val="nil"/>
              </w:pBdr>
              <w:spacing w:before="120" w:after="120"/>
              <w:jc w:val="both"/>
              <w:rPr>
                <w:rFonts w:ascii="Calibri" w:eastAsia="Calibri" w:hAnsi="Calibri" w:cs="Calibri"/>
                <w:color w:val="000000"/>
                <w:sz w:val="20"/>
                <w:szCs w:val="20"/>
              </w:rPr>
            </w:pPr>
          </w:p>
        </w:tc>
        <w:tc>
          <w:tcPr>
            <w:tcW w:w="7204" w:type="dxa"/>
            <w:tcBorders>
              <w:left w:val="single" w:sz="4" w:space="0" w:color="000000"/>
            </w:tcBorders>
            <w:tcMar>
              <w:left w:w="284" w:type="dxa"/>
              <w:right w:w="284" w:type="dxa"/>
            </w:tcMar>
          </w:tcPr>
          <w:p w14:paraId="1A616CDD" w14:textId="77777777" w:rsidR="00B802AC" w:rsidRPr="000E52FF" w:rsidRDefault="00B802AC" w:rsidP="00B802AC">
            <w:pPr>
              <w:pStyle w:val="anxnormalZnak"/>
              <w:spacing w:after="120"/>
              <w:ind w:left="0"/>
              <w:rPr>
                <w:rFonts w:asciiTheme="minorHAnsi" w:hAnsiTheme="minorHAnsi"/>
                <w:spacing w:val="-3"/>
                <w:lang w:val="en-GB"/>
              </w:rPr>
            </w:pPr>
            <w:r w:rsidRPr="000E52FF">
              <w:rPr>
                <w:rFonts w:asciiTheme="minorHAnsi" w:hAnsiTheme="minorHAnsi"/>
                <w:spacing w:val="-3"/>
                <w:lang w:val="en-GB"/>
              </w:rPr>
              <w:lastRenderedPageBreak/>
              <w:t>Inputs related to operating and maintenance expenditures should always be prepared for W0, as well as for all investments options (</w:t>
            </w:r>
            <w:proofErr w:type="spellStart"/>
            <w:r w:rsidRPr="000E52FF">
              <w:rPr>
                <w:rFonts w:asciiTheme="minorHAnsi" w:hAnsiTheme="minorHAnsi"/>
                <w:spacing w:val="-3"/>
                <w:lang w:val="en-GB"/>
              </w:rPr>
              <w:t>Wn</w:t>
            </w:r>
            <w:proofErr w:type="spellEnd"/>
            <w:r w:rsidRPr="000E52FF">
              <w:rPr>
                <w:rFonts w:asciiTheme="minorHAnsi" w:hAnsiTheme="minorHAnsi"/>
                <w:spacing w:val="-3"/>
                <w:lang w:val="en-GB"/>
              </w:rPr>
              <w:t xml:space="preserve">). </w:t>
            </w:r>
          </w:p>
          <w:p w14:paraId="269A2956" w14:textId="77777777" w:rsidR="00B802AC" w:rsidRPr="000E52FF" w:rsidRDefault="00B802AC" w:rsidP="00B802AC">
            <w:pPr>
              <w:pStyle w:val="anxnormalZnak"/>
              <w:spacing w:after="120"/>
              <w:ind w:left="0"/>
              <w:rPr>
                <w:rFonts w:asciiTheme="minorHAnsi" w:hAnsiTheme="minorHAnsi" w:cstheme="minorHAnsi"/>
                <w:spacing w:val="-3"/>
                <w:lang w:val="en-GB"/>
              </w:rPr>
            </w:pPr>
            <w:r w:rsidRPr="000E52FF">
              <w:rPr>
                <w:rFonts w:asciiTheme="minorHAnsi" w:hAnsiTheme="minorHAnsi" w:cstheme="minorHAnsi"/>
                <w:spacing w:val="-3"/>
                <w:lang w:val="en-GB"/>
              </w:rPr>
              <w:t xml:space="preserve">When applying the incremental approach for CBA of any new road construction project, it is considered that the difference of maintenance and operating expenditures between W0 and </w:t>
            </w:r>
            <w:proofErr w:type="spellStart"/>
            <w:r w:rsidRPr="000E52FF">
              <w:rPr>
                <w:rFonts w:asciiTheme="minorHAnsi" w:hAnsiTheme="minorHAnsi" w:cstheme="minorHAnsi"/>
                <w:spacing w:val="-3"/>
                <w:lang w:val="en-GB"/>
              </w:rPr>
              <w:t>Wn</w:t>
            </w:r>
            <w:proofErr w:type="spellEnd"/>
            <w:r w:rsidRPr="000E52FF">
              <w:rPr>
                <w:rFonts w:asciiTheme="minorHAnsi" w:hAnsiTheme="minorHAnsi" w:cstheme="minorHAnsi"/>
                <w:spacing w:val="-3"/>
                <w:lang w:val="en-GB"/>
              </w:rPr>
              <w:t xml:space="preserve"> for the existing road network (in discounted terms) is negligible (however in case of a specific need to analyse impact of O&amp;M cost </w:t>
            </w:r>
            <w:r w:rsidRPr="000E52FF">
              <w:rPr>
                <w:rFonts w:asciiTheme="minorHAnsi" w:hAnsiTheme="minorHAnsi" w:cstheme="minorHAnsi"/>
                <w:spacing w:val="-3"/>
                <w:lang w:val="en-GB"/>
              </w:rPr>
              <w:lastRenderedPageBreak/>
              <w:t xml:space="preserve">changes the analysis can be more detailed). Therefore, only the maintenance and operating expenditures of the new road project investment are included in the analysis calculations starting from the first full year of the operation. </w:t>
            </w:r>
          </w:p>
          <w:p w14:paraId="033093EC" w14:textId="77777777" w:rsidR="00B802AC" w:rsidRPr="000E52FF" w:rsidRDefault="00B802AC" w:rsidP="00B802AC">
            <w:pPr>
              <w:pStyle w:val="anxnormalZnak"/>
              <w:spacing w:after="120"/>
              <w:ind w:left="0"/>
              <w:rPr>
                <w:rFonts w:asciiTheme="minorHAnsi" w:hAnsiTheme="minorHAnsi" w:cstheme="minorHAnsi"/>
                <w:spacing w:val="-3"/>
                <w:lang w:val="en-GB"/>
              </w:rPr>
            </w:pPr>
            <w:r w:rsidRPr="000E52FF">
              <w:rPr>
                <w:rFonts w:asciiTheme="minorHAnsi" w:hAnsiTheme="minorHAnsi" w:cstheme="minorHAnsi"/>
                <w:spacing w:val="-3"/>
                <w:lang w:val="en-GB"/>
              </w:rPr>
              <w:t>If a new road is built, using the existing road in full or in part, the maintenance and operation expenses should be estimated separately for the without the project scenario (W0) and the investment option (</w:t>
            </w:r>
            <w:proofErr w:type="spellStart"/>
            <w:r w:rsidRPr="000E52FF">
              <w:rPr>
                <w:rFonts w:asciiTheme="minorHAnsi" w:hAnsiTheme="minorHAnsi" w:cstheme="minorHAnsi"/>
                <w:spacing w:val="-3"/>
                <w:lang w:val="en-GB"/>
              </w:rPr>
              <w:t>Wn</w:t>
            </w:r>
            <w:proofErr w:type="spellEnd"/>
            <w:r w:rsidRPr="000E52FF">
              <w:rPr>
                <w:rFonts w:asciiTheme="minorHAnsi" w:hAnsiTheme="minorHAnsi" w:cstheme="minorHAnsi"/>
                <w:spacing w:val="-3"/>
                <w:lang w:val="en-GB"/>
              </w:rPr>
              <w:t xml:space="preserve">). In the case of reconstruction / extension of the road without changing road parameters, those costs are identical for both W0 and </w:t>
            </w:r>
            <w:proofErr w:type="spellStart"/>
            <w:r w:rsidRPr="000E52FF">
              <w:rPr>
                <w:rFonts w:asciiTheme="minorHAnsi" w:hAnsiTheme="minorHAnsi" w:cstheme="minorHAnsi"/>
                <w:spacing w:val="-3"/>
                <w:lang w:val="en-GB"/>
              </w:rPr>
              <w:t>Wn</w:t>
            </w:r>
            <w:proofErr w:type="spellEnd"/>
            <w:r w:rsidRPr="000E52FF">
              <w:rPr>
                <w:rFonts w:asciiTheme="minorHAnsi" w:hAnsiTheme="minorHAnsi" w:cstheme="minorHAnsi"/>
                <w:spacing w:val="-3"/>
                <w:lang w:val="en-GB"/>
              </w:rPr>
              <w:t xml:space="preserve">. In the case of reconstruction / extension of the road with a change of parameters, the costs should be estimated separately for W0 and </w:t>
            </w:r>
            <w:proofErr w:type="spellStart"/>
            <w:r w:rsidRPr="000E52FF">
              <w:rPr>
                <w:rFonts w:asciiTheme="minorHAnsi" w:hAnsiTheme="minorHAnsi" w:cstheme="minorHAnsi"/>
                <w:spacing w:val="-3"/>
                <w:lang w:val="en-GB"/>
              </w:rPr>
              <w:t>Wn</w:t>
            </w:r>
            <w:proofErr w:type="spellEnd"/>
            <w:r w:rsidRPr="000E52FF">
              <w:rPr>
                <w:rFonts w:asciiTheme="minorHAnsi" w:hAnsiTheme="minorHAnsi" w:cstheme="minorHAnsi"/>
                <w:spacing w:val="-3"/>
                <w:lang w:val="en-GB"/>
              </w:rPr>
              <w:t xml:space="preserve">. In case of an extension / construction/ reconstruction of a road section with works conducted under traffic, the operating and maintenance costs should also cover the investment implementation period for W0 and </w:t>
            </w:r>
            <w:proofErr w:type="spellStart"/>
            <w:r w:rsidRPr="000E52FF">
              <w:rPr>
                <w:rFonts w:asciiTheme="minorHAnsi" w:hAnsiTheme="minorHAnsi" w:cstheme="minorHAnsi"/>
                <w:spacing w:val="-3"/>
                <w:lang w:val="en-GB"/>
              </w:rPr>
              <w:t>Wn</w:t>
            </w:r>
            <w:proofErr w:type="spellEnd"/>
            <w:r w:rsidRPr="000E52FF">
              <w:rPr>
                <w:rFonts w:asciiTheme="minorHAnsi" w:hAnsiTheme="minorHAnsi" w:cstheme="minorHAnsi"/>
                <w:spacing w:val="-3"/>
                <w:lang w:val="en-GB"/>
              </w:rPr>
              <w:t>.</w:t>
            </w:r>
          </w:p>
          <w:p w14:paraId="79A789BD" w14:textId="77777777" w:rsidR="00B802AC" w:rsidRPr="000E52FF" w:rsidRDefault="00B802AC" w:rsidP="00B802AC">
            <w:pPr>
              <w:pStyle w:val="anxnormalZnak"/>
              <w:spacing w:after="120"/>
              <w:ind w:left="0"/>
              <w:rPr>
                <w:rFonts w:asciiTheme="minorHAnsi" w:hAnsiTheme="minorHAnsi" w:cstheme="minorHAnsi"/>
                <w:spacing w:val="-3"/>
                <w:lang w:val="en-GB"/>
              </w:rPr>
            </w:pPr>
            <w:r w:rsidRPr="000E52FF">
              <w:rPr>
                <w:rFonts w:asciiTheme="minorHAnsi" w:hAnsiTheme="minorHAnsi" w:cstheme="minorHAnsi"/>
                <w:spacing w:val="-3"/>
                <w:lang w:val="en-GB"/>
              </w:rPr>
              <w:t>For any analysis, it is important to check –even if the source data is aggregated into total operation and maintenance costs – that at least all of the following cost items have been included:</w:t>
            </w:r>
          </w:p>
          <w:p w14:paraId="0ECFC913" w14:textId="77777777" w:rsidR="00600DEE" w:rsidRPr="0045151D" w:rsidRDefault="00641FB5" w:rsidP="00D5736B">
            <w:pPr>
              <w:numPr>
                <w:ilvl w:val="1"/>
                <w:numId w:val="82"/>
              </w:numPr>
              <w:pBdr>
                <w:top w:val="nil"/>
                <w:left w:val="nil"/>
                <w:bottom w:val="nil"/>
                <w:right w:val="nil"/>
                <w:between w:val="nil"/>
              </w:pBdr>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 of regular yearly maintenance and operation, including:</w:t>
            </w:r>
          </w:p>
          <w:p w14:paraId="5461A9E1" w14:textId="77777777" w:rsidR="00600DEE" w:rsidRPr="0045151D"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all-year-round routine and preventive maintenance, including winter maintenance,</w:t>
            </w:r>
          </w:p>
          <w:p w14:paraId="41BEFD9F" w14:textId="77777777" w:rsidR="00600DEE" w:rsidRPr="0045151D"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company overheads (buildings, administration, etc.),</w:t>
            </w:r>
          </w:p>
          <w:p w14:paraId="57149148" w14:textId="77777777" w:rsidR="00600DEE"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traffic</w:t>
            </w:r>
            <w:proofErr w:type="spellEnd"/>
            <w:r>
              <w:rPr>
                <w:rFonts w:ascii="Calibri" w:eastAsia="Calibri" w:hAnsi="Calibri" w:cs="Calibri"/>
                <w:color w:val="000000"/>
                <w:sz w:val="20"/>
                <w:szCs w:val="20"/>
              </w:rPr>
              <w:t xml:space="preserve"> management,</w:t>
            </w:r>
          </w:p>
          <w:p w14:paraId="4B164CCD" w14:textId="77777777" w:rsidR="00600DEE" w:rsidRPr="0045151D" w:rsidRDefault="00641FB5" w:rsidP="00D5736B">
            <w:pPr>
              <w:numPr>
                <w:ilvl w:val="1"/>
                <w:numId w:val="82"/>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Toll collecting system operation costs: </w:t>
            </w:r>
          </w:p>
          <w:p w14:paraId="318D1F8D" w14:textId="40560964" w:rsidR="00600DEE" w:rsidRPr="0045151D" w:rsidRDefault="00497CC7"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lang w:val="en-GB"/>
              </w:rPr>
            </w:pPr>
            <w:r>
              <w:rPr>
                <w:rFonts w:ascii="Calibri" w:eastAsia="Calibri" w:hAnsi="Calibri" w:cs="Calibri"/>
                <w:color w:val="000000"/>
                <w:sz w:val="20"/>
                <w:szCs w:val="20"/>
                <w:lang w:val="en-GB"/>
              </w:rPr>
              <w:t xml:space="preserve">maintenance </w:t>
            </w:r>
            <w:r w:rsidRPr="00497CC7">
              <w:rPr>
                <w:rFonts w:asciiTheme="minorHAnsi" w:hAnsiTheme="minorHAnsi"/>
                <w:sz w:val="20"/>
                <w:szCs w:val="20"/>
                <w:lang w:val="en-GB" w:eastAsia="en-US"/>
              </w:rPr>
              <w:t>of electronic tolling system</w:t>
            </w:r>
            <w:r w:rsidR="00641FB5" w:rsidRPr="00497CC7">
              <w:rPr>
                <w:rFonts w:ascii="Calibri" w:eastAsia="Calibri" w:hAnsi="Calibri" w:cs="Calibri"/>
                <w:color w:val="000000"/>
                <w:sz w:val="20"/>
                <w:szCs w:val="20"/>
                <w:lang w:val="en-GB"/>
              </w:rPr>
              <w:t xml:space="preserve">, </w:t>
            </w:r>
          </w:p>
          <w:p w14:paraId="0E003E37" w14:textId="77777777" w:rsidR="00600DEE" w:rsidRDefault="00641FB5" w:rsidP="00D5736B">
            <w:pPr>
              <w:numPr>
                <w:ilvl w:val="1"/>
                <w:numId w:val="82"/>
              </w:numPr>
              <w:pBdr>
                <w:top w:val="nil"/>
                <w:left w:val="nil"/>
                <w:bottom w:val="nil"/>
                <w:right w:val="nil"/>
                <w:between w:val="nil"/>
              </w:pBdr>
              <w:spacing w:before="120"/>
              <w:ind w:left="795" w:hanging="795"/>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Cost</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periodic</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maintenance</w:t>
            </w:r>
            <w:proofErr w:type="spellEnd"/>
            <w:r>
              <w:rPr>
                <w:rFonts w:ascii="Calibri" w:eastAsia="Calibri" w:hAnsi="Calibri" w:cs="Calibri"/>
                <w:color w:val="000000"/>
                <w:sz w:val="20"/>
                <w:szCs w:val="20"/>
              </w:rPr>
              <w:t>:</w:t>
            </w:r>
          </w:p>
          <w:p w14:paraId="3A5F7D3A" w14:textId="77777777" w:rsidR="00600DEE"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periodic</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repair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renovation</w:t>
            </w:r>
            <w:proofErr w:type="spellEnd"/>
            <w:r>
              <w:rPr>
                <w:rFonts w:ascii="Calibri" w:eastAsia="Calibri" w:hAnsi="Calibri" w:cs="Calibri"/>
                <w:color w:val="000000"/>
                <w:sz w:val="20"/>
                <w:szCs w:val="20"/>
              </w:rPr>
              <w:t>),</w:t>
            </w:r>
          </w:p>
          <w:p w14:paraId="7C53EB37" w14:textId="77777777" w:rsidR="00600DEE"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partial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repairs</w:t>
            </w:r>
            <w:proofErr w:type="spellEnd"/>
            <w:r>
              <w:rPr>
                <w:rFonts w:ascii="Calibri" w:eastAsia="Calibri" w:hAnsi="Calibri" w:cs="Calibri"/>
                <w:color w:val="000000"/>
                <w:sz w:val="20"/>
                <w:szCs w:val="20"/>
              </w:rPr>
              <w:t xml:space="preserve"> and </w:t>
            </w:r>
            <w:proofErr w:type="spellStart"/>
            <w:r>
              <w:rPr>
                <w:rFonts w:ascii="Calibri" w:eastAsia="Calibri" w:hAnsi="Calibri" w:cs="Calibri"/>
                <w:color w:val="000000"/>
                <w:sz w:val="20"/>
                <w:szCs w:val="20"/>
              </w:rPr>
              <w:t>rehabilitation</w:t>
            </w:r>
            <w:proofErr w:type="spellEnd"/>
            <w:r>
              <w:rPr>
                <w:rFonts w:ascii="Calibri" w:eastAsia="Calibri" w:hAnsi="Calibri" w:cs="Calibri"/>
                <w:color w:val="000000"/>
                <w:sz w:val="20"/>
                <w:szCs w:val="20"/>
              </w:rPr>
              <w:t>.</w:t>
            </w:r>
          </w:p>
          <w:p w14:paraId="3A73925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Routine maintenance includes the cost of all-year-round work required to keep the infrastructure technically safe and ready for day-to-day operation as well as to prevent deterioration of the road assets. Winter maintenance and any other seasonal activities (e.g. grass cutting, painting, cleaning) are also included. </w:t>
            </w:r>
          </w:p>
          <w:p w14:paraId="7EC118A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Periodic maintenance includes all activities intended to restore the original operating parameters of the road. The periodic maintenance costs will usually </w:t>
            </w:r>
            <w:r w:rsidRPr="0045151D">
              <w:rPr>
                <w:rFonts w:ascii="Calibri" w:eastAsia="Calibri" w:hAnsi="Calibri" w:cs="Calibri"/>
                <w:color w:val="000000"/>
                <w:sz w:val="20"/>
                <w:szCs w:val="20"/>
                <w:lang w:val="en-GB"/>
              </w:rPr>
              <w:lastRenderedPageBreak/>
              <w:t>include items, such as pavement resurfacing, equipment maintenance on bridges (joints, waterproofing, etc.) or heavy interventions on other assets.</w:t>
            </w:r>
          </w:p>
          <w:p w14:paraId="50DB6F5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the calculation of the O&amp;M costs for W0 avoid simple extrapolation of historic costs (in particular, if these have been artificially low due to spending constraints), instead consider the age and condition of the infrastructure and the likely increase in frequency and expense of periodic heavy maintenance over the reference period.</w:t>
            </w:r>
          </w:p>
          <w:p w14:paraId="0D4C6C0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Unit maintenance costs will be different depending on the road class. Unit costs of routine road maintenance for the same road category will be the same for W0 and for investment options. Unit costs of periodic repairs will also be similar as those for the existing network, the difference being schedules of different types of work. Partial and periodic repair costs will occur more frequently for the existing network, due to the progressive degradation process. As stated above, for any new road construction, the difference of O&amp;M expenditures between W0 and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for the existing road network over the analysis period is considered negligible (unless needed by project promoter for other purposes). </w:t>
            </w:r>
          </w:p>
          <w:p w14:paraId="47D9EEB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road projects, implementing a current annual and preventive maintenance, including the necessary periodic interventions, it is recommended to use the maintenance scenario and unit prices from Appendix A which represent an average of operation and maintenance requirements for the different road classes in Poland. A yearly routine O&amp;M allocation on the basis of average operation and maintenance requirements is foreseen. Under these conditions, full-width pavement replacement/renewal for the new or renewed road section should be carried out after 10 years. Over the whole analysis period of 25 years, 2 pavement overlays should be planned (in years 10 and 20</w:t>
            </w:r>
            <w:r w:rsidRPr="0045151D">
              <w:rPr>
                <w:rFonts w:ascii="Calibri" w:eastAsia="Calibri" w:hAnsi="Calibri" w:cs="Calibri"/>
                <w:color w:val="000000"/>
                <w:sz w:val="20"/>
                <w:szCs w:val="20"/>
                <w:vertAlign w:val="superscript"/>
                <w:lang w:val="en-GB"/>
              </w:rPr>
              <w:t xml:space="preserve"> </w:t>
            </w:r>
            <w:r w:rsidRPr="0045151D">
              <w:rPr>
                <w:rFonts w:ascii="Calibri" w:eastAsia="Calibri" w:hAnsi="Calibri" w:cs="Calibri"/>
                <w:color w:val="000000"/>
                <w:sz w:val="20"/>
                <w:szCs w:val="20"/>
                <w:lang w:val="en-GB"/>
              </w:rPr>
              <w:t>after the road entering into operation). Considering such maintenance approach, more expensive full section reconstruction should not be required. As this is a conservative approach, a certain amount of reconstruction has been included in the periodic maintenance costs proposed in Appendix A for possible structural problems appearing in the lower layers and/or due to construction defects. All required periodic treatments of the road infrastructure assets, other than pavement (e.g. safety devices, signalization, noise screens, environmental measures, etc.), and also related overheads costs, are included in those periodic maintenance costs. Even though the timing of those road assets periodic works is different due to different maintenance cycles, it is  proposed to schedule the global average periodic maintenance costs from Appendix A in the 10</w:t>
            </w:r>
            <w:r w:rsidRPr="0045151D">
              <w:rPr>
                <w:rFonts w:ascii="Calibri" w:eastAsia="Calibri" w:hAnsi="Calibri" w:cs="Calibri"/>
                <w:color w:val="000000"/>
                <w:sz w:val="20"/>
                <w:szCs w:val="20"/>
                <w:vertAlign w:val="superscript"/>
                <w:lang w:val="en-GB"/>
              </w:rPr>
              <w:t>th</w:t>
            </w:r>
            <w:r w:rsidRPr="0045151D">
              <w:rPr>
                <w:rFonts w:ascii="Calibri" w:eastAsia="Calibri" w:hAnsi="Calibri" w:cs="Calibri"/>
                <w:color w:val="000000"/>
                <w:sz w:val="20"/>
                <w:szCs w:val="20"/>
                <w:lang w:val="en-GB"/>
              </w:rPr>
              <w:t xml:space="preserve"> and 20</w:t>
            </w:r>
            <w:r w:rsidRPr="0045151D">
              <w:rPr>
                <w:rFonts w:ascii="Calibri" w:eastAsia="Calibri" w:hAnsi="Calibri" w:cs="Calibri"/>
                <w:color w:val="000000"/>
                <w:sz w:val="20"/>
                <w:szCs w:val="20"/>
                <w:vertAlign w:val="superscript"/>
                <w:lang w:val="en-GB"/>
              </w:rPr>
              <w:t>th</w:t>
            </w:r>
            <w:r w:rsidRPr="0045151D">
              <w:rPr>
                <w:rFonts w:ascii="Calibri" w:eastAsia="Calibri" w:hAnsi="Calibri" w:cs="Calibri"/>
                <w:color w:val="000000"/>
                <w:sz w:val="20"/>
                <w:szCs w:val="20"/>
                <w:lang w:val="en-GB"/>
              </w:rPr>
              <w:t xml:space="preserve"> year after the infrastructure entering into operation for the given analysis period. </w:t>
            </w:r>
          </w:p>
          <w:p w14:paraId="0EA79A9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If project specific and justified O&amp;M costs data is available (i.e. the above proposed maintenance approach and values included in Appendix A are not used), the specific operation and maintenance costs should be presented in unit cost per km and in particular components in order to facilitate a quick comparison between project investment options. </w:t>
            </w:r>
          </w:p>
          <w:p w14:paraId="4EE2E1A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Large engineering structures (e.g. long bridges, tunnels) with maintenance costs significantly higher compared with O&amp;M lump sum per km proposed in </w:t>
            </w:r>
            <w:proofErr w:type="spellStart"/>
            <w:r w:rsidRPr="0045151D">
              <w:rPr>
                <w:rFonts w:ascii="Calibri" w:eastAsia="Calibri" w:hAnsi="Calibri" w:cs="Calibri"/>
                <w:color w:val="000000"/>
                <w:sz w:val="20"/>
                <w:szCs w:val="20"/>
                <w:lang w:val="en-GB"/>
              </w:rPr>
              <w:t>Appenddix</w:t>
            </w:r>
            <w:proofErr w:type="spellEnd"/>
            <w:r w:rsidRPr="0045151D">
              <w:rPr>
                <w:rFonts w:ascii="Calibri" w:eastAsia="Calibri" w:hAnsi="Calibri" w:cs="Calibri"/>
                <w:color w:val="000000"/>
                <w:sz w:val="20"/>
                <w:szCs w:val="20"/>
                <w:lang w:val="en-GB"/>
              </w:rPr>
              <w:t xml:space="preserve"> A can be shown separately, if relevant and deemed </w:t>
            </w:r>
            <w:proofErr w:type="spellStart"/>
            <w:r w:rsidRPr="0045151D">
              <w:rPr>
                <w:rFonts w:ascii="Calibri" w:eastAsia="Calibri" w:hAnsi="Calibri" w:cs="Calibri"/>
                <w:color w:val="000000"/>
                <w:sz w:val="20"/>
                <w:szCs w:val="20"/>
                <w:lang w:val="en-GB"/>
              </w:rPr>
              <w:t>apprioprate</w:t>
            </w:r>
            <w:proofErr w:type="spellEnd"/>
            <w:r w:rsidRPr="0045151D">
              <w:rPr>
                <w:rFonts w:ascii="Calibri" w:eastAsia="Calibri" w:hAnsi="Calibri" w:cs="Calibri"/>
                <w:color w:val="000000"/>
                <w:sz w:val="20"/>
                <w:szCs w:val="20"/>
                <w:lang w:val="en-GB"/>
              </w:rPr>
              <w:t xml:space="preserve">. </w:t>
            </w:r>
          </w:p>
          <w:p w14:paraId="70F7D07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for tolling operations (where applicable) should also be included in the calculation of the total O&amp;M costs, including information on the assumed unit costs (see in Appendix A, proposed unit costs).</w:t>
            </w:r>
          </w:p>
          <w:p w14:paraId="6E04FDF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Table below includes a recommended layout for O&amp;M costs breakdown.</w:t>
            </w:r>
          </w:p>
        </w:tc>
      </w:tr>
    </w:tbl>
    <w:p w14:paraId="2AF1A8D7"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10. Szacunek kosztów eksploatacji i utrzymania w rozbiciu na główne elementy kosztowe (niezdyskontowane)</w:t>
      </w:r>
    </w:p>
    <w:tbl>
      <w:tblPr>
        <w:tblStyle w:val="aff9"/>
        <w:tblW w:w="14567" w:type="dxa"/>
        <w:tblLayout w:type="fixed"/>
        <w:tblLook w:val="0000" w:firstRow="0" w:lastRow="0" w:firstColumn="0" w:lastColumn="0" w:noHBand="0" w:noVBand="0"/>
      </w:tblPr>
      <w:tblGrid>
        <w:gridCol w:w="897"/>
        <w:gridCol w:w="1884"/>
        <w:gridCol w:w="1789"/>
        <w:gridCol w:w="1357"/>
        <w:gridCol w:w="1524"/>
        <w:gridCol w:w="1648"/>
        <w:gridCol w:w="1789"/>
        <w:gridCol w:w="1609"/>
        <w:gridCol w:w="2070"/>
      </w:tblGrid>
      <w:tr w:rsidR="00600DEE" w14:paraId="5601388A" w14:textId="77777777">
        <w:trPr>
          <w:trHeight w:val="1307"/>
        </w:trPr>
        <w:tc>
          <w:tcPr>
            <w:tcW w:w="897" w:type="dxa"/>
            <w:tcBorders>
              <w:top w:val="single" w:sz="4" w:space="0" w:color="FFFFFF"/>
              <w:left w:val="single" w:sz="4" w:space="0" w:color="FFFFFF"/>
              <w:bottom w:val="single" w:sz="4" w:space="0" w:color="FFFFFF"/>
            </w:tcBorders>
            <w:shd w:val="clear" w:color="auto" w:fill="A6A6A6"/>
            <w:vAlign w:val="center"/>
          </w:tcPr>
          <w:p w14:paraId="13E6FA67"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Lata</w:t>
            </w:r>
          </w:p>
        </w:tc>
        <w:tc>
          <w:tcPr>
            <w:tcW w:w="1884" w:type="dxa"/>
            <w:tcBorders>
              <w:top w:val="single" w:sz="4" w:space="0" w:color="FFFFFF"/>
              <w:left w:val="single" w:sz="4" w:space="0" w:color="FFFFFF"/>
              <w:bottom w:val="single" w:sz="4" w:space="0" w:color="FFFFFF"/>
            </w:tcBorders>
            <w:shd w:val="clear" w:color="auto" w:fill="A6A6A6"/>
            <w:vAlign w:val="center"/>
          </w:tcPr>
          <w:p w14:paraId="1F210109"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Bieżące utrzymanie i eksploatacja infrastruktury drogowej (z VAT)</w:t>
            </w:r>
          </w:p>
          <w:p w14:paraId="503171E9" w14:textId="77777777" w:rsidR="00600DEE" w:rsidRDefault="00600DEE">
            <w:pPr>
              <w:spacing w:before="20" w:after="20"/>
              <w:ind w:left="34" w:hanging="34"/>
              <w:jc w:val="center"/>
              <w:rPr>
                <w:rFonts w:ascii="Calibri" w:eastAsia="Calibri" w:hAnsi="Calibri" w:cs="Calibri"/>
                <w:b/>
                <w:color w:val="FFFFFF"/>
                <w:sz w:val="16"/>
                <w:szCs w:val="16"/>
              </w:rPr>
            </w:pPr>
          </w:p>
        </w:tc>
        <w:tc>
          <w:tcPr>
            <w:tcW w:w="1789" w:type="dxa"/>
            <w:tcBorders>
              <w:top w:val="single" w:sz="4" w:space="0" w:color="FFFFFF"/>
              <w:left w:val="single" w:sz="4" w:space="0" w:color="FFFFFF"/>
              <w:bottom w:val="single" w:sz="4" w:space="0" w:color="FFFFFF"/>
            </w:tcBorders>
            <w:shd w:val="clear" w:color="auto" w:fill="A6A6A6"/>
            <w:vAlign w:val="center"/>
          </w:tcPr>
          <w:p w14:paraId="13EBE7F7"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Okresowe utrzymanie infrastruktury drogowej  (z VAT)</w:t>
            </w:r>
          </w:p>
        </w:tc>
        <w:tc>
          <w:tcPr>
            <w:tcW w:w="1357" w:type="dxa"/>
            <w:tcBorders>
              <w:top w:val="single" w:sz="4" w:space="0" w:color="FFFFFF"/>
              <w:left w:val="single" w:sz="4" w:space="0" w:color="FFFFFF"/>
              <w:bottom w:val="single" w:sz="4" w:space="0" w:color="FFFFFF"/>
            </w:tcBorders>
            <w:shd w:val="clear" w:color="auto" w:fill="A6A6A6"/>
            <w:vAlign w:val="center"/>
          </w:tcPr>
          <w:p w14:paraId="5C2EACEB"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System poboru opłat*(z VAT)</w:t>
            </w:r>
          </w:p>
        </w:tc>
        <w:tc>
          <w:tcPr>
            <w:tcW w:w="152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5ACAA70"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Inne (określić) (z VAT)</w:t>
            </w:r>
          </w:p>
        </w:tc>
        <w:tc>
          <w:tcPr>
            <w:tcW w:w="1648" w:type="dxa"/>
            <w:tcBorders>
              <w:top w:val="single" w:sz="4" w:space="0" w:color="FFFFFF"/>
              <w:left w:val="single" w:sz="4" w:space="0" w:color="FFFFFF"/>
              <w:bottom w:val="single" w:sz="4" w:space="0" w:color="FFFFFF"/>
            </w:tcBorders>
            <w:shd w:val="clear" w:color="auto" w:fill="A6A6A6"/>
            <w:vAlign w:val="center"/>
          </w:tcPr>
          <w:p w14:paraId="4C132FDA"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Bieżące utrzymanie i eksploatacja infrastruktury drogowej (bez VAT)</w:t>
            </w:r>
          </w:p>
          <w:p w14:paraId="171F9BA2" w14:textId="77777777" w:rsidR="00600DEE" w:rsidRDefault="00600DEE">
            <w:pPr>
              <w:spacing w:before="20" w:after="20"/>
              <w:ind w:left="34" w:hanging="34"/>
              <w:jc w:val="center"/>
              <w:rPr>
                <w:rFonts w:ascii="Calibri" w:eastAsia="Calibri" w:hAnsi="Calibri" w:cs="Calibri"/>
                <w:b/>
                <w:color w:val="FFFFFF"/>
                <w:sz w:val="16"/>
                <w:szCs w:val="16"/>
              </w:rPr>
            </w:pPr>
          </w:p>
        </w:tc>
        <w:tc>
          <w:tcPr>
            <w:tcW w:w="1789" w:type="dxa"/>
            <w:tcBorders>
              <w:top w:val="single" w:sz="4" w:space="0" w:color="FFFFFF"/>
              <w:left w:val="single" w:sz="4" w:space="0" w:color="FFFFFF"/>
              <w:bottom w:val="single" w:sz="4" w:space="0" w:color="FFFFFF"/>
            </w:tcBorders>
            <w:shd w:val="clear" w:color="auto" w:fill="A6A6A6"/>
            <w:vAlign w:val="center"/>
          </w:tcPr>
          <w:p w14:paraId="32A25CBC"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Okresowe utrzymanie infrastruktury drogowej (bez VAT)</w:t>
            </w:r>
          </w:p>
        </w:tc>
        <w:tc>
          <w:tcPr>
            <w:tcW w:w="160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9CC6BB2"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System poboru opłat* (bez VAT)</w:t>
            </w:r>
          </w:p>
          <w:p w14:paraId="524C4582" w14:textId="77777777" w:rsidR="00600DEE" w:rsidRDefault="00600DEE">
            <w:pPr>
              <w:spacing w:before="20" w:after="20"/>
              <w:ind w:left="34" w:hanging="34"/>
              <w:jc w:val="center"/>
              <w:rPr>
                <w:rFonts w:ascii="Calibri" w:eastAsia="Calibri" w:hAnsi="Calibri" w:cs="Calibri"/>
                <w:b/>
                <w:color w:val="FFFFFF"/>
                <w:sz w:val="16"/>
                <w:szCs w:val="16"/>
              </w:rPr>
            </w:pPr>
          </w:p>
        </w:tc>
        <w:tc>
          <w:tcPr>
            <w:tcW w:w="207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3136EC2"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Inne (określić) (bez VAT)</w:t>
            </w:r>
          </w:p>
          <w:p w14:paraId="2B8CDCD9" w14:textId="77777777" w:rsidR="00600DEE" w:rsidRDefault="00600DEE">
            <w:pPr>
              <w:spacing w:before="20" w:after="20"/>
              <w:ind w:left="34" w:hanging="34"/>
              <w:jc w:val="center"/>
              <w:rPr>
                <w:rFonts w:ascii="Calibri" w:eastAsia="Calibri" w:hAnsi="Calibri" w:cs="Calibri"/>
                <w:b/>
                <w:color w:val="FFFFFF"/>
                <w:sz w:val="16"/>
                <w:szCs w:val="16"/>
              </w:rPr>
            </w:pPr>
          </w:p>
        </w:tc>
      </w:tr>
      <w:tr w:rsidR="00600DEE" w14:paraId="1BEE5C1A" w14:textId="77777777">
        <w:trPr>
          <w:trHeight w:val="388"/>
        </w:trPr>
        <w:tc>
          <w:tcPr>
            <w:tcW w:w="897" w:type="dxa"/>
            <w:tcBorders>
              <w:top w:val="single" w:sz="4" w:space="0" w:color="FFFFFF"/>
              <w:left w:val="single" w:sz="4" w:space="0" w:color="FFFFFF"/>
              <w:bottom w:val="single" w:sz="4" w:space="0" w:color="FFFFFF"/>
            </w:tcBorders>
            <w:shd w:val="clear" w:color="auto" w:fill="DBE5F1"/>
            <w:vAlign w:val="center"/>
          </w:tcPr>
          <w:p w14:paraId="07E2D975"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1</w:t>
            </w:r>
          </w:p>
        </w:tc>
        <w:tc>
          <w:tcPr>
            <w:tcW w:w="1884" w:type="dxa"/>
            <w:tcBorders>
              <w:top w:val="single" w:sz="4" w:space="0" w:color="FFFFFF"/>
              <w:left w:val="single" w:sz="4" w:space="0" w:color="FFFFFF"/>
              <w:bottom w:val="single" w:sz="4" w:space="0" w:color="FFFFFF"/>
            </w:tcBorders>
            <w:shd w:val="clear" w:color="auto" w:fill="DBE5F1"/>
            <w:vAlign w:val="center"/>
          </w:tcPr>
          <w:p w14:paraId="24BD1062"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42A3FE5"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63E1E1D2"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BA126E1"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05D6DAB"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3B44EA33"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DD97F64"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BF90980"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470AD6E2"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22501ACD"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2</w:t>
            </w:r>
          </w:p>
        </w:tc>
        <w:tc>
          <w:tcPr>
            <w:tcW w:w="1884" w:type="dxa"/>
            <w:tcBorders>
              <w:top w:val="single" w:sz="4" w:space="0" w:color="FFFFFF"/>
              <w:left w:val="single" w:sz="4" w:space="0" w:color="FFFFFF"/>
              <w:bottom w:val="single" w:sz="4" w:space="0" w:color="FFFFFF"/>
            </w:tcBorders>
            <w:shd w:val="clear" w:color="auto" w:fill="DBE5F1"/>
            <w:vAlign w:val="center"/>
          </w:tcPr>
          <w:p w14:paraId="7620FDA4"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6AAF6E3E"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67252F7D"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89BCEFD"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C608E10"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F36C09A"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2877DAE"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ED5CB7"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5FDBEF9D"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05E2865B"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3</w:t>
            </w:r>
          </w:p>
        </w:tc>
        <w:tc>
          <w:tcPr>
            <w:tcW w:w="1884" w:type="dxa"/>
            <w:tcBorders>
              <w:top w:val="single" w:sz="4" w:space="0" w:color="FFFFFF"/>
              <w:left w:val="single" w:sz="4" w:space="0" w:color="FFFFFF"/>
              <w:bottom w:val="single" w:sz="4" w:space="0" w:color="FFFFFF"/>
            </w:tcBorders>
            <w:shd w:val="clear" w:color="auto" w:fill="DBE5F1"/>
            <w:vAlign w:val="center"/>
          </w:tcPr>
          <w:p w14:paraId="5E48F3E6"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2FC1AA27"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33A96DB7"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5E2CD44"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68E95DA0"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BB9BE9B"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FD22755"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C3BDEB7"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71080DE6"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138451C6"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w:t>
            </w:r>
          </w:p>
        </w:tc>
        <w:tc>
          <w:tcPr>
            <w:tcW w:w="1884" w:type="dxa"/>
            <w:tcBorders>
              <w:top w:val="single" w:sz="4" w:space="0" w:color="FFFFFF"/>
              <w:left w:val="single" w:sz="4" w:space="0" w:color="FFFFFF"/>
              <w:bottom w:val="single" w:sz="4" w:space="0" w:color="FFFFFF"/>
            </w:tcBorders>
            <w:shd w:val="clear" w:color="auto" w:fill="DBE5F1"/>
            <w:vAlign w:val="center"/>
          </w:tcPr>
          <w:p w14:paraId="5641D672"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36CCB220" w14:textId="77777777" w:rsidR="00600DEE" w:rsidRDefault="00641FB5">
            <w:pPr>
              <w:spacing w:before="20" w:after="20"/>
              <w:ind w:left="34" w:hanging="34"/>
              <w:jc w:val="center"/>
              <w:rPr>
                <w:rFonts w:ascii="Calibri" w:eastAsia="Calibri" w:hAnsi="Calibri" w:cs="Calibri"/>
                <w:color w:val="4F81BD"/>
                <w:sz w:val="14"/>
                <w:szCs w:val="14"/>
              </w:rPr>
            </w:pPr>
            <w:r>
              <w:rPr>
                <w:rFonts w:ascii="Calibri" w:eastAsia="Calibri" w:hAnsi="Calibri" w:cs="Calibri"/>
                <w:i/>
                <w:color w:val="4F81BD"/>
                <w:sz w:val="14"/>
                <w:szCs w:val="14"/>
              </w:rPr>
              <w:t xml:space="preserve"> (*) proponowane w 10 i 20 roku eksploatacji  projektu</w:t>
            </w:r>
          </w:p>
        </w:tc>
        <w:tc>
          <w:tcPr>
            <w:tcW w:w="1357" w:type="dxa"/>
            <w:tcBorders>
              <w:top w:val="single" w:sz="4" w:space="0" w:color="FFFFFF"/>
              <w:left w:val="single" w:sz="4" w:space="0" w:color="FFFFFF"/>
              <w:bottom w:val="single" w:sz="4" w:space="0" w:color="FFFFFF"/>
            </w:tcBorders>
            <w:shd w:val="clear" w:color="auto" w:fill="DBE5F1"/>
            <w:vAlign w:val="center"/>
          </w:tcPr>
          <w:p w14:paraId="65DA3FE1"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0D174CE"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7E7AC30C"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469996C0" w14:textId="77777777" w:rsidR="00600DEE" w:rsidRDefault="00641FB5">
            <w:pPr>
              <w:spacing w:before="20" w:after="20"/>
              <w:ind w:left="34" w:hanging="34"/>
              <w:jc w:val="center"/>
              <w:rPr>
                <w:rFonts w:ascii="Calibri" w:eastAsia="Calibri" w:hAnsi="Calibri" w:cs="Calibri"/>
                <w:color w:val="4F81BD"/>
                <w:sz w:val="14"/>
                <w:szCs w:val="14"/>
              </w:rPr>
            </w:pPr>
            <w:r>
              <w:rPr>
                <w:rFonts w:ascii="Calibri" w:eastAsia="Calibri" w:hAnsi="Calibri" w:cs="Calibri"/>
                <w:i/>
                <w:color w:val="4F81BD"/>
                <w:sz w:val="14"/>
                <w:szCs w:val="14"/>
              </w:rPr>
              <w:t>(*) proponowane w 10 i 20 roku eksploatacji  projektu</w:t>
            </w: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D391EA4"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35939B7"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16067D7F" w14:textId="77777777">
        <w:trPr>
          <w:trHeight w:val="306"/>
        </w:trPr>
        <w:tc>
          <w:tcPr>
            <w:tcW w:w="897" w:type="dxa"/>
            <w:tcBorders>
              <w:top w:val="single" w:sz="4" w:space="0" w:color="FFFFFF"/>
              <w:left w:val="single" w:sz="4" w:space="0" w:color="FFFFFF"/>
              <w:bottom w:val="single" w:sz="4" w:space="0" w:color="FFFFFF"/>
            </w:tcBorders>
            <w:shd w:val="clear" w:color="auto" w:fill="DBE5F1"/>
            <w:vAlign w:val="center"/>
          </w:tcPr>
          <w:p w14:paraId="5D0A2A63"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25</w:t>
            </w:r>
          </w:p>
        </w:tc>
        <w:tc>
          <w:tcPr>
            <w:tcW w:w="1884" w:type="dxa"/>
            <w:tcBorders>
              <w:top w:val="single" w:sz="4" w:space="0" w:color="FFFFFF"/>
              <w:left w:val="single" w:sz="4" w:space="0" w:color="FFFFFF"/>
              <w:bottom w:val="single" w:sz="4" w:space="0" w:color="FFFFFF"/>
            </w:tcBorders>
            <w:shd w:val="clear" w:color="auto" w:fill="DBE5F1"/>
            <w:vAlign w:val="center"/>
          </w:tcPr>
          <w:p w14:paraId="6A08FF4A"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7636A63A"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2993F1F0"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BB54933"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64C5E82A"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17688DC5"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113715F"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1F102D6"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531A3599" w14:textId="77777777">
        <w:trPr>
          <w:trHeight w:val="257"/>
        </w:trPr>
        <w:tc>
          <w:tcPr>
            <w:tcW w:w="897" w:type="dxa"/>
            <w:tcBorders>
              <w:top w:val="single" w:sz="4" w:space="0" w:color="FFFFFF"/>
              <w:left w:val="single" w:sz="4" w:space="0" w:color="FFFFFF"/>
              <w:bottom w:val="single" w:sz="4" w:space="0" w:color="FFFFFF"/>
            </w:tcBorders>
            <w:shd w:val="clear" w:color="auto" w:fill="DBE5F1"/>
            <w:vAlign w:val="center"/>
          </w:tcPr>
          <w:p w14:paraId="12093BFF"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Raz.</w:t>
            </w:r>
          </w:p>
        </w:tc>
        <w:tc>
          <w:tcPr>
            <w:tcW w:w="1884" w:type="dxa"/>
            <w:tcBorders>
              <w:top w:val="single" w:sz="4" w:space="0" w:color="FFFFFF"/>
              <w:left w:val="single" w:sz="4" w:space="0" w:color="FFFFFF"/>
              <w:bottom w:val="single" w:sz="4" w:space="0" w:color="FFFFFF"/>
            </w:tcBorders>
            <w:shd w:val="clear" w:color="auto" w:fill="DBE5F1"/>
            <w:vAlign w:val="center"/>
          </w:tcPr>
          <w:p w14:paraId="074F5B5D"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A70BB55"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21CF565E"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A310740"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35EFF772"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1F4980B"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F79D0B6"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F48B37A"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bl>
    <w:p w14:paraId="2F87062D"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10. O&amp;M cost estimation breakdown into main cost elements (not discounted)</w:t>
      </w:r>
    </w:p>
    <w:tbl>
      <w:tblPr>
        <w:tblStyle w:val="affa"/>
        <w:tblW w:w="14601" w:type="dxa"/>
        <w:tblInd w:w="108" w:type="dxa"/>
        <w:tblLayout w:type="fixed"/>
        <w:tblLook w:val="0000" w:firstRow="0" w:lastRow="0" w:firstColumn="0" w:lastColumn="0" w:noHBand="0" w:noVBand="0"/>
      </w:tblPr>
      <w:tblGrid>
        <w:gridCol w:w="897"/>
        <w:gridCol w:w="1884"/>
        <w:gridCol w:w="1789"/>
        <w:gridCol w:w="1357"/>
        <w:gridCol w:w="1524"/>
        <w:gridCol w:w="1648"/>
        <w:gridCol w:w="1789"/>
        <w:gridCol w:w="1609"/>
        <w:gridCol w:w="2104"/>
      </w:tblGrid>
      <w:tr w:rsidR="00600DEE" w14:paraId="64F4997C" w14:textId="77777777">
        <w:trPr>
          <w:trHeight w:val="1307"/>
        </w:trPr>
        <w:tc>
          <w:tcPr>
            <w:tcW w:w="897" w:type="dxa"/>
            <w:tcBorders>
              <w:top w:val="single" w:sz="4" w:space="0" w:color="FFFFFF"/>
              <w:left w:val="single" w:sz="4" w:space="0" w:color="FFFFFF"/>
              <w:bottom w:val="single" w:sz="4" w:space="0" w:color="FFFFFF"/>
            </w:tcBorders>
            <w:shd w:val="clear" w:color="auto" w:fill="A6A6A6"/>
            <w:vAlign w:val="center"/>
          </w:tcPr>
          <w:p w14:paraId="6A04ACC9" w14:textId="77777777" w:rsidR="00600DEE" w:rsidRDefault="00641FB5">
            <w:pPr>
              <w:spacing w:before="20" w:after="20"/>
              <w:jc w:val="center"/>
              <w:rPr>
                <w:rFonts w:ascii="Calibri" w:eastAsia="Calibri" w:hAnsi="Calibri" w:cs="Calibri"/>
                <w:b/>
                <w:color w:val="FFFFFF"/>
                <w:sz w:val="16"/>
                <w:szCs w:val="16"/>
              </w:rPr>
            </w:pPr>
            <w:proofErr w:type="spellStart"/>
            <w:r>
              <w:rPr>
                <w:rFonts w:ascii="Calibri" w:eastAsia="Calibri" w:hAnsi="Calibri" w:cs="Calibri"/>
                <w:b/>
                <w:color w:val="FFFFFF"/>
                <w:sz w:val="16"/>
                <w:szCs w:val="16"/>
              </w:rPr>
              <w:lastRenderedPageBreak/>
              <w:t>Year</w:t>
            </w:r>
            <w:proofErr w:type="spellEnd"/>
          </w:p>
        </w:tc>
        <w:tc>
          <w:tcPr>
            <w:tcW w:w="1884" w:type="dxa"/>
            <w:tcBorders>
              <w:top w:val="single" w:sz="4" w:space="0" w:color="FFFFFF"/>
              <w:left w:val="single" w:sz="4" w:space="0" w:color="FFFFFF"/>
              <w:bottom w:val="single" w:sz="4" w:space="0" w:color="FFFFFF"/>
            </w:tcBorders>
            <w:shd w:val="clear" w:color="auto" w:fill="A6A6A6"/>
            <w:vAlign w:val="center"/>
          </w:tcPr>
          <w:p w14:paraId="50657CF3" w14:textId="77777777" w:rsidR="00600DEE" w:rsidRDefault="00641FB5">
            <w:pPr>
              <w:spacing w:before="20" w:after="20"/>
              <w:jc w:val="center"/>
              <w:rPr>
                <w:rFonts w:ascii="Calibri" w:eastAsia="Calibri" w:hAnsi="Calibri" w:cs="Calibri"/>
                <w:b/>
                <w:color w:val="FFFFFF"/>
                <w:sz w:val="16"/>
                <w:szCs w:val="16"/>
              </w:rPr>
            </w:pPr>
            <w:proofErr w:type="spellStart"/>
            <w:r>
              <w:rPr>
                <w:rFonts w:ascii="Calibri" w:eastAsia="Calibri" w:hAnsi="Calibri" w:cs="Calibri"/>
                <w:b/>
                <w:color w:val="FFFFFF"/>
                <w:sz w:val="16"/>
                <w:szCs w:val="16"/>
              </w:rPr>
              <w:t>Routine</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road</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infrastructure</w:t>
            </w:r>
            <w:proofErr w:type="spellEnd"/>
            <w:r>
              <w:rPr>
                <w:rFonts w:ascii="Calibri" w:eastAsia="Calibri" w:hAnsi="Calibri" w:cs="Calibri"/>
                <w:b/>
                <w:color w:val="FFFFFF"/>
                <w:sz w:val="16"/>
                <w:szCs w:val="16"/>
              </w:rPr>
              <w:t xml:space="preserve"> O&amp;M  (</w:t>
            </w:r>
            <w:proofErr w:type="spellStart"/>
            <w:r>
              <w:rPr>
                <w:rFonts w:ascii="Calibri" w:eastAsia="Calibri" w:hAnsi="Calibri" w:cs="Calibri"/>
                <w:b/>
                <w:color w:val="FFFFFF"/>
                <w:sz w:val="16"/>
                <w:szCs w:val="16"/>
              </w:rPr>
              <w:t>incl</w:t>
            </w:r>
            <w:proofErr w:type="spellEnd"/>
            <w:r>
              <w:rPr>
                <w:rFonts w:ascii="Calibri" w:eastAsia="Calibri" w:hAnsi="Calibri" w:cs="Calibri"/>
                <w:b/>
                <w:color w:val="FFFFFF"/>
                <w:sz w:val="16"/>
                <w:szCs w:val="16"/>
              </w:rPr>
              <w:t>. VAT)</w:t>
            </w:r>
          </w:p>
        </w:tc>
        <w:tc>
          <w:tcPr>
            <w:tcW w:w="1789" w:type="dxa"/>
            <w:tcBorders>
              <w:top w:val="single" w:sz="4" w:space="0" w:color="FFFFFF"/>
              <w:left w:val="single" w:sz="4" w:space="0" w:color="FFFFFF"/>
              <w:bottom w:val="single" w:sz="4" w:space="0" w:color="FFFFFF"/>
            </w:tcBorders>
            <w:shd w:val="clear" w:color="auto" w:fill="A6A6A6"/>
            <w:vAlign w:val="center"/>
          </w:tcPr>
          <w:p w14:paraId="60775FA0" w14:textId="77777777" w:rsidR="00600DEE" w:rsidRDefault="00641FB5">
            <w:pPr>
              <w:spacing w:before="20" w:after="20"/>
              <w:jc w:val="center"/>
              <w:rPr>
                <w:rFonts w:ascii="Calibri" w:eastAsia="Calibri" w:hAnsi="Calibri" w:cs="Calibri"/>
                <w:b/>
                <w:color w:val="FFFFFF"/>
                <w:sz w:val="16"/>
                <w:szCs w:val="16"/>
              </w:rPr>
            </w:pPr>
            <w:proofErr w:type="spellStart"/>
            <w:r>
              <w:rPr>
                <w:rFonts w:ascii="Calibri" w:eastAsia="Calibri" w:hAnsi="Calibri" w:cs="Calibri"/>
                <w:b/>
                <w:color w:val="FFFFFF"/>
                <w:sz w:val="16"/>
                <w:szCs w:val="16"/>
              </w:rPr>
              <w:t>Periodic</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road</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infrastructure</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maintenance</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incl</w:t>
            </w:r>
            <w:proofErr w:type="spellEnd"/>
            <w:r>
              <w:rPr>
                <w:rFonts w:ascii="Calibri" w:eastAsia="Calibri" w:hAnsi="Calibri" w:cs="Calibri"/>
                <w:b/>
                <w:color w:val="FFFFFF"/>
                <w:sz w:val="16"/>
                <w:szCs w:val="16"/>
              </w:rPr>
              <w:t>. VAT)</w:t>
            </w:r>
          </w:p>
        </w:tc>
        <w:tc>
          <w:tcPr>
            <w:tcW w:w="1357" w:type="dxa"/>
            <w:tcBorders>
              <w:top w:val="single" w:sz="4" w:space="0" w:color="FFFFFF"/>
              <w:left w:val="single" w:sz="4" w:space="0" w:color="FFFFFF"/>
              <w:bottom w:val="single" w:sz="4" w:space="0" w:color="FFFFFF"/>
            </w:tcBorders>
            <w:shd w:val="clear" w:color="auto" w:fill="A6A6A6"/>
            <w:vAlign w:val="center"/>
          </w:tcPr>
          <w:p w14:paraId="5E9C65CC" w14:textId="77777777" w:rsidR="00600DEE" w:rsidRPr="0045151D" w:rsidRDefault="00641FB5">
            <w:pPr>
              <w:spacing w:before="20" w:after="20"/>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Toll collection system* (incl. VAT)</w:t>
            </w:r>
          </w:p>
        </w:tc>
        <w:tc>
          <w:tcPr>
            <w:tcW w:w="152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0FA39CC" w14:textId="77777777" w:rsidR="00600DEE" w:rsidRDefault="00641FB5">
            <w:pPr>
              <w:spacing w:before="20" w:after="20"/>
              <w:jc w:val="center"/>
              <w:rPr>
                <w:rFonts w:ascii="Calibri" w:eastAsia="Calibri" w:hAnsi="Calibri" w:cs="Calibri"/>
                <w:b/>
                <w:color w:val="FFFFFF"/>
                <w:sz w:val="16"/>
                <w:szCs w:val="16"/>
              </w:rPr>
            </w:pPr>
            <w:proofErr w:type="spellStart"/>
            <w:r>
              <w:rPr>
                <w:rFonts w:ascii="Calibri" w:eastAsia="Calibri" w:hAnsi="Calibri" w:cs="Calibri"/>
                <w:b/>
                <w:color w:val="FFFFFF"/>
                <w:sz w:val="16"/>
                <w:szCs w:val="16"/>
              </w:rPr>
              <w:t>Other</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specify</w:t>
            </w:r>
            <w:proofErr w:type="spellEnd"/>
            <w:r>
              <w:rPr>
                <w:rFonts w:ascii="Calibri" w:eastAsia="Calibri" w:hAnsi="Calibri" w:cs="Calibri"/>
                <w:b/>
                <w:color w:val="FFFFFF"/>
                <w:sz w:val="16"/>
                <w:szCs w:val="16"/>
              </w:rPr>
              <w:t>) (</w:t>
            </w:r>
            <w:proofErr w:type="spellStart"/>
            <w:r>
              <w:rPr>
                <w:rFonts w:ascii="Calibri" w:eastAsia="Calibri" w:hAnsi="Calibri" w:cs="Calibri"/>
                <w:b/>
                <w:color w:val="FFFFFF"/>
                <w:sz w:val="16"/>
                <w:szCs w:val="16"/>
              </w:rPr>
              <w:t>incl</w:t>
            </w:r>
            <w:proofErr w:type="spellEnd"/>
            <w:r>
              <w:rPr>
                <w:rFonts w:ascii="Calibri" w:eastAsia="Calibri" w:hAnsi="Calibri" w:cs="Calibri"/>
                <w:b/>
                <w:color w:val="FFFFFF"/>
                <w:sz w:val="16"/>
                <w:szCs w:val="16"/>
              </w:rPr>
              <w:t>. VAT)</w:t>
            </w:r>
          </w:p>
        </w:tc>
        <w:tc>
          <w:tcPr>
            <w:tcW w:w="1648" w:type="dxa"/>
            <w:tcBorders>
              <w:top w:val="single" w:sz="4" w:space="0" w:color="FFFFFF"/>
              <w:left w:val="single" w:sz="4" w:space="0" w:color="FFFFFF"/>
              <w:bottom w:val="single" w:sz="4" w:space="0" w:color="FFFFFF"/>
            </w:tcBorders>
            <w:shd w:val="clear" w:color="auto" w:fill="A6A6A6"/>
            <w:vAlign w:val="center"/>
          </w:tcPr>
          <w:p w14:paraId="0A88162A" w14:textId="77777777" w:rsidR="00600DEE" w:rsidRDefault="00641FB5">
            <w:pPr>
              <w:spacing w:before="20" w:after="20"/>
              <w:jc w:val="center"/>
              <w:rPr>
                <w:rFonts w:ascii="Calibri" w:eastAsia="Calibri" w:hAnsi="Calibri" w:cs="Calibri"/>
                <w:b/>
                <w:color w:val="FFFFFF"/>
                <w:sz w:val="16"/>
                <w:szCs w:val="16"/>
              </w:rPr>
            </w:pPr>
            <w:proofErr w:type="spellStart"/>
            <w:r>
              <w:rPr>
                <w:rFonts w:ascii="Calibri" w:eastAsia="Calibri" w:hAnsi="Calibri" w:cs="Calibri"/>
                <w:b/>
                <w:color w:val="FFFFFF"/>
                <w:sz w:val="16"/>
                <w:szCs w:val="16"/>
              </w:rPr>
              <w:t>Routine</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road</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infrastructure</w:t>
            </w:r>
            <w:proofErr w:type="spellEnd"/>
            <w:r>
              <w:rPr>
                <w:rFonts w:ascii="Calibri" w:eastAsia="Calibri" w:hAnsi="Calibri" w:cs="Calibri"/>
                <w:b/>
                <w:color w:val="FFFFFF"/>
                <w:sz w:val="16"/>
                <w:szCs w:val="16"/>
              </w:rPr>
              <w:t xml:space="preserve"> O&amp;M</w:t>
            </w:r>
          </w:p>
          <w:p w14:paraId="21C6EE93" w14:textId="77777777" w:rsidR="00600DEE" w:rsidRDefault="00641FB5">
            <w:pPr>
              <w:spacing w:before="20" w:after="20"/>
              <w:ind w:left="438" w:hanging="438"/>
              <w:jc w:val="center"/>
              <w:rPr>
                <w:rFonts w:ascii="Calibri" w:eastAsia="Calibri" w:hAnsi="Calibri" w:cs="Calibri"/>
                <w:b/>
                <w:color w:val="FFFFFF"/>
                <w:sz w:val="16"/>
                <w:szCs w:val="16"/>
              </w:rPr>
            </w:pPr>
            <w:r>
              <w:rPr>
                <w:rFonts w:ascii="Calibri" w:eastAsia="Calibri" w:hAnsi="Calibri" w:cs="Calibri"/>
                <w:b/>
                <w:color w:val="FFFFFF"/>
                <w:sz w:val="16"/>
                <w:szCs w:val="16"/>
              </w:rPr>
              <w:t>(</w:t>
            </w:r>
            <w:proofErr w:type="spellStart"/>
            <w:r>
              <w:rPr>
                <w:rFonts w:ascii="Calibri" w:eastAsia="Calibri" w:hAnsi="Calibri" w:cs="Calibri"/>
                <w:b/>
                <w:color w:val="FFFFFF"/>
                <w:sz w:val="16"/>
                <w:szCs w:val="16"/>
              </w:rPr>
              <w:t>excl</w:t>
            </w:r>
            <w:proofErr w:type="spellEnd"/>
            <w:r>
              <w:rPr>
                <w:rFonts w:ascii="Calibri" w:eastAsia="Calibri" w:hAnsi="Calibri" w:cs="Calibri"/>
                <w:b/>
                <w:color w:val="FFFFFF"/>
                <w:sz w:val="16"/>
                <w:szCs w:val="16"/>
              </w:rPr>
              <w:t>. VAT)</w:t>
            </w:r>
          </w:p>
        </w:tc>
        <w:tc>
          <w:tcPr>
            <w:tcW w:w="1789" w:type="dxa"/>
            <w:tcBorders>
              <w:top w:val="single" w:sz="4" w:space="0" w:color="FFFFFF"/>
              <w:left w:val="single" w:sz="4" w:space="0" w:color="FFFFFF"/>
              <w:bottom w:val="single" w:sz="4" w:space="0" w:color="FFFFFF"/>
            </w:tcBorders>
            <w:shd w:val="clear" w:color="auto" w:fill="A6A6A6"/>
            <w:vAlign w:val="center"/>
          </w:tcPr>
          <w:p w14:paraId="67BB4269" w14:textId="77777777" w:rsidR="00600DEE" w:rsidRDefault="00641FB5">
            <w:pPr>
              <w:spacing w:before="20" w:after="20"/>
              <w:jc w:val="center"/>
              <w:rPr>
                <w:rFonts w:ascii="Calibri" w:eastAsia="Calibri" w:hAnsi="Calibri" w:cs="Calibri"/>
                <w:b/>
                <w:color w:val="FFFFFF"/>
                <w:sz w:val="16"/>
                <w:szCs w:val="16"/>
              </w:rPr>
            </w:pPr>
            <w:proofErr w:type="spellStart"/>
            <w:r>
              <w:rPr>
                <w:rFonts w:ascii="Calibri" w:eastAsia="Calibri" w:hAnsi="Calibri" w:cs="Calibri"/>
                <w:b/>
                <w:color w:val="FFFFFF"/>
                <w:sz w:val="16"/>
                <w:szCs w:val="16"/>
              </w:rPr>
              <w:t>Periodic</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road</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infrastructure</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maintenance</w:t>
            </w:r>
            <w:proofErr w:type="spellEnd"/>
          </w:p>
          <w:p w14:paraId="15EF9B27" w14:textId="77777777" w:rsidR="00600DEE" w:rsidRDefault="00641FB5">
            <w:pPr>
              <w:spacing w:before="20" w:after="20"/>
              <w:ind w:left="438" w:hanging="438"/>
              <w:jc w:val="center"/>
              <w:rPr>
                <w:rFonts w:ascii="Calibri" w:eastAsia="Calibri" w:hAnsi="Calibri" w:cs="Calibri"/>
                <w:b/>
                <w:color w:val="FFFFFF"/>
                <w:sz w:val="16"/>
                <w:szCs w:val="16"/>
              </w:rPr>
            </w:pPr>
            <w:r>
              <w:rPr>
                <w:rFonts w:ascii="Calibri" w:eastAsia="Calibri" w:hAnsi="Calibri" w:cs="Calibri"/>
                <w:b/>
                <w:color w:val="FFFFFF"/>
                <w:sz w:val="16"/>
                <w:szCs w:val="16"/>
              </w:rPr>
              <w:t>(</w:t>
            </w:r>
            <w:proofErr w:type="spellStart"/>
            <w:r>
              <w:rPr>
                <w:rFonts w:ascii="Calibri" w:eastAsia="Calibri" w:hAnsi="Calibri" w:cs="Calibri"/>
                <w:b/>
                <w:color w:val="FFFFFF"/>
                <w:sz w:val="16"/>
                <w:szCs w:val="16"/>
              </w:rPr>
              <w:t>excl</w:t>
            </w:r>
            <w:proofErr w:type="spellEnd"/>
            <w:r>
              <w:rPr>
                <w:rFonts w:ascii="Calibri" w:eastAsia="Calibri" w:hAnsi="Calibri" w:cs="Calibri"/>
                <w:b/>
                <w:color w:val="FFFFFF"/>
                <w:sz w:val="16"/>
                <w:szCs w:val="16"/>
              </w:rPr>
              <w:t>. VAT)</w:t>
            </w:r>
          </w:p>
        </w:tc>
        <w:tc>
          <w:tcPr>
            <w:tcW w:w="160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41FD4F4"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 xml:space="preserve">Toll </w:t>
            </w:r>
            <w:proofErr w:type="spellStart"/>
            <w:r>
              <w:rPr>
                <w:rFonts w:ascii="Calibri" w:eastAsia="Calibri" w:hAnsi="Calibri" w:cs="Calibri"/>
                <w:b/>
                <w:color w:val="FFFFFF"/>
                <w:sz w:val="16"/>
                <w:szCs w:val="16"/>
              </w:rPr>
              <w:t>collection</w:t>
            </w:r>
            <w:proofErr w:type="spellEnd"/>
            <w:r>
              <w:rPr>
                <w:rFonts w:ascii="Calibri" w:eastAsia="Calibri" w:hAnsi="Calibri" w:cs="Calibri"/>
                <w:b/>
                <w:color w:val="FFFFFF"/>
                <w:sz w:val="16"/>
                <w:szCs w:val="16"/>
              </w:rPr>
              <w:t xml:space="preserve"> system* (</w:t>
            </w:r>
            <w:proofErr w:type="spellStart"/>
            <w:r>
              <w:rPr>
                <w:rFonts w:ascii="Calibri" w:eastAsia="Calibri" w:hAnsi="Calibri" w:cs="Calibri"/>
                <w:b/>
                <w:color w:val="FFFFFF"/>
                <w:sz w:val="16"/>
                <w:szCs w:val="16"/>
              </w:rPr>
              <w:t>excl</w:t>
            </w:r>
            <w:proofErr w:type="spellEnd"/>
            <w:r>
              <w:rPr>
                <w:rFonts w:ascii="Calibri" w:eastAsia="Calibri" w:hAnsi="Calibri" w:cs="Calibri"/>
                <w:b/>
                <w:color w:val="FFFFFF"/>
                <w:sz w:val="16"/>
                <w:szCs w:val="16"/>
              </w:rPr>
              <w:t>. VAT)</w:t>
            </w:r>
          </w:p>
        </w:tc>
        <w:tc>
          <w:tcPr>
            <w:tcW w:w="210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74394770" w14:textId="77777777" w:rsidR="00600DEE" w:rsidRDefault="00641FB5">
            <w:pPr>
              <w:spacing w:before="20" w:after="20"/>
              <w:jc w:val="center"/>
              <w:rPr>
                <w:rFonts w:ascii="Calibri" w:eastAsia="Calibri" w:hAnsi="Calibri" w:cs="Calibri"/>
                <w:b/>
                <w:color w:val="FFFFFF"/>
                <w:sz w:val="16"/>
                <w:szCs w:val="16"/>
              </w:rPr>
            </w:pPr>
            <w:proofErr w:type="spellStart"/>
            <w:r>
              <w:rPr>
                <w:rFonts w:ascii="Calibri" w:eastAsia="Calibri" w:hAnsi="Calibri" w:cs="Calibri"/>
                <w:b/>
                <w:color w:val="FFFFFF"/>
                <w:sz w:val="16"/>
                <w:szCs w:val="16"/>
              </w:rPr>
              <w:t>Other</w:t>
            </w:r>
            <w:proofErr w:type="spellEnd"/>
            <w:r>
              <w:rPr>
                <w:rFonts w:ascii="Calibri" w:eastAsia="Calibri" w:hAnsi="Calibri" w:cs="Calibri"/>
                <w:b/>
                <w:color w:val="FFFFFF"/>
                <w:sz w:val="16"/>
                <w:szCs w:val="16"/>
              </w:rPr>
              <w:t xml:space="preserve"> (</w:t>
            </w:r>
            <w:proofErr w:type="spellStart"/>
            <w:r>
              <w:rPr>
                <w:rFonts w:ascii="Calibri" w:eastAsia="Calibri" w:hAnsi="Calibri" w:cs="Calibri"/>
                <w:b/>
                <w:color w:val="FFFFFF"/>
                <w:sz w:val="16"/>
                <w:szCs w:val="16"/>
              </w:rPr>
              <w:t>specify</w:t>
            </w:r>
            <w:proofErr w:type="spellEnd"/>
            <w:r>
              <w:rPr>
                <w:rFonts w:ascii="Calibri" w:eastAsia="Calibri" w:hAnsi="Calibri" w:cs="Calibri"/>
                <w:b/>
                <w:color w:val="FFFFFF"/>
                <w:sz w:val="16"/>
                <w:szCs w:val="16"/>
              </w:rPr>
              <w:t>)</w:t>
            </w:r>
          </w:p>
          <w:p w14:paraId="547699BC" w14:textId="77777777" w:rsidR="00600DEE" w:rsidRDefault="00641FB5">
            <w:pPr>
              <w:spacing w:before="20" w:after="20"/>
              <w:ind w:left="438" w:hanging="438"/>
              <w:jc w:val="center"/>
              <w:rPr>
                <w:rFonts w:ascii="Calibri" w:eastAsia="Calibri" w:hAnsi="Calibri" w:cs="Calibri"/>
                <w:b/>
                <w:color w:val="FFFFFF"/>
                <w:sz w:val="16"/>
                <w:szCs w:val="16"/>
              </w:rPr>
            </w:pPr>
            <w:r>
              <w:rPr>
                <w:rFonts w:ascii="Calibri" w:eastAsia="Calibri" w:hAnsi="Calibri" w:cs="Calibri"/>
                <w:b/>
                <w:color w:val="FFFFFF"/>
                <w:sz w:val="16"/>
                <w:szCs w:val="16"/>
              </w:rPr>
              <w:t>(</w:t>
            </w:r>
            <w:proofErr w:type="spellStart"/>
            <w:r>
              <w:rPr>
                <w:rFonts w:ascii="Calibri" w:eastAsia="Calibri" w:hAnsi="Calibri" w:cs="Calibri"/>
                <w:b/>
                <w:color w:val="FFFFFF"/>
                <w:sz w:val="16"/>
                <w:szCs w:val="16"/>
              </w:rPr>
              <w:t>excl</w:t>
            </w:r>
            <w:proofErr w:type="spellEnd"/>
            <w:r>
              <w:rPr>
                <w:rFonts w:ascii="Calibri" w:eastAsia="Calibri" w:hAnsi="Calibri" w:cs="Calibri"/>
                <w:b/>
                <w:color w:val="FFFFFF"/>
                <w:sz w:val="16"/>
                <w:szCs w:val="16"/>
              </w:rPr>
              <w:t>. VAT)</w:t>
            </w:r>
          </w:p>
        </w:tc>
      </w:tr>
      <w:tr w:rsidR="00600DEE" w14:paraId="37977F0F"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16B1223C"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1</w:t>
            </w:r>
          </w:p>
        </w:tc>
        <w:tc>
          <w:tcPr>
            <w:tcW w:w="1884" w:type="dxa"/>
            <w:tcBorders>
              <w:top w:val="single" w:sz="4" w:space="0" w:color="FFFFFF"/>
              <w:left w:val="single" w:sz="4" w:space="0" w:color="FFFFFF"/>
              <w:bottom w:val="single" w:sz="4" w:space="0" w:color="FFFFFF"/>
            </w:tcBorders>
            <w:shd w:val="clear" w:color="auto" w:fill="DBE5F1"/>
            <w:vAlign w:val="center"/>
          </w:tcPr>
          <w:p w14:paraId="247B18C3"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2171B6D3"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227F8928"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1BD8878"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F291B44"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707D7F8"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F51DE2"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0884A4E"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14:paraId="058CCA65"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49F22B81"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2</w:t>
            </w:r>
          </w:p>
        </w:tc>
        <w:tc>
          <w:tcPr>
            <w:tcW w:w="1884" w:type="dxa"/>
            <w:tcBorders>
              <w:top w:val="single" w:sz="4" w:space="0" w:color="FFFFFF"/>
              <w:left w:val="single" w:sz="4" w:space="0" w:color="FFFFFF"/>
              <w:bottom w:val="single" w:sz="4" w:space="0" w:color="FFFFFF"/>
            </w:tcBorders>
            <w:shd w:val="clear" w:color="auto" w:fill="DBE5F1"/>
            <w:vAlign w:val="center"/>
          </w:tcPr>
          <w:p w14:paraId="6A7BD185"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2B21DD78"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4D3A0BA0"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6DCDA75"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1B59279"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4DC0E8E0"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B2A6B3"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CB20C3F"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14:paraId="163A90D3"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053D41C3"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3</w:t>
            </w:r>
          </w:p>
        </w:tc>
        <w:tc>
          <w:tcPr>
            <w:tcW w:w="1884" w:type="dxa"/>
            <w:tcBorders>
              <w:top w:val="single" w:sz="4" w:space="0" w:color="FFFFFF"/>
              <w:left w:val="single" w:sz="4" w:space="0" w:color="FFFFFF"/>
              <w:bottom w:val="single" w:sz="4" w:space="0" w:color="FFFFFF"/>
            </w:tcBorders>
            <w:shd w:val="clear" w:color="auto" w:fill="DBE5F1"/>
            <w:vAlign w:val="center"/>
          </w:tcPr>
          <w:p w14:paraId="1A108ABE"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7A757A5"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39DA0665"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342608"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77A3FCD6"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6927885D"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CA743E8"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7E4F93E"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rsidRPr="007463B9" w14:paraId="0C26AA11"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5FD2A533"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w:t>
            </w:r>
          </w:p>
        </w:tc>
        <w:tc>
          <w:tcPr>
            <w:tcW w:w="1884" w:type="dxa"/>
            <w:tcBorders>
              <w:top w:val="single" w:sz="4" w:space="0" w:color="FFFFFF"/>
              <w:left w:val="single" w:sz="4" w:space="0" w:color="FFFFFF"/>
              <w:bottom w:val="single" w:sz="4" w:space="0" w:color="FFFFFF"/>
            </w:tcBorders>
            <w:shd w:val="clear" w:color="auto" w:fill="DBE5F1"/>
            <w:vAlign w:val="center"/>
          </w:tcPr>
          <w:p w14:paraId="2F18785C"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8CE2B4D" w14:textId="77777777" w:rsidR="00600DEE" w:rsidRPr="0045151D" w:rsidRDefault="00641FB5">
            <w:pPr>
              <w:spacing w:before="20" w:after="20"/>
              <w:jc w:val="center"/>
              <w:rPr>
                <w:rFonts w:ascii="Calibri" w:eastAsia="Calibri" w:hAnsi="Calibri" w:cs="Calibri"/>
                <w:i/>
                <w:color w:val="4F81BD"/>
                <w:sz w:val="14"/>
                <w:szCs w:val="14"/>
                <w:lang w:val="en-GB"/>
              </w:rPr>
            </w:pPr>
            <w:r w:rsidRPr="0045151D">
              <w:rPr>
                <w:rFonts w:ascii="Calibri" w:eastAsia="Calibri" w:hAnsi="Calibri" w:cs="Calibri"/>
                <w:i/>
                <w:color w:val="4F81BD"/>
                <w:sz w:val="14"/>
                <w:szCs w:val="14"/>
                <w:lang w:val="en-GB"/>
              </w:rPr>
              <w:t>(*) Proposed in years 10 and 20 of project operation</w:t>
            </w:r>
          </w:p>
        </w:tc>
        <w:tc>
          <w:tcPr>
            <w:tcW w:w="1357" w:type="dxa"/>
            <w:tcBorders>
              <w:top w:val="single" w:sz="4" w:space="0" w:color="FFFFFF"/>
              <w:left w:val="single" w:sz="4" w:space="0" w:color="FFFFFF"/>
              <w:bottom w:val="single" w:sz="4" w:space="0" w:color="FFFFFF"/>
            </w:tcBorders>
            <w:shd w:val="clear" w:color="auto" w:fill="DBE5F1"/>
            <w:vAlign w:val="center"/>
          </w:tcPr>
          <w:p w14:paraId="7860068E" w14:textId="77777777" w:rsidR="00600DEE" w:rsidRPr="0045151D" w:rsidRDefault="00600DEE">
            <w:pPr>
              <w:spacing w:before="20" w:after="20"/>
              <w:ind w:left="438" w:hanging="438"/>
              <w:jc w:val="center"/>
              <w:rPr>
                <w:rFonts w:ascii="Calibri" w:eastAsia="Calibri" w:hAnsi="Calibri" w:cs="Calibri"/>
                <w:color w:val="4F81BD"/>
                <w:sz w:val="14"/>
                <w:szCs w:val="14"/>
                <w:lang w:val="en-GB"/>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6E870C5" w14:textId="77777777" w:rsidR="00600DEE" w:rsidRPr="0045151D" w:rsidRDefault="00600DEE">
            <w:pPr>
              <w:spacing w:before="20" w:after="20"/>
              <w:ind w:left="438" w:hanging="438"/>
              <w:jc w:val="center"/>
              <w:rPr>
                <w:rFonts w:ascii="Calibri" w:eastAsia="Calibri" w:hAnsi="Calibri" w:cs="Calibri"/>
                <w:color w:val="4F81BD"/>
                <w:sz w:val="14"/>
                <w:szCs w:val="14"/>
                <w:lang w:val="en-GB"/>
              </w:rPr>
            </w:pPr>
          </w:p>
        </w:tc>
        <w:tc>
          <w:tcPr>
            <w:tcW w:w="1648" w:type="dxa"/>
            <w:tcBorders>
              <w:top w:val="single" w:sz="4" w:space="0" w:color="FFFFFF"/>
              <w:left w:val="single" w:sz="4" w:space="0" w:color="FFFFFF"/>
              <w:bottom w:val="single" w:sz="4" w:space="0" w:color="FFFFFF"/>
            </w:tcBorders>
            <w:shd w:val="clear" w:color="auto" w:fill="DBE5F1"/>
            <w:vAlign w:val="center"/>
          </w:tcPr>
          <w:p w14:paraId="6E3B00B8" w14:textId="77777777" w:rsidR="00600DEE" w:rsidRPr="0045151D" w:rsidRDefault="00600DEE">
            <w:pPr>
              <w:spacing w:before="20" w:after="20"/>
              <w:ind w:left="438" w:hanging="438"/>
              <w:jc w:val="center"/>
              <w:rPr>
                <w:rFonts w:ascii="Calibri" w:eastAsia="Calibri" w:hAnsi="Calibri" w:cs="Calibri"/>
                <w:color w:val="4F81BD"/>
                <w:sz w:val="14"/>
                <w:szCs w:val="14"/>
                <w:lang w:val="en-GB"/>
              </w:rPr>
            </w:pPr>
          </w:p>
        </w:tc>
        <w:tc>
          <w:tcPr>
            <w:tcW w:w="1789" w:type="dxa"/>
            <w:tcBorders>
              <w:top w:val="single" w:sz="4" w:space="0" w:color="FFFFFF"/>
              <w:left w:val="single" w:sz="4" w:space="0" w:color="FFFFFF"/>
              <w:bottom w:val="single" w:sz="4" w:space="0" w:color="FFFFFF"/>
            </w:tcBorders>
            <w:shd w:val="clear" w:color="auto" w:fill="DBE5F1"/>
            <w:vAlign w:val="center"/>
          </w:tcPr>
          <w:p w14:paraId="689773CC" w14:textId="77777777" w:rsidR="00600DEE" w:rsidRPr="0045151D" w:rsidRDefault="00641FB5">
            <w:pPr>
              <w:spacing w:before="20" w:after="20"/>
              <w:jc w:val="center"/>
              <w:rPr>
                <w:rFonts w:ascii="Calibri" w:eastAsia="Calibri" w:hAnsi="Calibri" w:cs="Calibri"/>
                <w:color w:val="4F81BD"/>
                <w:sz w:val="14"/>
                <w:szCs w:val="14"/>
                <w:lang w:val="en-GB"/>
              </w:rPr>
            </w:pPr>
            <w:r w:rsidRPr="0045151D">
              <w:rPr>
                <w:rFonts w:ascii="Calibri" w:eastAsia="Calibri" w:hAnsi="Calibri" w:cs="Calibri"/>
                <w:i/>
                <w:color w:val="4F81BD"/>
                <w:sz w:val="14"/>
                <w:szCs w:val="14"/>
                <w:lang w:val="en-GB"/>
              </w:rPr>
              <w:t>(*) Proposed in years 10 and 20 of project operation</w:t>
            </w: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5425B1D" w14:textId="77777777" w:rsidR="00600DEE" w:rsidRPr="0045151D"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lang w:val="en-GB"/>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DAE20A2" w14:textId="77777777" w:rsidR="00600DEE" w:rsidRPr="0045151D"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lang w:val="en-GB"/>
              </w:rPr>
            </w:pPr>
          </w:p>
        </w:tc>
      </w:tr>
      <w:tr w:rsidR="00600DEE" w14:paraId="52F83686"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4256FF07"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25</w:t>
            </w:r>
          </w:p>
        </w:tc>
        <w:tc>
          <w:tcPr>
            <w:tcW w:w="1884" w:type="dxa"/>
            <w:tcBorders>
              <w:top w:val="single" w:sz="4" w:space="0" w:color="FFFFFF"/>
              <w:left w:val="single" w:sz="4" w:space="0" w:color="FFFFFF"/>
              <w:bottom w:val="single" w:sz="4" w:space="0" w:color="FFFFFF"/>
            </w:tcBorders>
            <w:shd w:val="clear" w:color="auto" w:fill="DBE5F1"/>
            <w:vAlign w:val="center"/>
          </w:tcPr>
          <w:p w14:paraId="1E8299DE"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1355A9D3"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5860C4C4"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3696720"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4DA5FAE2"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73969C25"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3F134CB"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7834B9B"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14:paraId="255E86F3"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17509BE2"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Raz.</w:t>
            </w:r>
          </w:p>
        </w:tc>
        <w:tc>
          <w:tcPr>
            <w:tcW w:w="1884" w:type="dxa"/>
            <w:tcBorders>
              <w:top w:val="single" w:sz="4" w:space="0" w:color="FFFFFF"/>
              <w:left w:val="single" w:sz="4" w:space="0" w:color="FFFFFF"/>
              <w:bottom w:val="single" w:sz="4" w:space="0" w:color="FFFFFF"/>
            </w:tcBorders>
            <w:shd w:val="clear" w:color="auto" w:fill="DBE5F1"/>
            <w:vAlign w:val="center"/>
          </w:tcPr>
          <w:p w14:paraId="0A78E17B"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A6EDDE2"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6A431BC3"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B8D00ED"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5B694BF4"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7193B0E5"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9F6388D"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5E460B4"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bl>
    <w:p w14:paraId="366BDC8A" w14:textId="77777777" w:rsidR="00600DEE" w:rsidRDefault="00641FB5">
      <w:pPr>
        <w:spacing w:before="120"/>
        <w:ind w:right="170"/>
        <w:rPr>
          <w:rFonts w:ascii="Calibri" w:eastAsia="Calibri" w:hAnsi="Calibri" w:cs="Calibri"/>
          <w:i/>
          <w:sz w:val="16"/>
          <w:szCs w:val="16"/>
        </w:rPr>
      </w:pPr>
      <w:r>
        <w:rPr>
          <w:rFonts w:ascii="Calibri" w:eastAsia="Calibri" w:hAnsi="Calibri" w:cs="Calibri"/>
          <w:i/>
          <w:sz w:val="16"/>
          <w:szCs w:val="16"/>
        </w:rPr>
        <w:t>*tylko dla inwestycji generujących przychody/</w:t>
      </w:r>
      <w:r>
        <w:rPr>
          <w:rFonts w:ascii="Calibri" w:eastAsia="Calibri" w:hAnsi="Calibri" w:cs="Calibri"/>
          <w:sz w:val="16"/>
          <w:szCs w:val="16"/>
        </w:rPr>
        <w:t xml:space="preserve">  •</w:t>
      </w:r>
      <w:proofErr w:type="spellStart"/>
      <w:r>
        <w:rPr>
          <w:rFonts w:ascii="Calibri" w:eastAsia="Calibri" w:hAnsi="Calibri" w:cs="Calibri"/>
          <w:i/>
          <w:sz w:val="16"/>
          <w:szCs w:val="16"/>
        </w:rPr>
        <w:t>only</w:t>
      </w:r>
      <w:proofErr w:type="spellEnd"/>
      <w:r>
        <w:rPr>
          <w:rFonts w:ascii="Calibri" w:eastAsia="Calibri" w:hAnsi="Calibri" w:cs="Calibri"/>
          <w:i/>
          <w:sz w:val="16"/>
          <w:szCs w:val="16"/>
        </w:rPr>
        <w:t xml:space="preserve"> for </w:t>
      </w:r>
      <w:proofErr w:type="spellStart"/>
      <w:r>
        <w:rPr>
          <w:rFonts w:ascii="Calibri" w:eastAsia="Calibri" w:hAnsi="Calibri" w:cs="Calibri"/>
          <w:i/>
          <w:sz w:val="16"/>
          <w:szCs w:val="16"/>
        </w:rPr>
        <w:t>revenue-generating</w:t>
      </w:r>
      <w:proofErr w:type="spellEnd"/>
      <w:r>
        <w:rPr>
          <w:rFonts w:ascii="Calibri" w:eastAsia="Calibri" w:hAnsi="Calibri" w:cs="Calibri"/>
          <w:i/>
          <w:sz w:val="16"/>
          <w:szCs w:val="16"/>
        </w:rPr>
        <w:t xml:space="preserve"> </w:t>
      </w:r>
      <w:proofErr w:type="spellStart"/>
      <w:r>
        <w:rPr>
          <w:rFonts w:ascii="Calibri" w:eastAsia="Calibri" w:hAnsi="Calibri" w:cs="Calibri"/>
          <w:i/>
          <w:sz w:val="16"/>
          <w:szCs w:val="16"/>
        </w:rPr>
        <w:t>investments</w:t>
      </w:r>
      <w:proofErr w:type="spellEnd"/>
    </w:p>
    <w:tbl>
      <w:tblPr>
        <w:tblStyle w:val="affb"/>
        <w:tblW w:w="14571" w:type="dxa"/>
        <w:tblLayout w:type="fixed"/>
        <w:tblLook w:val="0400" w:firstRow="0" w:lastRow="0" w:firstColumn="0" w:lastColumn="0" w:noHBand="0" w:noVBand="1"/>
      </w:tblPr>
      <w:tblGrid>
        <w:gridCol w:w="7367"/>
        <w:gridCol w:w="7204"/>
      </w:tblGrid>
      <w:tr w:rsidR="00600DEE" w:rsidRPr="007463B9" w14:paraId="7C502BC9" w14:textId="77777777">
        <w:trPr>
          <w:trHeight w:val="4340"/>
        </w:trPr>
        <w:tc>
          <w:tcPr>
            <w:tcW w:w="7367" w:type="dxa"/>
            <w:tcBorders>
              <w:right w:val="single" w:sz="4" w:space="0" w:color="000000"/>
            </w:tcBorders>
            <w:tcMar>
              <w:left w:w="284" w:type="dxa"/>
              <w:right w:w="284" w:type="dxa"/>
            </w:tcMar>
          </w:tcPr>
          <w:p w14:paraId="62F85FD0" w14:textId="7BA873DC" w:rsidR="00600DEE" w:rsidRDefault="00641FB5">
            <w:pPr>
              <w:pBdr>
                <w:top w:val="nil"/>
                <w:left w:val="nil"/>
                <w:bottom w:val="nil"/>
                <w:right w:val="nil"/>
                <w:between w:val="nil"/>
              </w:pBdr>
              <w:spacing w:before="120"/>
              <w:ind w:left="-195"/>
              <w:jc w:val="both"/>
              <w:rPr>
                <w:rFonts w:ascii="Calibri" w:eastAsia="Calibri" w:hAnsi="Calibri" w:cs="Calibri"/>
                <w:color w:val="000000"/>
                <w:sz w:val="20"/>
                <w:szCs w:val="20"/>
              </w:rPr>
            </w:pPr>
            <w:r>
              <w:rPr>
                <w:rFonts w:ascii="Calibri" w:eastAsia="Calibri" w:hAnsi="Calibri" w:cs="Calibri"/>
                <w:color w:val="000000"/>
                <w:sz w:val="20"/>
                <w:szCs w:val="20"/>
              </w:rPr>
              <w:t xml:space="preserve">Zaproponowane jednostkowe koszty eksploatacji i utrzymania infrastruktury drogowej, w cenach netto, znajdują się w załączniku A – Jednostkowe koszty ekonomiczne i finansowe. Zaproponowane koszty powinny być wykorzystywane jedynie dla celów kalkulacji analizy kosztów i korzyści. Zostały one zaproponowane w oparciu o dane i informacje uzyskanie z GDDKiA na podstawie kontraktów zawieranych w formule ‘‘Utrzymaj standard’’ (do oszacowania kosztów bieżącej eksploatacji i utrzymania), a także kontraktów remontowych (do oszacowania kosztów okresowych prac utrzymaniowych). </w:t>
            </w:r>
            <w:r>
              <w:rPr>
                <w:rFonts w:ascii="Calibri" w:eastAsia="Calibri" w:hAnsi="Calibri" w:cs="Calibri"/>
                <w:b/>
                <w:color w:val="000000"/>
                <w:sz w:val="20"/>
                <w:szCs w:val="20"/>
              </w:rPr>
              <w:t>Koszty jednostkowe zostały oszacowane i wyliczone na kilometr bieżący w dwóch podstawowych grupach: bieżące utrzymanie i okresowe zabiegi utrzymaniowe, a</w:t>
            </w:r>
            <w:r w:rsidR="00B802AC">
              <w:rPr>
                <w:rFonts w:ascii="Calibri" w:eastAsia="Calibri" w:hAnsi="Calibri" w:cs="Calibri"/>
                <w:b/>
                <w:color w:val="000000"/>
                <w:sz w:val="20"/>
                <w:szCs w:val="20"/>
              </w:rPr>
              <w:t xml:space="preserve"> ponadto </w:t>
            </w:r>
            <w:r>
              <w:rPr>
                <w:rFonts w:ascii="Calibri" w:eastAsia="Calibri" w:hAnsi="Calibri" w:cs="Calibri"/>
                <w:b/>
                <w:color w:val="000000"/>
                <w:sz w:val="20"/>
                <w:szCs w:val="20"/>
              </w:rPr>
              <w:t>zróżnicowane w zależności od typu drogi. Przyjęto, że te ryczałtowe koszty obejmują wszystkie dodatkowe zabiegi utrzymaniowe związane z dodatkowymi elementami wyposażenia drogi (tj. chodnikami, obiektami, ekranami akustycznymi, odwodnieniem, urządzeniami BRD, koszty ogólne, itd.).</w:t>
            </w:r>
            <w:r>
              <w:rPr>
                <w:rFonts w:ascii="Calibri" w:eastAsia="Calibri" w:hAnsi="Calibri" w:cs="Calibri"/>
                <w:color w:val="000000"/>
                <w:sz w:val="20"/>
                <w:szCs w:val="20"/>
              </w:rPr>
              <w:t xml:space="preserve"> Zakłada się, że powyższe koszty będą stałe w czasie w ujęciu realnym, ewentualny wzrost nominalny z tytułu kosztów pracy oraz kosztów energii będzie rekompensowany wzrostem wydajności (np. z tytułu stosowania nowych technologii). W przypadku niestandardowych obiektów, zaleca się przeprowadzenie szczegółowych analiz w celu określenia kosztów eksploatacji i utrzymania dla poszczególnych przypadków. W razie potrzeby, proponowany sposób obliczeń dla celów analizy AKK znajduje się w załączniku A.</w:t>
            </w:r>
          </w:p>
        </w:tc>
        <w:tc>
          <w:tcPr>
            <w:tcW w:w="7204" w:type="dxa"/>
            <w:tcBorders>
              <w:left w:val="single" w:sz="4" w:space="0" w:color="000000"/>
            </w:tcBorders>
            <w:tcMar>
              <w:left w:w="284" w:type="dxa"/>
              <w:right w:w="284" w:type="dxa"/>
            </w:tcMar>
          </w:tcPr>
          <w:p w14:paraId="6D80ABE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proposed unit maintenance costs for road infrastructure are presented in net prices in Appendix A – Unit economic and financial costs. These proposed costs should only be considered for CBA purposes calculation. They are mainly based on data gathered from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corresponding to costs incurred on “Keep up standard” contracts (for estimating routine operation and maintenance costs) and on rehabilitation contracts (for calculating periodic maintenance costs). </w:t>
            </w:r>
            <w:r w:rsidRPr="0045151D">
              <w:rPr>
                <w:rFonts w:ascii="Calibri" w:eastAsia="Calibri" w:hAnsi="Calibri" w:cs="Calibri"/>
                <w:b/>
                <w:color w:val="000000"/>
                <w:sz w:val="20"/>
                <w:szCs w:val="20"/>
                <w:lang w:val="en-GB"/>
              </w:rPr>
              <w:t>Unit costs per kilometre were estimated and presented in two basic groups: routine maintenance and periodic maintenance, and differentiated by road type. These values are an average global cost estimation including all required maintenance works for all road infrastructure assets (e.g. pavements, structures, noise screens, drainage, safety, overheads, etc.).</w:t>
            </w:r>
            <w:r w:rsidRPr="0045151D">
              <w:rPr>
                <w:rFonts w:ascii="Calibri" w:eastAsia="Calibri" w:hAnsi="Calibri" w:cs="Calibri"/>
                <w:color w:val="000000"/>
                <w:sz w:val="20"/>
                <w:szCs w:val="20"/>
                <w:lang w:val="en-GB"/>
              </w:rPr>
              <w:t xml:space="preserve">  Additionally, these prices are assumed to be constant over the time in real terms: possible nominal increase due to higher wages or energy costs will be compensated by the increased efficiency (e.g. due to new technologies). In case of extraordinary structures, it is recommended to conduct a particular analysis, case by case, to estimate the respective O&amp;M costs. In Appendix A, a calculation proposal, as ultimate case, is provided for CBA purposes.</w:t>
            </w:r>
          </w:p>
        </w:tc>
      </w:tr>
    </w:tbl>
    <w:p w14:paraId="2AACC0EC" w14:textId="74453F10" w:rsidR="00600DEE" w:rsidRPr="0045151D" w:rsidRDefault="00641FB5" w:rsidP="00D5736B">
      <w:pPr>
        <w:pStyle w:val="Nagwek2"/>
        <w:numPr>
          <w:ilvl w:val="1"/>
          <w:numId w:val="17"/>
        </w:numPr>
        <w:ind w:left="0" w:firstLine="0"/>
        <w:rPr>
          <w:rFonts w:ascii="Calibri" w:eastAsia="Calibri" w:hAnsi="Calibri" w:cs="Calibri"/>
          <w:i/>
          <w:color w:val="4F81BD"/>
          <w:lang w:val="pl-PL"/>
        </w:rPr>
      </w:pPr>
      <w:bookmarkStart w:id="53" w:name="_Toc95377982"/>
      <w:r w:rsidRPr="0045151D">
        <w:rPr>
          <w:rFonts w:ascii="Calibri" w:eastAsia="Calibri" w:hAnsi="Calibri" w:cs="Calibri"/>
          <w:color w:val="4F81BD"/>
          <w:lang w:val="pl-PL"/>
        </w:rPr>
        <w:lastRenderedPageBreak/>
        <w:t>Dane wejściowe do projekcji przychodów</w:t>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 xml:space="preserve">1.10   </w:t>
      </w:r>
      <w:proofErr w:type="spellStart"/>
      <w:r w:rsidRPr="0045151D">
        <w:rPr>
          <w:rFonts w:ascii="Calibri" w:eastAsia="Calibri" w:hAnsi="Calibri" w:cs="Calibri"/>
          <w:i/>
          <w:color w:val="4F81BD"/>
          <w:lang w:val="pl-PL"/>
        </w:rPr>
        <w:t>Revenue</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projection</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inputs</w:t>
      </w:r>
      <w:bookmarkEnd w:id="53"/>
      <w:proofErr w:type="spellEnd"/>
    </w:p>
    <w:tbl>
      <w:tblPr>
        <w:tblStyle w:val="affc"/>
        <w:tblW w:w="14885"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7655"/>
        <w:gridCol w:w="7230"/>
      </w:tblGrid>
      <w:tr w:rsidR="00600DEE" w:rsidRPr="007463B9" w14:paraId="1FE82D36" w14:textId="77777777" w:rsidTr="00B802AC">
        <w:trPr>
          <w:trHeight w:val="5318"/>
        </w:trPr>
        <w:tc>
          <w:tcPr>
            <w:tcW w:w="7655" w:type="dxa"/>
            <w:tcBorders>
              <w:right w:val="single" w:sz="4" w:space="0" w:color="auto"/>
            </w:tcBorders>
            <w:tcMar>
              <w:left w:w="284" w:type="dxa"/>
              <w:right w:w="284" w:type="dxa"/>
            </w:tcMar>
          </w:tcPr>
          <w:tbl>
            <w:tblPr>
              <w:tblStyle w:val="affd"/>
              <w:tblW w:w="6804" w:type="dxa"/>
              <w:tblBorders>
                <w:insideH w:val="single" w:sz="4" w:space="0" w:color="000000"/>
                <w:insideV w:val="single" w:sz="4" w:space="0" w:color="000000"/>
              </w:tblBorders>
              <w:tblLayout w:type="fixed"/>
              <w:tblLook w:val="0400" w:firstRow="0" w:lastRow="0" w:firstColumn="0" w:lastColumn="0" w:noHBand="0" w:noVBand="1"/>
            </w:tblPr>
            <w:tblGrid>
              <w:gridCol w:w="6804"/>
            </w:tblGrid>
            <w:tr w:rsidR="00600DEE" w14:paraId="7A262BE7" w14:textId="77777777" w:rsidTr="000927FA">
              <w:trPr>
                <w:trHeight w:hRule="exact" w:val="1134"/>
              </w:trPr>
              <w:tc>
                <w:tcPr>
                  <w:tcW w:w="6804" w:type="dxa"/>
                  <w:shd w:val="clear" w:color="auto" w:fill="DBE5F1"/>
                  <w:vAlign w:val="center"/>
                </w:tcPr>
                <w:p w14:paraId="6B56C08F" w14:textId="77777777" w:rsidR="00600DEE" w:rsidRDefault="00641FB5">
                  <w:pPr>
                    <w:spacing w:before="120" w:after="120" w:line="276" w:lineRule="auto"/>
                    <w:ind w:right="170"/>
                    <w:jc w:val="both"/>
                    <w:rPr>
                      <w:rFonts w:ascii="Calibri" w:eastAsia="Calibri" w:hAnsi="Calibri" w:cs="Calibri"/>
                      <w:sz w:val="20"/>
                      <w:szCs w:val="20"/>
                    </w:rPr>
                  </w:pPr>
                  <w:r>
                    <w:rPr>
                      <w:rFonts w:ascii="Calibri" w:eastAsia="Calibri" w:hAnsi="Calibri" w:cs="Calibri"/>
                      <w:sz w:val="20"/>
                      <w:szCs w:val="20"/>
                    </w:rPr>
                    <w:t>W przypadku dróg płatnych przychody do celów ustalenia dofinansowania obejmują tylko bezpośrednie opłaty pobierane od użytkowników tj. myto za przejazd oraz opłaty za dzierżawę MOP (Miejsce Obsługi Podróżnych).</w:t>
                  </w:r>
                </w:p>
              </w:tc>
            </w:tr>
          </w:tbl>
          <w:p w14:paraId="256F23C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Analizę przychodów z systemu poboru opłat należy wykonać przez wyliczenie przychodów zgodnie ze stawkami opłat dla poszczególnych kategorii pojazdów (kategorii opłat zgodnie z odpowiednim rozporządzeniem Ministra właściwego dla spraw transportu).</w:t>
            </w:r>
          </w:p>
          <w:p w14:paraId="33BD0BB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Stawki opłat za przejazd do analizy przychodów należy przyjąć w cenach stałych bez uwzględniania inflacji. (Uwaga: te same stawki powinny być wykorzystywane w modelu rozkładu ruchu na sieć.)</w:t>
            </w:r>
          </w:p>
          <w:p w14:paraId="76777E0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Uwzględnianie przychodów jest istotne na kilku etapach oceny projektu drogowego, na przykład:</w:t>
            </w:r>
          </w:p>
          <w:p w14:paraId="612B2A8F" w14:textId="7116F5C9" w:rsidR="00600DEE" w:rsidRDefault="00641FB5" w:rsidP="00D5736B">
            <w:pPr>
              <w:numPr>
                <w:ilvl w:val="0"/>
                <w:numId w:val="54"/>
              </w:numPr>
              <w:pBdr>
                <w:top w:val="nil"/>
                <w:left w:val="nil"/>
                <w:bottom w:val="nil"/>
                <w:right w:val="nil"/>
                <w:between w:val="nil"/>
              </w:pBdr>
              <w:spacing w:before="120" w:after="120"/>
              <w:ind w:left="850" w:hanging="850"/>
              <w:jc w:val="both"/>
              <w:rPr>
                <w:rFonts w:ascii="Calibri" w:eastAsia="Calibri" w:hAnsi="Calibri" w:cs="Calibri"/>
                <w:color w:val="000000"/>
                <w:sz w:val="20"/>
                <w:szCs w:val="20"/>
              </w:rPr>
            </w:pPr>
            <w:r>
              <w:rPr>
                <w:rFonts w:ascii="Calibri" w:eastAsia="Calibri" w:hAnsi="Calibri" w:cs="Calibri"/>
                <w:color w:val="000000"/>
                <w:sz w:val="20"/>
                <w:szCs w:val="20"/>
              </w:rPr>
              <w:t>w analizie finansowej do okreś</w:t>
            </w:r>
            <w:r w:rsidR="00B802AC">
              <w:rPr>
                <w:rFonts w:ascii="Calibri" w:eastAsia="Calibri" w:hAnsi="Calibri" w:cs="Calibri"/>
                <w:color w:val="000000"/>
                <w:sz w:val="20"/>
                <w:szCs w:val="20"/>
              </w:rPr>
              <w:t xml:space="preserve">lenia zdyskontowanego dochodu, </w:t>
            </w:r>
            <w:r>
              <w:rPr>
                <w:rFonts w:ascii="Calibri" w:eastAsia="Calibri" w:hAnsi="Calibri" w:cs="Calibri"/>
                <w:color w:val="000000"/>
                <w:sz w:val="20"/>
                <w:szCs w:val="20"/>
              </w:rPr>
              <w:t>gdy konieczne jest policzenie luki finansowej i kwoty dofinansowania,</w:t>
            </w:r>
          </w:p>
          <w:p w14:paraId="500CA390" w14:textId="77777777" w:rsidR="00600DEE" w:rsidRDefault="00641FB5" w:rsidP="00D5736B">
            <w:pPr>
              <w:numPr>
                <w:ilvl w:val="0"/>
                <w:numId w:val="54"/>
              </w:numPr>
              <w:pBdr>
                <w:top w:val="nil"/>
                <w:left w:val="nil"/>
                <w:bottom w:val="nil"/>
                <w:right w:val="nil"/>
                <w:between w:val="nil"/>
              </w:pBdr>
              <w:spacing w:before="120" w:after="120"/>
              <w:ind w:left="850" w:hanging="850"/>
              <w:jc w:val="both"/>
              <w:rPr>
                <w:rFonts w:ascii="Calibri" w:eastAsia="Calibri" w:hAnsi="Calibri" w:cs="Calibri"/>
                <w:color w:val="000000"/>
                <w:sz w:val="20"/>
                <w:szCs w:val="20"/>
              </w:rPr>
            </w:pPr>
            <w:r>
              <w:rPr>
                <w:rFonts w:ascii="Calibri" w:eastAsia="Calibri" w:hAnsi="Calibri" w:cs="Calibri"/>
                <w:color w:val="000000"/>
                <w:sz w:val="20"/>
                <w:szCs w:val="20"/>
              </w:rPr>
              <w:t>w analizie ekonomicznej przychody (dotyczące dróg płatnych) nie są brane pod uwagę,</w:t>
            </w:r>
          </w:p>
          <w:p w14:paraId="0FEBAF92" w14:textId="77777777" w:rsidR="00600DEE" w:rsidRDefault="00641FB5" w:rsidP="00D5736B">
            <w:pPr>
              <w:numPr>
                <w:ilvl w:val="0"/>
                <w:numId w:val="54"/>
              </w:numPr>
              <w:pBdr>
                <w:top w:val="nil"/>
                <w:left w:val="nil"/>
                <w:bottom w:val="nil"/>
                <w:right w:val="nil"/>
                <w:between w:val="nil"/>
              </w:pBdr>
              <w:spacing w:before="120" w:after="120"/>
              <w:ind w:left="850" w:hanging="850"/>
              <w:jc w:val="both"/>
              <w:rPr>
                <w:rFonts w:ascii="Calibri" w:eastAsia="Calibri" w:hAnsi="Calibri" w:cs="Calibri"/>
                <w:color w:val="000000"/>
                <w:sz w:val="20"/>
                <w:szCs w:val="20"/>
              </w:rPr>
            </w:pPr>
            <w:r>
              <w:rPr>
                <w:rFonts w:ascii="Calibri" w:eastAsia="Calibri" w:hAnsi="Calibri" w:cs="Calibri"/>
                <w:color w:val="000000"/>
                <w:sz w:val="20"/>
                <w:szCs w:val="20"/>
              </w:rPr>
              <w:t>w ocenie trwałości finansowej inwestycji.</w:t>
            </w:r>
          </w:p>
          <w:p w14:paraId="5FBB28DD"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11. Wymagane dane wejściowe do analizy przychodów</w:t>
            </w:r>
          </w:p>
          <w:tbl>
            <w:tblPr>
              <w:tblStyle w:val="affe"/>
              <w:tblW w:w="7088" w:type="dxa"/>
              <w:tblBorders>
                <w:insideH w:val="single" w:sz="4" w:space="0" w:color="000000"/>
                <w:insideV w:val="single" w:sz="4" w:space="0" w:color="000000"/>
              </w:tblBorders>
              <w:tblLayout w:type="fixed"/>
              <w:tblLook w:val="0400" w:firstRow="0" w:lastRow="0" w:firstColumn="0" w:lastColumn="0" w:noHBand="0" w:noVBand="1"/>
            </w:tblPr>
            <w:tblGrid>
              <w:gridCol w:w="7088"/>
            </w:tblGrid>
            <w:tr w:rsidR="00600DEE" w:rsidRPr="000927FA" w14:paraId="6592EE43" w14:textId="77777777" w:rsidTr="000927FA">
              <w:trPr>
                <w:trHeight w:hRule="exact" w:val="1701"/>
              </w:trPr>
              <w:tc>
                <w:tcPr>
                  <w:tcW w:w="7088" w:type="dxa"/>
                  <w:shd w:val="clear" w:color="auto" w:fill="DBE5F1"/>
                  <w:vAlign w:val="center"/>
                </w:tcPr>
                <w:p w14:paraId="2A1B824C" w14:textId="77777777" w:rsidR="00600DEE" w:rsidRPr="00B802AC" w:rsidRDefault="00641FB5">
                  <w:pPr>
                    <w:numPr>
                      <w:ilvl w:val="0"/>
                      <w:numId w:val="3"/>
                    </w:numPr>
                    <w:spacing w:line="276" w:lineRule="auto"/>
                    <w:ind w:left="742" w:right="170" w:hanging="742"/>
                    <w:jc w:val="both"/>
                    <w:rPr>
                      <w:rFonts w:ascii="Calibri" w:eastAsia="Calibri" w:hAnsi="Calibri" w:cs="Calibri"/>
                      <w:bCs/>
                      <w:color w:val="4F81BD"/>
                      <w:sz w:val="20"/>
                      <w:szCs w:val="20"/>
                    </w:rPr>
                  </w:pPr>
                  <w:r w:rsidRPr="00B802AC">
                    <w:rPr>
                      <w:rFonts w:ascii="Calibri" w:eastAsia="Calibri" w:hAnsi="Calibri" w:cs="Calibri"/>
                      <w:bCs/>
                      <w:color w:val="4F81BD"/>
                      <w:sz w:val="20"/>
                      <w:szCs w:val="20"/>
                    </w:rPr>
                    <w:t>Sposób poboru opłat (zależny od odległości/ryczałt, system zamknięty/ otwarty, itp.)</w:t>
                  </w:r>
                </w:p>
                <w:p w14:paraId="7C62798B" w14:textId="77777777" w:rsidR="00600DEE" w:rsidRPr="00B802AC" w:rsidRDefault="00641FB5">
                  <w:pPr>
                    <w:numPr>
                      <w:ilvl w:val="0"/>
                      <w:numId w:val="3"/>
                    </w:numPr>
                    <w:spacing w:line="276" w:lineRule="auto"/>
                    <w:ind w:left="742" w:right="170" w:hanging="742"/>
                    <w:jc w:val="both"/>
                    <w:rPr>
                      <w:rFonts w:ascii="Calibri" w:eastAsia="Calibri" w:hAnsi="Calibri" w:cs="Calibri"/>
                      <w:bCs/>
                      <w:color w:val="4F81BD"/>
                      <w:sz w:val="20"/>
                      <w:szCs w:val="20"/>
                    </w:rPr>
                  </w:pPr>
                  <w:r w:rsidRPr="00B802AC">
                    <w:rPr>
                      <w:rFonts w:ascii="Calibri" w:eastAsia="Calibri" w:hAnsi="Calibri" w:cs="Calibri"/>
                      <w:bCs/>
                      <w:color w:val="4F81BD"/>
                      <w:sz w:val="20"/>
                      <w:szCs w:val="20"/>
                    </w:rPr>
                    <w:t>Poziom stawek opłat za km według kategorii opłat (a także odpowiednio uśredniony).</w:t>
                  </w:r>
                </w:p>
                <w:p w14:paraId="68DDC4D3" w14:textId="77777777" w:rsidR="00600DEE" w:rsidRPr="00B802AC" w:rsidRDefault="00641FB5">
                  <w:pPr>
                    <w:numPr>
                      <w:ilvl w:val="0"/>
                      <w:numId w:val="3"/>
                    </w:numPr>
                    <w:spacing w:line="276" w:lineRule="auto"/>
                    <w:ind w:left="742" w:right="170" w:hanging="742"/>
                    <w:jc w:val="both"/>
                    <w:rPr>
                      <w:rFonts w:ascii="Calibri" w:eastAsia="Calibri" w:hAnsi="Calibri" w:cs="Calibri"/>
                      <w:bCs/>
                      <w:color w:val="4F81BD"/>
                      <w:sz w:val="20"/>
                      <w:szCs w:val="20"/>
                    </w:rPr>
                  </w:pPr>
                  <w:r w:rsidRPr="00B802AC">
                    <w:rPr>
                      <w:rFonts w:ascii="Calibri" w:eastAsia="Calibri" w:hAnsi="Calibri" w:cs="Calibri"/>
                      <w:bCs/>
                      <w:color w:val="4F81BD"/>
                      <w:sz w:val="20"/>
                      <w:szCs w:val="20"/>
                    </w:rPr>
                    <w:t>Prace przewozowe według kategorii pojazdów.</w:t>
                  </w:r>
                </w:p>
                <w:p w14:paraId="1ED4D242" w14:textId="77777777" w:rsidR="00600DEE" w:rsidRPr="000927FA" w:rsidRDefault="00641FB5">
                  <w:pPr>
                    <w:numPr>
                      <w:ilvl w:val="0"/>
                      <w:numId w:val="3"/>
                    </w:numPr>
                    <w:spacing w:line="276" w:lineRule="auto"/>
                    <w:ind w:left="742" w:right="170" w:hanging="742"/>
                    <w:jc w:val="both"/>
                    <w:rPr>
                      <w:rFonts w:ascii="Calibri" w:eastAsia="Calibri" w:hAnsi="Calibri" w:cs="Calibri"/>
                      <w:b/>
                      <w:bCs/>
                      <w:color w:val="323299"/>
                      <w:sz w:val="20"/>
                      <w:szCs w:val="20"/>
                    </w:rPr>
                  </w:pPr>
                  <w:r w:rsidRPr="00B802AC">
                    <w:rPr>
                      <w:rFonts w:ascii="Calibri" w:eastAsia="Calibri" w:hAnsi="Calibri" w:cs="Calibri"/>
                      <w:bCs/>
                      <w:color w:val="4F81BD"/>
                      <w:sz w:val="20"/>
                      <w:szCs w:val="20"/>
                    </w:rPr>
                    <w:t>Inne przychody (np. opłaty za dzierżawę MOP).</w:t>
                  </w:r>
                </w:p>
              </w:tc>
            </w:tr>
          </w:tbl>
          <w:p w14:paraId="50CB7AB2" w14:textId="77777777" w:rsidR="00600DEE" w:rsidRPr="000927FA" w:rsidRDefault="00641FB5">
            <w:pPr>
              <w:pBdr>
                <w:top w:val="nil"/>
                <w:left w:val="nil"/>
                <w:bottom w:val="nil"/>
                <w:right w:val="nil"/>
                <w:between w:val="nil"/>
              </w:pBdr>
              <w:spacing w:before="120" w:after="0"/>
              <w:jc w:val="both"/>
              <w:rPr>
                <w:rFonts w:ascii="Calibri" w:eastAsia="Calibri" w:hAnsi="Calibri" w:cs="Calibri"/>
                <w:b/>
                <w:bCs/>
                <w:color w:val="000000"/>
                <w:sz w:val="20"/>
                <w:szCs w:val="20"/>
              </w:rPr>
            </w:pPr>
            <w:r w:rsidRPr="000927FA">
              <w:rPr>
                <w:rFonts w:ascii="Calibri" w:eastAsia="Calibri" w:hAnsi="Calibri" w:cs="Calibri"/>
                <w:b/>
                <w:bCs/>
                <w:i/>
                <w:color w:val="000000"/>
                <w:sz w:val="16"/>
                <w:szCs w:val="16"/>
              </w:rPr>
              <w:t>Źródło: opracowanie własne.</w:t>
            </w:r>
          </w:p>
          <w:p w14:paraId="292EF04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zaznaczyć, że polityka kształtowania stawek i zróżnicowania pomiędzy różnymi kategoriami pojazdów powinna być przejrzysta i powszechnie dostępna. </w:t>
            </w:r>
          </w:p>
          <w:p w14:paraId="08C3D58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Stawki opłat elektronicznych (ETC) na drogach krajowych stosuje się obecnie dla następujących kategorii pojazdów, z uwzględnieniem różnych poziomów opłat za przejazd w zależności od kategorii emisji spalin (klasy EURO):</w:t>
            </w:r>
          </w:p>
          <w:p w14:paraId="5BE3E67F"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color w:val="000000"/>
                <w:sz w:val="20"/>
                <w:szCs w:val="20"/>
              </w:rPr>
              <w:t>pojazdy o dopuszczalnej masie całkowitej powyżej 3,5 tony i poniżej 12 ton,</w:t>
            </w:r>
          </w:p>
          <w:p w14:paraId="510E8E65"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color w:val="000000"/>
                <w:sz w:val="20"/>
                <w:szCs w:val="20"/>
              </w:rPr>
              <w:t>pojazdy o dopuszczalnej masie całkowitej, co najmniej 12 ton,</w:t>
            </w:r>
          </w:p>
          <w:p w14:paraId="3679A6FD"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color w:val="000000"/>
                <w:sz w:val="20"/>
                <w:szCs w:val="20"/>
              </w:rPr>
              <w:t>autobusy niezależnie od ich dopuszczalnej masy całkowitej.</w:t>
            </w:r>
          </w:p>
          <w:p w14:paraId="7407F9C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Przypisanie kategorii pojazdów systemu ETC do kategorii pojazdów uwzględnianych w prognozie wspomniane powyżej powinno być następujące: SC (samochody ciężarowe bez przyczep) – pierwsza kategoria ETC opisana powyżej, </w:t>
            </w:r>
            <w:proofErr w:type="spellStart"/>
            <w:r>
              <w:rPr>
                <w:rFonts w:ascii="Calibri" w:eastAsia="Calibri" w:hAnsi="Calibri" w:cs="Calibri"/>
                <w:color w:val="000000"/>
                <w:sz w:val="20"/>
                <w:szCs w:val="20"/>
              </w:rPr>
              <w:t>SCp</w:t>
            </w:r>
            <w:proofErr w:type="spellEnd"/>
            <w:r>
              <w:rPr>
                <w:rFonts w:ascii="Calibri" w:eastAsia="Calibri" w:hAnsi="Calibri" w:cs="Calibri"/>
                <w:color w:val="000000"/>
                <w:sz w:val="20"/>
                <w:szCs w:val="20"/>
              </w:rPr>
              <w:t xml:space="preserve"> (samochody ciężarowe z przyczepami) – druga kategoria i A (autobusy), – trzecia.</w:t>
            </w:r>
          </w:p>
          <w:p w14:paraId="7105EDC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Dopuszcza się także podział na inne kategorie pojazdów przy przedstawianiu wyników prognozy, na przykład:</w:t>
            </w:r>
          </w:p>
          <w:p w14:paraId="0B80DFC4"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b/>
                <w:color w:val="000000"/>
                <w:sz w:val="20"/>
                <w:szCs w:val="20"/>
              </w:rPr>
              <w:t>LV</w:t>
            </w:r>
            <w:r>
              <w:rPr>
                <w:rFonts w:ascii="Calibri" w:eastAsia="Calibri" w:hAnsi="Calibri" w:cs="Calibri"/>
                <w:color w:val="000000"/>
                <w:sz w:val="20"/>
                <w:szCs w:val="20"/>
              </w:rPr>
              <w:t xml:space="preserve"> – samochody lekkie, masa całkowita &lt; 3,5 tony</w:t>
            </w:r>
          </w:p>
          <w:p w14:paraId="6A151347"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b/>
                <w:color w:val="000000"/>
                <w:sz w:val="20"/>
                <w:szCs w:val="20"/>
              </w:rPr>
              <w:t xml:space="preserve">HGV </w:t>
            </w:r>
            <w:r>
              <w:rPr>
                <w:rFonts w:ascii="Calibri" w:eastAsia="Calibri" w:hAnsi="Calibri" w:cs="Calibri"/>
                <w:color w:val="000000"/>
                <w:sz w:val="20"/>
                <w:szCs w:val="20"/>
              </w:rPr>
              <w:t xml:space="preserve"> – samochody ciężkie, masa całkowita &gt; 3,5 tony (w tym autobusy);</w:t>
            </w:r>
          </w:p>
          <w:p w14:paraId="45918A0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HGV obejmuje wszystkie wspomniane powyżej kategorie pojazdów objętych opłatami ETC.</w:t>
            </w:r>
          </w:p>
          <w:p w14:paraId="7B68CBFD"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tbl>
            <w:tblPr>
              <w:tblStyle w:val="afff"/>
              <w:tblW w:w="7088" w:type="dxa"/>
              <w:tblBorders>
                <w:insideH w:val="single" w:sz="4" w:space="0" w:color="000000"/>
                <w:insideV w:val="single" w:sz="4" w:space="0" w:color="000000"/>
              </w:tblBorders>
              <w:tblLayout w:type="fixed"/>
              <w:tblLook w:val="0400" w:firstRow="0" w:lastRow="0" w:firstColumn="0" w:lastColumn="0" w:noHBand="0" w:noVBand="1"/>
            </w:tblPr>
            <w:tblGrid>
              <w:gridCol w:w="7088"/>
            </w:tblGrid>
            <w:tr w:rsidR="00600DEE" w:rsidRPr="007463B9" w14:paraId="0CC11C53" w14:textId="77777777">
              <w:trPr>
                <w:trHeight w:val="297"/>
              </w:trPr>
              <w:tc>
                <w:tcPr>
                  <w:tcW w:w="7088" w:type="dxa"/>
                  <w:shd w:val="clear" w:color="auto" w:fill="DBE5F1"/>
                </w:tcPr>
                <w:p w14:paraId="7E669182" w14:textId="77777777" w:rsidR="00600DEE" w:rsidRDefault="00641FB5">
                  <w:pPr>
                    <w:ind w:right="170"/>
                    <w:jc w:val="center"/>
                    <w:rPr>
                      <w:rFonts w:ascii="Calibri" w:eastAsia="Calibri" w:hAnsi="Calibri" w:cs="Calibri"/>
                      <w:b/>
                      <w:color w:val="4F81BD"/>
                      <w:sz w:val="20"/>
                      <w:szCs w:val="20"/>
                    </w:rPr>
                  </w:pPr>
                  <w:r>
                    <w:rPr>
                      <w:rFonts w:ascii="Calibri" w:eastAsia="Calibri" w:hAnsi="Calibri" w:cs="Calibri"/>
                      <w:b/>
                      <w:color w:val="4F81BD"/>
                      <w:sz w:val="20"/>
                      <w:szCs w:val="20"/>
                    </w:rPr>
                    <w:t>Polityka opłat w sektorze dróg i zasada zanieczyszczający płaci</w:t>
                  </w:r>
                </w:p>
                <w:p w14:paraId="3FE917F2" w14:textId="77777777" w:rsidR="00600DEE" w:rsidRDefault="00600DEE">
                  <w:pPr>
                    <w:ind w:right="170"/>
                    <w:jc w:val="both"/>
                    <w:rPr>
                      <w:rFonts w:ascii="Calibri" w:eastAsia="Calibri" w:hAnsi="Calibri" w:cs="Calibri"/>
                      <w:color w:val="4F81BD"/>
                      <w:sz w:val="20"/>
                      <w:szCs w:val="20"/>
                    </w:rPr>
                  </w:pPr>
                </w:p>
                <w:p w14:paraId="6C487228" w14:textId="77777777" w:rsidR="00600DEE" w:rsidRDefault="00641FB5">
                  <w:pPr>
                    <w:spacing w:after="120"/>
                    <w:ind w:right="170"/>
                    <w:jc w:val="both"/>
                    <w:rPr>
                      <w:rFonts w:ascii="Calibri" w:eastAsia="Calibri" w:hAnsi="Calibri" w:cs="Calibri"/>
                      <w:color w:val="4F81BD"/>
                      <w:sz w:val="18"/>
                      <w:szCs w:val="18"/>
                    </w:rPr>
                  </w:pPr>
                  <w:r>
                    <w:rPr>
                      <w:rFonts w:ascii="Calibri" w:eastAsia="Calibri" w:hAnsi="Calibri" w:cs="Calibri"/>
                      <w:color w:val="4F81BD"/>
                      <w:sz w:val="18"/>
                      <w:szCs w:val="18"/>
                    </w:rPr>
                    <w:t xml:space="preserve">Beneficjent powinien opisać, w jakim stopniu projekt respektuje zasadę „zanieczyszczający płaci” (bez względu na to, jakie na nim samym spoczywają obowiązki w tym zakresie). Jeśli zasada ta polegająca na zapobieganiu i korygowaniu szkód w środowisku jest przestrzegana od początku, na etapie projektu budowlanego (w tym w ramach procedury OOŚ), to zasada „zanieczyszczający płaci” będzie realizowana poprzez opłaty lub koszty ponoszone przez użytkowników w fazie eksploatacji projektu. </w:t>
                  </w:r>
                </w:p>
                <w:p w14:paraId="3250612B" w14:textId="77777777" w:rsidR="00600DEE" w:rsidRDefault="00641FB5">
                  <w:pPr>
                    <w:spacing w:before="120"/>
                    <w:ind w:right="170"/>
                    <w:jc w:val="both"/>
                    <w:rPr>
                      <w:rFonts w:ascii="Calibri" w:eastAsia="Calibri" w:hAnsi="Calibri" w:cs="Calibri"/>
                      <w:color w:val="4F81BD"/>
                      <w:sz w:val="18"/>
                      <w:szCs w:val="18"/>
                    </w:rPr>
                  </w:pPr>
                  <w:r>
                    <w:rPr>
                      <w:rFonts w:ascii="Calibri" w:eastAsia="Calibri" w:hAnsi="Calibri" w:cs="Calibri"/>
                      <w:color w:val="4F81BD"/>
                      <w:sz w:val="18"/>
                      <w:szCs w:val="18"/>
                    </w:rPr>
                    <w:t xml:space="preserve">Zasada „zanieczyszczający płaci” może być rozumiana jako systemy cenowe obejmujące zewnętrzne koszty środowiskowe, a także koszty zużycia i eksploatacji infrastruktury, </w:t>
                  </w:r>
                  <w:r>
                    <w:rPr>
                      <w:rFonts w:ascii="Calibri" w:eastAsia="Calibri" w:hAnsi="Calibri" w:cs="Calibri"/>
                      <w:color w:val="4F81BD"/>
                      <w:sz w:val="18"/>
                      <w:szCs w:val="18"/>
                    </w:rPr>
                    <w:br/>
                    <w:t>w zależności od funkcjonujących systemów krajowych i „zasad sprawiedliwości powiązanych ze względną zamożnością danego państwa członkowskiego lub regionu” (WE, 2013). Koszty środowiskowe transportu są najlepiej zinternalizowane za pomocą narzędzi takich, jak opodatkowanie paliwa, podczas gdy koszty związane z korzystaniem z infrastruktury na niektórych drogach najskuteczniej są odzyskiwane przez opłaty zależne od przebytych odległości (myto) lub opłaty czasowe (winiety). Ponadto, w niektórych krajach raz w roku lub przy zakupie pojazdu, nakładane są podatki samochodowe lub drogowe.</w:t>
                  </w:r>
                </w:p>
                <w:p w14:paraId="50AC732E" w14:textId="77777777" w:rsidR="00600DEE" w:rsidRDefault="00641FB5">
                  <w:pPr>
                    <w:spacing w:before="120"/>
                    <w:ind w:right="170"/>
                    <w:jc w:val="both"/>
                    <w:rPr>
                      <w:rFonts w:ascii="Calibri" w:eastAsia="Calibri" w:hAnsi="Calibri" w:cs="Calibri"/>
                      <w:color w:val="4F81BD"/>
                      <w:sz w:val="18"/>
                      <w:szCs w:val="18"/>
                    </w:rPr>
                  </w:pPr>
                  <w:r>
                    <w:rPr>
                      <w:rFonts w:ascii="Calibri" w:eastAsia="Calibri" w:hAnsi="Calibri" w:cs="Calibri"/>
                      <w:color w:val="4F81BD"/>
                      <w:sz w:val="18"/>
                      <w:szCs w:val="18"/>
                    </w:rPr>
                    <w:lastRenderedPageBreak/>
                    <w:t>Zgodnie z prawodawstwem UE, pobieranie opłat w przypadku transportu drogowego jest dobrowolne. Tylko niektóre drogi TEN-T i autostrady są przedmiotem opłat uzależnionych od przebytej odległości, podczas gdy inne są objęte systemem winiet czasowych, a jeszcze inne są wolne od jakichkolwiek opłat. Nakładanie opłat drogowych od pojazdów ciężarowych (HGV) na sieci TEN-T i autostrad jest regulowane na poziomie UE (przepisy mające zastosowanie w Polsce), podczas gdy obecnie nie istnieją ramy legislacyjne dla samochodów osobowych, dostawczych i motocykli.</w:t>
                  </w:r>
                </w:p>
                <w:p w14:paraId="02CB8D46" w14:textId="77777777" w:rsidR="00600DEE" w:rsidRDefault="00641FB5">
                  <w:pPr>
                    <w:spacing w:before="120"/>
                    <w:ind w:right="170"/>
                    <w:jc w:val="both"/>
                    <w:rPr>
                      <w:rFonts w:ascii="Calibri" w:eastAsia="Calibri" w:hAnsi="Calibri" w:cs="Calibri"/>
                      <w:color w:val="4F81BD"/>
                      <w:sz w:val="20"/>
                      <w:szCs w:val="20"/>
                    </w:rPr>
                  </w:pPr>
                  <w:r>
                    <w:rPr>
                      <w:rFonts w:ascii="Calibri" w:eastAsia="Calibri" w:hAnsi="Calibri" w:cs="Calibri"/>
                      <w:color w:val="4F81BD"/>
                      <w:sz w:val="18"/>
                      <w:szCs w:val="18"/>
                    </w:rPr>
                    <w:t>Podsumowując, w związku z powyższym, Beneficjent powinien wyjaśnić stosowanie zasady „zanieczyszczający płaci” w ramach systemu nakładania opłat za użytkowanie projektu (tj. internalizacji kosztów zewnętrznych oraz kosztów zużycia) i / lub opisać istniejące narzędzia na poziomie krajowym umożliwiające zwrot głównych kosztów zewnętrznych dla projektów finansowanych z UE, jak również związane z projektem aspekty stabilności finansowej przedsięwzięcia.</w:t>
                  </w:r>
                </w:p>
                <w:p w14:paraId="55F75693" w14:textId="77777777" w:rsidR="00600DEE" w:rsidRPr="0045151D" w:rsidRDefault="00641FB5">
                  <w:pPr>
                    <w:spacing w:before="120"/>
                    <w:ind w:right="170"/>
                    <w:jc w:val="both"/>
                    <w:rPr>
                      <w:rFonts w:ascii="Calibri" w:eastAsia="Calibri" w:hAnsi="Calibri" w:cs="Calibri"/>
                      <w:color w:val="4F81BD"/>
                      <w:sz w:val="20"/>
                      <w:szCs w:val="20"/>
                      <w:lang w:val="en-GB"/>
                    </w:rPr>
                  </w:pPr>
                  <w:proofErr w:type="spellStart"/>
                  <w:r w:rsidRPr="0045151D">
                    <w:rPr>
                      <w:rFonts w:ascii="Calibri" w:eastAsia="Calibri" w:hAnsi="Calibri" w:cs="Calibri"/>
                      <w:color w:val="4F81BD"/>
                      <w:sz w:val="16"/>
                      <w:szCs w:val="16"/>
                      <w:lang w:val="en-GB"/>
                    </w:rPr>
                    <w:t>Źródła</w:t>
                  </w:r>
                  <w:proofErr w:type="spellEnd"/>
                  <w:r w:rsidRPr="0045151D">
                    <w:rPr>
                      <w:rFonts w:ascii="Calibri" w:eastAsia="Calibri" w:hAnsi="Calibri" w:cs="Calibri"/>
                      <w:color w:val="4F81BD"/>
                      <w:sz w:val="16"/>
                      <w:szCs w:val="16"/>
                      <w:lang w:val="en-GB"/>
                    </w:rPr>
                    <w:t>: European Commission (2012), Background document for the public consultation on the charging of the use of road infrastructure, DG for Mobility and Transport and European Commission (2013), Assessing the projects on the ESFRI roadmap’ a high level expert group report, DG for Research and Innovation.</w:t>
                  </w:r>
                </w:p>
              </w:tc>
            </w:tr>
          </w:tbl>
          <w:p w14:paraId="67685B3D"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c>
          <w:tcPr>
            <w:tcW w:w="7230" w:type="dxa"/>
            <w:tcBorders>
              <w:left w:val="single" w:sz="4" w:space="0" w:color="auto"/>
            </w:tcBorders>
            <w:tcMar>
              <w:left w:w="284" w:type="dxa"/>
              <w:right w:w="284" w:type="dxa"/>
            </w:tcMar>
          </w:tcPr>
          <w:tbl>
            <w:tblPr>
              <w:tblStyle w:val="afff0"/>
              <w:tblW w:w="6929" w:type="dxa"/>
              <w:tblBorders>
                <w:insideH w:val="single" w:sz="4" w:space="0" w:color="000000"/>
                <w:insideV w:val="single" w:sz="4" w:space="0" w:color="000000"/>
              </w:tblBorders>
              <w:tblLayout w:type="fixed"/>
              <w:tblLook w:val="0400" w:firstRow="0" w:lastRow="0" w:firstColumn="0" w:lastColumn="0" w:noHBand="0" w:noVBand="1"/>
            </w:tblPr>
            <w:tblGrid>
              <w:gridCol w:w="6929"/>
            </w:tblGrid>
            <w:tr w:rsidR="00600DEE" w:rsidRPr="007463B9" w14:paraId="0654212D" w14:textId="77777777" w:rsidTr="000927FA">
              <w:trPr>
                <w:trHeight w:hRule="exact" w:val="1134"/>
              </w:trPr>
              <w:tc>
                <w:tcPr>
                  <w:tcW w:w="6929" w:type="dxa"/>
                  <w:shd w:val="clear" w:color="auto" w:fill="DBE5F1"/>
                  <w:vAlign w:val="center"/>
                </w:tcPr>
                <w:p w14:paraId="5C460C56" w14:textId="77777777" w:rsidR="00600DEE" w:rsidRPr="0045151D" w:rsidRDefault="00641FB5" w:rsidP="00DA7241">
                  <w:pPr>
                    <w:spacing w:before="120" w:line="276" w:lineRule="auto"/>
                    <w:ind w:right="89"/>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For the purpose of co-funding calculation in toll road projects, revenues will basically include direct payments made by users, i.e. tolls and service area rents.</w:t>
                  </w:r>
                </w:p>
              </w:tc>
            </w:tr>
          </w:tbl>
          <w:p w14:paraId="64897E55" w14:textId="77777777" w:rsidR="00600DEE" w:rsidRPr="0045151D" w:rsidRDefault="00641FB5">
            <w:pPr>
              <w:pBdr>
                <w:top w:val="nil"/>
                <w:left w:val="nil"/>
                <w:bottom w:val="nil"/>
                <w:right w:val="nil"/>
                <w:between w:val="nil"/>
              </w:pBdr>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toll system revenues analysis should be made by evaluating the revenues considering different toll levels for individual vehicle categories (toll categories, in accordance with the respective regulation of the competent Minister).</w:t>
            </w:r>
          </w:p>
          <w:p w14:paraId="09C06B8F" w14:textId="77777777" w:rsidR="00600DEE" w:rsidRPr="0045151D" w:rsidRDefault="00641FB5">
            <w:pPr>
              <w:pBdr>
                <w:top w:val="nil"/>
                <w:left w:val="nil"/>
                <w:bottom w:val="nil"/>
                <w:right w:val="nil"/>
                <w:between w:val="nil"/>
              </w:pBdr>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Toll rates and revenue analyses should be prepared in constant prices without inflation. (NB: the same rates should be used in the network traffic distribution model.)</w:t>
            </w:r>
          </w:p>
          <w:p w14:paraId="35EAF6E9" w14:textId="77777777" w:rsidR="00600DEE" w:rsidRPr="0045151D" w:rsidRDefault="00641FB5">
            <w:pPr>
              <w:pBdr>
                <w:top w:val="nil"/>
                <w:left w:val="nil"/>
                <w:bottom w:val="nil"/>
                <w:right w:val="nil"/>
                <w:between w:val="nil"/>
              </w:pBdr>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Revenues will be taken into account at several stages of road project appraisal, for example:</w:t>
            </w:r>
          </w:p>
          <w:p w14:paraId="120F17B2" w14:textId="77777777" w:rsidR="00600DEE" w:rsidRPr="0045151D" w:rsidRDefault="00641FB5" w:rsidP="00D5736B">
            <w:pPr>
              <w:numPr>
                <w:ilvl w:val="0"/>
                <w:numId w:val="82"/>
              </w:numPr>
              <w:pBdr>
                <w:top w:val="nil"/>
                <w:left w:val="nil"/>
                <w:bottom w:val="nil"/>
                <w:right w:val="nil"/>
                <w:between w:val="nil"/>
              </w:pBdr>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financial analysis to calculate the discounted net revenue, when calculation of financing gap  and co-financing amount is considered,</w:t>
            </w:r>
          </w:p>
          <w:p w14:paraId="680CD357" w14:textId="77777777" w:rsidR="00600DEE" w:rsidRPr="0045151D" w:rsidRDefault="00641FB5" w:rsidP="00D5736B">
            <w:pPr>
              <w:numPr>
                <w:ilvl w:val="0"/>
                <w:numId w:val="82"/>
              </w:numPr>
              <w:pBdr>
                <w:top w:val="nil"/>
                <w:left w:val="nil"/>
                <w:bottom w:val="nil"/>
                <w:right w:val="nil"/>
                <w:between w:val="nil"/>
              </w:pBdr>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economic analysis revenues (for toll roads) are not considered,</w:t>
            </w:r>
          </w:p>
          <w:p w14:paraId="4F149BFA" w14:textId="77777777" w:rsidR="00600DEE" w:rsidRPr="0045151D" w:rsidRDefault="00641FB5" w:rsidP="00D5736B">
            <w:pPr>
              <w:numPr>
                <w:ilvl w:val="0"/>
                <w:numId w:val="82"/>
              </w:numPr>
              <w:pBdr>
                <w:top w:val="nil"/>
                <w:left w:val="nil"/>
                <w:bottom w:val="nil"/>
                <w:right w:val="nil"/>
                <w:between w:val="nil"/>
              </w:pBdr>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financial sustainability assessment.</w:t>
            </w:r>
          </w:p>
          <w:p w14:paraId="64B0AAD2" w14:textId="77777777" w:rsidR="00600DEE" w:rsidRPr="0045151D" w:rsidRDefault="00600DEE">
            <w:pPr>
              <w:pBdr>
                <w:top w:val="nil"/>
                <w:left w:val="nil"/>
                <w:bottom w:val="nil"/>
                <w:right w:val="nil"/>
                <w:between w:val="nil"/>
              </w:pBdr>
              <w:spacing w:before="120" w:after="0"/>
              <w:ind w:left="567"/>
              <w:jc w:val="both"/>
              <w:rPr>
                <w:rFonts w:ascii="Calibri" w:eastAsia="Calibri" w:hAnsi="Calibri" w:cs="Calibri"/>
                <w:color w:val="000000"/>
                <w:sz w:val="20"/>
                <w:szCs w:val="20"/>
                <w:lang w:val="en-GB"/>
              </w:rPr>
            </w:pPr>
          </w:p>
          <w:p w14:paraId="65744F46" w14:textId="77777777" w:rsidR="00600DEE" w:rsidRPr="0045151D" w:rsidRDefault="00600DEE" w:rsidP="00DF6B9D">
            <w:pPr>
              <w:pBdr>
                <w:top w:val="nil"/>
                <w:left w:val="nil"/>
                <w:bottom w:val="nil"/>
                <w:right w:val="nil"/>
                <w:between w:val="nil"/>
              </w:pBdr>
              <w:spacing w:before="0" w:after="240"/>
              <w:jc w:val="both"/>
              <w:rPr>
                <w:rFonts w:ascii="Calibri" w:eastAsia="Calibri" w:hAnsi="Calibri" w:cs="Calibri"/>
                <w:b/>
                <w:color w:val="4F81BD"/>
                <w:sz w:val="20"/>
                <w:szCs w:val="20"/>
                <w:lang w:val="en-GB"/>
              </w:rPr>
            </w:pPr>
          </w:p>
          <w:p w14:paraId="3A12101D" w14:textId="77777777" w:rsidR="00600DEE" w:rsidRPr="0045151D" w:rsidRDefault="00641FB5">
            <w:pPr>
              <w:pBdr>
                <w:top w:val="nil"/>
                <w:left w:val="nil"/>
                <w:bottom w:val="nil"/>
                <w:right w:val="nil"/>
                <w:between w:val="nil"/>
              </w:pBdr>
              <w:spacing w:before="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11. Required inputs for revenues analysis</w:t>
            </w:r>
          </w:p>
          <w:tbl>
            <w:tblPr>
              <w:tblStyle w:val="afff1"/>
              <w:tblW w:w="7022" w:type="dxa"/>
              <w:tblBorders>
                <w:insideH w:val="single" w:sz="4" w:space="0" w:color="000000"/>
                <w:insideV w:val="single" w:sz="4" w:space="0" w:color="000000"/>
              </w:tblBorders>
              <w:tblLayout w:type="fixed"/>
              <w:tblLook w:val="0400" w:firstRow="0" w:lastRow="0" w:firstColumn="0" w:lastColumn="0" w:noHBand="0" w:noVBand="1"/>
            </w:tblPr>
            <w:tblGrid>
              <w:gridCol w:w="7022"/>
            </w:tblGrid>
            <w:tr w:rsidR="00600DEE" w:rsidRPr="007463B9" w14:paraId="6EA88595" w14:textId="77777777" w:rsidTr="000927FA">
              <w:trPr>
                <w:trHeight w:hRule="exact" w:val="1701"/>
              </w:trPr>
              <w:tc>
                <w:tcPr>
                  <w:tcW w:w="7022" w:type="dxa"/>
                  <w:shd w:val="clear" w:color="auto" w:fill="DBE5F1"/>
                  <w:vAlign w:val="center"/>
                </w:tcPr>
                <w:p w14:paraId="620100A6" w14:textId="77777777" w:rsidR="00600DEE" w:rsidRPr="0045151D" w:rsidRDefault="00641FB5">
                  <w:pPr>
                    <w:numPr>
                      <w:ilvl w:val="0"/>
                      <w:numId w:val="3"/>
                    </w:numPr>
                    <w:spacing w:line="276" w:lineRule="auto"/>
                    <w:ind w:left="754" w:right="170" w:hanging="754"/>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Toll collection system (km based/lump sum, open/closed system, etc.)</w:t>
                  </w:r>
                </w:p>
                <w:p w14:paraId="5B82D185" w14:textId="77777777" w:rsidR="00600DEE" w:rsidRPr="0045151D" w:rsidRDefault="00641FB5">
                  <w:pPr>
                    <w:numPr>
                      <w:ilvl w:val="0"/>
                      <w:numId w:val="3"/>
                    </w:numPr>
                    <w:spacing w:line="276" w:lineRule="auto"/>
                    <w:ind w:left="754" w:right="170" w:hanging="754"/>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Toll rates per km in each toll category (and adequate average).</w:t>
                  </w:r>
                </w:p>
                <w:p w14:paraId="44ACC6C3" w14:textId="77777777" w:rsidR="00600DEE" w:rsidRPr="0045151D" w:rsidRDefault="00641FB5">
                  <w:pPr>
                    <w:numPr>
                      <w:ilvl w:val="0"/>
                      <w:numId w:val="3"/>
                    </w:numPr>
                    <w:spacing w:line="276" w:lineRule="auto"/>
                    <w:ind w:left="754" w:right="170" w:hanging="754"/>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Transport work per vehicle category.</w:t>
                  </w:r>
                </w:p>
                <w:p w14:paraId="335212D0" w14:textId="77777777" w:rsidR="00600DEE" w:rsidRPr="0045151D" w:rsidRDefault="00641FB5">
                  <w:pPr>
                    <w:numPr>
                      <w:ilvl w:val="0"/>
                      <w:numId w:val="3"/>
                    </w:numPr>
                    <w:spacing w:line="276" w:lineRule="auto"/>
                    <w:ind w:left="754" w:right="170" w:hanging="754"/>
                    <w:jc w:val="both"/>
                    <w:rPr>
                      <w:rFonts w:ascii="Calibri" w:eastAsia="Calibri" w:hAnsi="Calibri" w:cs="Calibri"/>
                      <w:color w:val="323299"/>
                      <w:sz w:val="20"/>
                      <w:szCs w:val="20"/>
                      <w:lang w:val="en-GB"/>
                    </w:rPr>
                  </w:pPr>
                  <w:r w:rsidRPr="0045151D">
                    <w:rPr>
                      <w:rFonts w:ascii="Calibri" w:eastAsia="Calibri" w:hAnsi="Calibri" w:cs="Calibri"/>
                      <w:color w:val="4F81BD"/>
                      <w:sz w:val="20"/>
                      <w:szCs w:val="20"/>
                      <w:lang w:val="en-GB"/>
                    </w:rPr>
                    <w:t>Other revenues (e.g. service area rent).</w:t>
                  </w:r>
                </w:p>
              </w:tc>
            </w:tr>
          </w:tbl>
          <w:p w14:paraId="5219A508" w14:textId="77777777" w:rsidR="00600DEE" w:rsidRPr="0045151D" w:rsidRDefault="00641FB5">
            <w:pPr>
              <w:pBdr>
                <w:top w:val="nil"/>
                <w:left w:val="nil"/>
                <w:bottom w:val="nil"/>
                <w:right w:val="nil"/>
                <w:between w:val="nil"/>
              </w:pBdr>
              <w:spacing w:before="120" w:after="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3CDD0025" w14:textId="77777777" w:rsidR="00600DEE" w:rsidRPr="0045151D" w:rsidRDefault="00641FB5">
            <w:pPr>
              <w:pBdr>
                <w:top w:val="nil"/>
                <w:left w:val="nil"/>
                <w:bottom w:val="nil"/>
                <w:right w:val="nil"/>
                <w:between w:val="nil"/>
              </w:pBdr>
              <w:tabs>
                <w:tab w:val="left" w:pos="0"/>
              </w:tabs>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NB: policies of tolling and of differentiating vehicle categories should be transparent and publicly available. </w:t>
            </w:r>
          </w:p>
          <w:p w14:paraId="055B55ED" w14:textId="77777777" w:rsidR="00600DEE" w:rsidRPr="0045151D" w:rsidRDefault="00641FB5">
            <w:pPr>
              <w:pBdr>
                <w:top w:val="nil"/>
                <w:left w:val="nil"/>
                <w:bottom w:val="nil"/>
                <w:right w:val="nil"/>
                <w:between w:val="nil"/>
              </w:pBdr>
              <w:tabs>
                <w:tab w:val="left" w:pos="0"/>
              </w:tabs>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Electronic Toll Collection (ETC) rates on national roads apply currently to the following categories of vehicles (fees differ depending on exhaust emission limits, EURO class):</w:t>
            </w:r>
          </w:p>
          <w:p w14:paraId="1BFC0758" w14:textId="77777777" w:rsidR="00600DEE" w:rsidRPr="0045151D" w:rsidRDefault="00641FB5" w:rsidP="00D5736B">
            <w:pPr>
              <w:numPr>
                <w:ilvl w:val="1"/>
                <w:numId w:val="82"/>
              </w:numPr>
              <w:pBdr>
                <w:top w:val="nil"/>
                <w:left w:val="nil"/>
                <w:bottom w:val="nil"/>
                <w:right w:val="nil"/>
                <w:between w:val="nil"/>
              </w:pBdr>
              <w:tabs>
                <w:tab w:val="left" w:pos="6662"/>
              </w:tabs>
              <w:spacing w:before="120" w:after="0"/>
              <w:ind w:left="8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vehicles with gross weight over 3.5 tonnes and less than 12 tonnes,</w:t>
            </w:r>
          </w:p>
          <w:p w14:paraId="2EB26ED2" w14:textId="77777777" w:rsidR="00600DEE" w:rsidRPr="0045151D" w:rsidRDefault="00641FB5" w:rsidP="00D5736B">
            <w:pPr>
              <w:numPr>
                <w:ilvl w:val="1"/>
                <w:numId w:val="82"/>
              </w:numPr>
              <w:pBdr>
                <w:top w:val="nil"/>
                <w:left w:val="nil"/>
                <w:bottom w:val="nil"/>
                <w:right w:val="nil"/>
                <w:between w:val="nil"/>
              </w:pBdr>
              <w:tabs>
                <w:tab w:val="left" w:pos="6662"/>
              </w:tabs>
              <w:spacing w:before="120" w:after="0"/>
              <w:ind w:left="8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vehicles with gross weight of at least 12 tonnes,</w:t>
            </w:r>
          </w:p>
          <w:p w14:paraId="0E523C71" w14:textId="77777777" w:rsidR="00600DEE" w:rsidRPr="0045151D" w:rsidRDefault="00641FB5" w:rsidP="00D5736B">
            <w:pPr>
              <w:numPr>
                <w:ilvl w:val="1"/>
                <w:numId w:val="82"/>
              </w:numPr>
              <w:pBdr>
                <w:top w:val="nil"/>
                <w:left w:val="nil"/>
                <w:bottom w:val="nil"/>
                <w:right w:val="nil"/>
                <w:between w:val="nil"/>
              </w:pBdr>
              <w:tabs>
                <w:tab w:val="left" w:pos="6662"/>
              </w:tabs>
              <w:spacing w:before="120" w:after="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buses regardless of their gross weight.</w:t>
            </w:r>
          </w:p>
          <w:p w14:paraId="03E57FD7" w14:textId="77777777" w:rsidR="00600DEE" w:rsidRPr="0045151D" w:rsidRDefault="00641FB5">
            <w:pPr>
              <w:tabs>
                <w:tab w:val="left" w:pos="0"/>
              </w:tabs>
              <w:spacing w:after="120"/>
              <w:ind w:right="-284"/>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relation between ETC vehicle categories and the traffic forecast categories mentioned above should be as follows: SC (trucks without trailers) corresponds to the first category above, </w:t>
            </w:r>
            <w:proofErr w:type="spellStart"/>
            <w:r w:rsidRPr="0045151D">
              <w:rPr>
                <w:rFonts w:ascii="Calibri" w:eastAsia="Calibri" w:hAnsi="Calibri" w:cs="Calibri"/>
                <w:sz w:val="20"/>
                <w:szCs w:val="20"/>
                <w:lang w:val="en-GB"/>
              </w:rPr>
              <w:t>SCp</w:t>
            </w:r>
            <w:proofErr w:type="spellEnd"/>
            <w:r w:rsidRPr="0045151D">
              <w:rPr>
                <w:rFonts w:ascii="Calibri" w:eastAsia="Calibri" w:hAnsi="Calibri" w:cs="Calibri"/>
                <w:sz w:val="20"/>
                <w:szCs w:val="20"/>
                <w:lang w:val="en-GB"/>
              </w:rPr>
              <w:t xml:space="preserve"> (trucks with trailers) to the second one and A (buses) to the third one. </w:t>
            </w:r>
          </w:p>
          <w:p w14:paraId="166604D8" w14:textId="77777777" w:rsidR="00600DEE" w:rsidRPr="0045151D" w:rsidRDefault="00641FB5">
            <w:pPr>
              <w:tabs>
                <w:tab w:val="left" w:pos="0"/>
              </w:tabs>
              <w:ind w:right="-284"/>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As regards the vehicle categories, other categories can alternatively be used on forecast outputs, e.g.: </w:t>
            </w:r>
          </w:p>
          <w:p w14:paraId="62D48C9C" w14:textId="77777777" w:rsidR="00600DEE" w:rsidRPr="0045151D" w:rsidRDefault="00641FB5" w:rsidP="00D5736B">
            <w:pPr>
              <w:numPr>
                <w:ilvl w:val="1"/>
                <w:numId w:val="82"/>
              </w:numPr>
              <w:pBdr>
                <w:top w:val="nil"/>
                <w:left w:val="nil"/>
                <w:bottom w:val="nil"/>
                <w:right w:val="nil"/>
                <w:between w:val="nil"/>
              </w:pBdr>
              <w:tabs>
                <w:tab w:val="left" w:pos="0"/>
              </w:tabs>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LV</w:t>
            </w:r>
            <w:r w:rsidRPr="0045151D">
              <w:rPr>
                <w:rFonts w:ascii="Calibri" w:eastAsia="Calibri" w:hAnsi="Calibri" w:cs="Calibri"/>
                <w:color w:val="000000"/>
                <w:sz w:val="20"/>
                <w:szCs w:val="20"/>
                <w:lang w:val="en-GB"/>
              </w:rPr>
              <w:t xml:space="preserve"> – light vehicles, gross weight &lt; 3,5 tons</w:t>
            </w:r>
          </w:p>
          <w:p w14:paraId="0F233B14" w14:textId="77777777" w:rsidR="00600DEE" w:rsidRPr="0045151D" w:rsidRDefault="00641FB5" w:rsidP="00D5736B">
            <w:pPr>
              <w:numPr>
                <w:ilvl w:val="1"/>
                <w:numId w:val="82"/>
              </w:numPr>
              <w:pBdr>
                <w:top w:val="nil"/>
                <w:left w:val="nil"/>
                <w:bottom w:val="nil"/>
                <w:right w:val="nil"/>
                <w:between w:val="nil"/>
              </w:pBdr>
              <w:tabs>
                <w:tab w:val="left" w:pos="0"/>
              </w:tabs>
              <w:spacing w:before="120" w:after="120"/>
              <w:ind w:left="885" w:right="-284" w:hanging="88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HGV </w:t>
            </w:r>
            <w:r w:rsidRPr="0045151D">
              <w:rPr>
                <w:rFonts w:ascii="Calibri" w:eastAsia="Calibri" w:hAnsi="Calibri" w:cs="Calibri"/>
                <w:color w:val="000000"/>
                <w:sz w:val="20"/>
                <w:szCs w:val="20"/>
                <w:lang w:val="en-GB"/>
              </w:rPr>
              <w:t>– heavy vehicles, gross weight &gt; 3,5 tons (incl. buses);</w:t>
            </w:r>
          </w:p>
          <w:p w14:paraId="559E3226" w14:textId="77777777" w:rsidR="00600DEE" w:rsidRPr="0045151D" w:rsidRDefault="00641FB5">
            <w:pPr>
              <w:tabs>
                <w:tab w:val="left" w:pos="0"/>
              </w:tabs>
              <w:ind w:right="-284"/>
              <w:jc w:val="both"/>
              <w:rPr>
                <w:rFonts w:ascii="Calibri" w:eastAsia="Calibri" w:hAnsi="Calibri" w:cs="Calibri"/>
                <w:sz w:val="20"/>
                <w:szCs w:val="20"/>
                <w:lang w:val="en-GB"/>
              </w:rPr>
            </w:pPr>
            <w:r w:rsidRPr="0045151D">
              <w:rPr>
                <w:rFonts w:ascii="Calibri" w:eastAsia="Calibri" w:hAnsi="Calibri" w:cs="Calibri"/>
                <w:sz w:val="20"/>
                <w:szCs w:val="20"/>
                <w:lang w:val="en-GB"/>
              </w:rPr>
              <w:t>HGV category includes all above mentioned ETC vehicle categories.</w:t>
            </w:r>
          </w:p>
          <w:p w14:paraId="30F6CB60" w14:textId="77777777" w:rsidR="00600DEE" w:rsidRPr="0045151D" w:rsidRDefault="00600DEE">
            <w:pPr>
              <w:tabs>
                <w:tab w:val="left" w:pos="0"/>
              </w:tabs>
              <w:ind w:right="-284"/>
              <w:jc w:val="both"/>
              <w:rPr>
                <w:rFonts w:ascii="Calibri" w:eastAsia="Calibri" w:hAnsi="Calibri" w:cs="Calibri"/>
                <w:sz w:val="20"/>
                <w:szCs w:val="20"/>
                <w:lang w:val="en-GB"/>
              </w:rPr>
            </w:pPr>
          </w:p>
          <w:p w14:paraId="06E4E71D" w14:textId="77777777" w:rsidR="00600DEE" w:rsidRPr="0045151D" w:rsidRDefault="00600DEE">
            <w:pPr>
              <w:tabs>
                <w:tab w:val="left" w:pos="0"/>
              </w:tabs>
              <w:ind w:right="-284"/>
              <w:jc w:val="both"/>
              <w:rPr>
                <w:rFonts w:ascii="Calibri" w:eastAsia="Calibri" w:hAnsi="Calibri" w:cs="Calibri"/>
                <w:sz w:val="20"/>
                <w:szCs w:val="20"/>
                <w:lang w:val="en-GB"/>
              </w:rPr>
            </w:pPr>
          </w:p>
          <w:p w14:paraId="1682F0B8" w14:textId="0A377907" w:rsidR="00600DEE" w:rsidRPr="0045151D" w:rsidRDefault="00600DEE">
            <w:pPr>
              <w:tabs>
                <w:tab w:val="left" w:pos="0"/>
              </w:tabs>
              <w:ind w:right="-284"/>
              <w:jc w:val="both"/>
              <w:rPr>
                <w:rFonts w:ascii="Calibri" w:eastAsia="Calibri" w:hAnsi="Calibri" w:cs="Calibri"/>
                <w:sz w:val="20"/>
                <w:szCs w:val="20"/>
                <w:lang w:val="en-GB"/>
              </w:rPr>
            </w:pPr>
          </w:p>
          <w:tbl>
            <w:tblPr>
              <w:tblStyle w:val="afff2"/>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rsidRPr="007463B9" w14:paraId="55623E4B" w14:textId="77777777">
              <w:trPr>
                <w:trHeight w:val="977"/>
              </w:trPr>
              <w:tc>
                <w:tcPr>
                  <w:tcW w:w="6946" w:type="dxa"/>
                  <w:shd w:val="clear" w:color="auto" w:fill="DBE5F1"/>
                </w:tcPr>
                <w:p w14:paraId="5E27F669" w14:textId="77777777" w:rsidR="00600DEE" w:rsidRPr="0045151D" w:rsidRDefault="00641FB5">
                  <w:pPr>
                    <w:ind w:right="170"/>
                    <w:jc w:val="center"/>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Road pricing policies and Polluter Pays Principle</w:t>
                  </w:r>
                </w:p>
                <w:p w14:paraId="3E2515A0"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The Beneficiary shall describe to which extent the project respects the ‘polluter pays’ principle (irrespective of its formal obligations in this area). If the principle of preventive action and correction of environmental damage at source is implemented at the project design stage (including through the EIA procedure), the ‘polluter pays’ is applied through user-fees and charges when the project becomes fully operational. </w:t>
                  </w:r>
                </w:p>
                <w:p w14:paraId="2FBB8227"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The ‘polluter pays’ principle can be understood as pricing systems covering environmental external costs, and maybe also wear and tear and infrastructure costs, depending on the national systems and “considerations of equity linked to the relative prosperity of the Member State or region concerned” (EC, 2013). Transport environmental costs are best internalized through tools such as fuel taxes while costs associated with the use of infrastructure of some roads are best recovered through alternatives ways such as distance-based charges (tolls) or time-based charges (vignettes). Also, in some countries, vehicle and road taxes are applied annually or upon the purchase of vehicles.</w:t>
                  </w:r>
                </w:p>
                <w:p w14:paraId="477CE2A4"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For road transport, pricing is voluntary according to the EU legislation. Only some TEN-T roads and motorways are subject to distance-based tolls, whereas others are subject to time-</w:t>
                  </w:r>
                  <w:r w:rsidRPr="0045151D">
                    <w:rPr>
                      <w:rFonts w:ascii="Calibri" w:eastAsia="Calibri" w:hAnsi="Calibri" w:cs="Calibri"/>
                      <w:color w:val="4F81BD"/>
                      <w:sz w:val="18"/>
                      <w:szCs w:val="18"/>
                      <w:lang w:val="en-GB"/>
                    </w:rPr>
                    <w:lastRenderedPageBreak/>
                    <w:t>based vignettes, and yet others are exempt from tolls and vignettes. Road charging of heavy goods’ vehicles (HGVs) on the TEN-T and motorway network is regulated at the EU level (being currently applied in Poland), while no legislative framework exists for cars, vans and motorbikes at the moment.</w:t>
                  </w:r>
                </w:p>
                <w:p w14:paraId="1D0F8A91"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In conclusion, the Beneficiary shall explain, considering the above, the ‘polluter pays’ principle application on the project pricing systems (i.e. internalization of main external costs, wear and tear) and/or describing the existing tools at the national level to recover EU funded projects main external costs as well as the related project financial sustainability aspects.</w:t>
                  </w:r>
                </w:p>
                <w:p w14:paraId="6B5D46B3" w14:textId="77777777" w:rsidR="00600DEE" w:rsidRPr="0045151D" w:rsidRDefault="00641FB5">
                  <w:pPr>
                    <w:jc w:val="both"/>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Sources: European Commission (2012), Background document for the public consultation on the charging of the use of road infrastructure, DG for Mobility and Transport and European Commission (2013), Assessing the projects on the ESFRI roadmap’ a high level expert group report, DG for Research and Innovation.</w:t>
                  </w:r>
                </w:p>
                <w:p w14:paraId="43B83264" w14:textId="77777777" w:rsidR="000927FA" w:rsidRPr="0045151D" w:rsidRDefault="000927FA">
                  <w:pPr>
                    <w:jc w:val="both"/>
                    <w:rPr>
                      <w:rFonts w:ascii="Calibri" w:eastAsia="Calibri" w:hAnsi="Calibri" w:cs="Calibri"/>
                      <w:color w:val="4F81BD"/>
                      <w:sz w:val="16"/>
                      <w:szCs w:val="16"/>
                      <w:lang w:val="en-GB"/>
                    </w:rPr>
                  </w:pPr>
                </w:p>
                <w:p w14:paraId="0D9CB65D" w14:textId="77777777" w:rsidR="000927FA" w:rsidRPr="0045151D" w:rsidRDefault="000927FA">
                  <w:pPr>
                    <w:jc w:val="both"/>
                    <w:rPr>
                      <w:rFonts w:ascii="Calibri" w:eastAsia="Calibri" w:hAnsi="Calibri" w:cs="Calibri"/>
                      <w:color w:val="4F81BD"/>
                      <w:sz w:val="16"/>
                      <w:szCs w:val="16"/>
                      <w:lang w:val="en-GB"/>
                    </w:rPr>
                  </w:pPr>
                </w:p>
                <w:p w14:paraId="7843A01C" w14:textId="0C7207AA" w:rsidR="000927FA" w:rsidRPr="0045151D" w:rsidRDefault="000927FA">
                  <w:pPr>
                    <w:jc w:val="both"/>
                    <w:rPr>
                      <w:rFonts w:ascii="Calibri" w:eastAsia="Calibri" w:hAnsi="Calibri" w:cs="Calibri"/>
                      <w:i/>
                      <w:color w:val="4F81BD"/>
                      <w:sz w:val="20"/>
                      <w:szCs w:val="20"/>
                      <w:lang w:val="en-GB"/>
                    </w:rPr>
                  </w:pPr>
                </w:p>
              </w:tc>
            </w:tr>
          </w:tbl>
          <w:p w14:paraId="34FCA148" w14:textId="77777777" w:rsidR="00600DEE" w:rsidRPr="0045151D" w:rsidRDefault="00600DEE">
            <w:pPr>
              <w:jc w:val="both"/>
              <w:rPr>
                <w:rFonts w:ascii="Calibri" w:eastAsia="Calibri" w:hAnsi="Calibri" w:cs="Calibri"/>
                <w:sz w:val="20"/>
                <w:szCs w:val="20"/>
                <w:lang w:val="en-GB"/>
              </w:rPr>
            </w:pPr>
          </w:p>
          <w:p w14:paraId="36B38453" w14:textId="77777777" w:rsidR="00600DEE" w:rsidRPr="0045151D" w:rsidRDefault="00600DEE">
            <w:pPr>
              <w:rPr>
                <w:rFonts w:ascii="Calibri" w:eastAsia="Calibri" w:hAnsi="Calibri" w:cs="Calibri"/>
                <w:sz w:val="20"/>
                <w:szCs w:val="20"/>
                <w:lang w:val="en-GB"/>
              </w:rPr>
            </w:pPr>
          </w:p>
        </w:tc>
      </w:tr>
    </w:tbl>
    <w:p w14:paraId="291B27EA" w14:textId="0FA76AEB" w:rsidR="00600DEE" w:rsidRDefault="00641FB5" w:rsidP="00D5736B">
      <w:pPr>
        <w:pStyle w:val="Nagwek2"/>
        <w:numPr>
          <w:ilvl w:val="1"/>
          <w:numId w:val="17"/>
        </w:numPr>
        <w:ind w:left="0" w:firstLine="0"/>
        <w:rPr>
          <w:rFonts w:ascii="Calibri" w:eastAsia="Calibri" w:hAnsi="Calibri" w:cs="Calibri"/>
          <w:color w:val="4F81BD"/>
        </w:rPr>
      </w:pPr>
      <w:bookmarkStart w:id="54" w:name="_Toc95377983"/>
      <w:proofErr w:type="spellStart"/>
      <w:r>
        <w:rPr>
          <w:rFonts w:ascii="Calibri" w:eastAsia="Calibri" w:hAnsi="Calibri" w:cs="Calibri"/>
          <w:color w:val="4F81BD"/>
        </w:rPr>
        <w:lastRenderedPageBreak/>
        <w:t>Wartość</w:t>
      </w:r>
      <w:proofErr w:type="spellEnd"/>
      <w:r>
        <w:rPr>
          <w:rFonts w:ascii="Calibri" w:eastAsia="Calibri" w:hAnsi="Calibri" w:cs="Calibri"/>
          <w:color w:val="4F81BD"/>
        </w:rPr>
        <w:t xml:space="preserve"> </w:t>
      </w:r>
      <w:proofErr w:type="spellStart"/>
      <w:r>
        <w:rPr>
          <w:rFonts w:ascii="Calibri" w:eastAsia="Calibri" w:hAnsi="Calibri" w:cs="Calibri"/>
          <w:color w:val="4F81BD"/>
        </w:rPr>
        <w:t>rezydualna</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sidR="00DF6B9D">
        <w:rPr>
          <w:rFonts w:ascii="Calibri" w:eastAsia="Calibri" w:hAnsi="Calibri" w:cs="Calibri"/>
          <w:color w:val="4F81BD"/>
        </w:rPr>
        <w:tab/>
      </w:r>
      <w:r w:rsidR="00DF6B9D">
        <w:rPr>
          <w:rFonts w:ascii="Calibri" w:eastAsia="Calibri" w:hAnsi="Calibri" w:cs="Calibri"/>
          <w:color w:val="4F81BD"/>
        </w:rPr>
        <w:tab/>
      </w:r>
      <w:r>
        <w:rPr>
          <w:rFonts w:ascii="Calibri" w:eastAsia="Calibri" w:hAnsi="Calibri" w:cs="Calibri"/>
          <w:color w:val="4F81BD"/>
        </w:rPr>
        <w:t xml:space="preserve"> </w:t>
      </w:r>
      <w:r>
        <w:rPr>
          <w:rFonts w:ascii="Calibri" w:eastAsia="Calibri" w:hAnsi="Calibri" w:cs="Calibri"/>
          <w:i/>
          <w:color w:val="4F81BD"/>
        </w:rPr>
        <w:t>1.11   Residual value</w:t>
      </w:r>
      <w:bookmarkEnd w:id="54"/>
    </w:p>
    <w:tbl>
      <w:tblPr>
        <w:tblStyle w:val="afff3"/>
        <w:tblW w:w="14571" w:type="dxa"/>
        <w:tblLayout w:type="fixed"/>
        <w:tblLook w:val="0400" w:firstRow="0" w:lastRow="0" w:firstColumn="0" w:lastColumn="0" w:noHBand="0" w:noVBand="1"/>
      </w:tblPr>
      <w:tblGrid>
        <w:gridCol w:w="7370"/>
        <w:gridCol w:w="7201"/>
      </w:tblGrid>
      <w:tr w:rsidR="00600DEE" w:rsidRPr="007463B9" w14:paraId="45717485" w14:textId="77777777">
        <w:tc>
          <w:tcPr>
            <w:tcW w:w="7370" w:type="dxa"/>
            <w:tcBorders>
              <w:right w:val="single" w:sz="4" w:space="0" w:color="000000"/>
            </w:tcBorders>
            <w:tcMar>
              <w:left w:w="284" w:type="dxa"/>
              <w:right w:w="284" w:type="dxa"/>
            </w:tcMar>
          </w:tcPr>
          <w:p w14:paraId="11D717CC" w14:textId="091E631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Wartość rezydualna projektu musi być uwzględniona w rachunku kosztów inwestycyjnych w ostatnim roku analizy. Wartość rezydualna odzwierciedla zdolność do generowania przychodów netto w przyszłości przez środki trwałe, których </w:t>
            </w:r>
            <w:r w:rsidR="00DA7241">
              <w:rPr>
                <w:rFonts w:ascii="Calibri" w:eastAsia="Calibri" w:hAnsi="Calibri" w:cs="Calibri"/>
                <w:color w:val="000000"/>
                <w:sz w:val="20"/>
                <w:szCs w:val="20"/>
              </w:rPr>
              <w:t>użyteczn</w:t>
            </w:r>
            <w:r>
              <w:rPr>
                <w:rFonts w:ascii="Calibri" w:eastAsia="Calibri" w:hAnsi="Calibri" w:cs="Calibri"/>
                <w:color w:val="000000"/>
                <w:sz w:val="20"/>
                <w:szCs w:val="20"/>
              </w:rPr>
              <w:t>ość ekonomiczna nie jest jeszcze całkowicie wyczerpana. Wartość rezydualna będzie zerowa lub znikoma, jeśli został wybrany horyzont czasowy równy okresowi życia ekonomicznego aktywów. Z drugiej strony, gdy cykl życia projektu przekracza horyzont czasowy, wartość odzysku środka trwałego lub wszelkich pozostałych zdolności do generowania dochodu w przyszłości powinna zostać wyliczona. Innymi słowy, wartość rezydualna może być zdefiniowana jako teoretyczna wartość „upłynnienia”.</w:t>
            </w:r>
          </w:p>
          <w:p w14:paraId="03B8B42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lastRenderedPageBreak/>
              <w:t xml:space="preserve">Ekonomiczna wartość rezydualna </w:t>
            </w:r>
            <w:r>
              <w:rPr>
                <w:rFonts w:ascii="Calibri" w:eastAsia="Calibri" w:hAnsi="Calibri" w:cs="Calibri"/>
                <w:color w:val="000000"/>
                <w:sz w:val="20"/>
                <w:szCs w:val="20"/>
              </w:rPr>
              <w:t>może mieć istotne znaczenie dla przedsięwzięć infrastrukturalnych, w których okres ekonomicznej użyteczności najtrwalszego elementu inwestycji znacznie przekracza horyzont czasowy analizy kosztów i korzyści, w związku z czym można spodziewać się, że taki składnik majątku będzie generował korzyści również po zakończeniu okresu odniesienia.</w:t>
            </w:r>
          </w:p>
          <w:p w14:paraId="5FE3AA6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Ekonomiczna wartość rezydualna może być wyliczana według jednej z poniższych metod:</w:t>
            </w:r>
          </w:p>
          <w:p w14:paraId="3C0D561C" w14:textId="77777777" w:rsidR="00600DEE" w:rsidRDefault="00641FB5" w:rsidP="00D5736B">
            <w:pPr>
              <w:numPr>
                <w:ilvl w:val="0"/>
                <w:numId w:val="5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metoda rekomendowana: poprzez wyliczenie wartości bieżącej korzyści ekonomicznych, po potrąceniu kosztów ekonomicznych w pozostałych latach życia projektu (podejście zalecane, gdy finansowa wartość rezydualna obliczona została w oparciu o  wartość bieżącą netto przyszłych przepływów pieniężnych). Formuła obliczeniowa jest analogiczna, ale zamiast przepływów finansowych uwzględnia się analogiczne przepływy ekonomiczne,</w:t>
            </w:r>
          </w:p>
          <w:p w14:paraId="66AD5373" w14:textId="77777777" w:rsidR="00600DEE" w:rsidRDefault="00641FB5" w:rsidP="00D5736B">
            <w:pPr>
              <w:numPr>
                <w:ilvl w:val="0"/>
                <w:numId w:val="5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poprzez zastosowanie współczynnika konwersji kosztów inwestycji (patrz podrozdział 2.2.2) do wartości rezydualnej z analizy finansowej liczonej metodą odpisów amortyzacyjnych.</w:t>
            </w:r>
          </w:p>
          <w:p w14:paraId="22675678" w14:textId="62FA2AF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Zastosowanie pierwszej metody w projektach transportowych, w których aktywa zazwyczaj mają bardzo długą trwałość, spowodować może, że wartość rezydualna znacznie zaburzy wyniki analizy (wartość rezydualna stanowiłaby znaczną część korzyści projektu i rzutowałaby na jego uzasadnienie społeczno-ekonomiczne). </w:t>
            </w:r>
            <w:r w:rsidR="00DA7241" w:rsidRPr="00DA7241">
              <w:rPr>
                <w:rFonts w:asciiTheme="minorHAnsi" w:hAnsiTheme="minorHAnsi"/>
                <w:sz w:val="20"/>
                <w:szCs w:val="20"/>
              </w:rPr>
              <w:t>Należy unikać sytuacji, w której wartość rezydualna stanowi znaczną część korzyści płynących z projektu, do tego stopnia, że społeczno-ekonomiczne uzasadnienie projektu opiera się głównie na wartości rezydualnej.</w:t>
            </w:r>
            <w:r w:rsidR="00DA7241" w:rsidRPr="000D5E71">
              <w:rPr>
                <w:rFonts w:asciiTheme="minorHAnsi" w:hAnsiTheme="minorHAnsi"/>
              </w:rPr>
              <w:t xml:space="preserve"> </w:t>
            </w:r>
            <w:r>
              <w:rPr>
                <w:rFonts w:ascii="Calibri" w:eastAsia="Calibri" w:hAnsi="Calibri" w:cs="Calibri"/>
                <w:color w:val="000000"/>
                <w:sz w:val="20"/>
                <w:szCs w:val="20"/>
              </w:rPr>
              <w:t xml:space="preserve">W rzeczywistości, jak </w:t>
            </w:r>
            <w:r w:rsidR="00DA7241">
              <w:rPr>
                <w:rFonts w:ascii="Calibri" w:eastAsia="Calibri" w:hAnsi="Calibri" w:cs="Calibri"/>
                <w:color w:val="000000"/>
                <w:sz w:val="20"/>
                <w:szCs w:val="20"/>
              </w:rPr>
              <w:t>przedstawiono</w:t>
            </w:r>
            <w:r>
              <w:rPr>
                <w:rFonts w:ascii="Calibri" w:eastAsia="Calibri" w:hAnsi="Calibri" w:cs="Calibri"/>
                <w:color w:val="000000"/>
                <w:sz w:val="20"/>
                <w:szCs w:val="20"/>
              </w:rPr>
              <w:t xml:space="preserve"> w przewodniku AKK UE, uzasadnienie społeczno-ekonomiczne powinno zależeć przede wszystkim od korzyści uzyskanych w okresie </w:t>
            </w:r>
            <w:r w:rsidR="00DA7241">
              <w:rPr>
                <w:rFonts w:ascii="Calibri" w:eastAsia="Calibri" w:hAnsi="Calibri" w:cs="Calibri"/>
                <w:color w:val="000000"/>
                <w:sz w:val="20"/>
                <w:szCs w:val="20"/>
              </w:rPr>
              <w:t>odniesienia</w:t>
            </w:r>
            <w:r>
              <w:rPr>
                <w:rFonts w:ascii="Calibri" w:eastAsia="Calibri" w:hAnsi="Calibri" w:cs="Calibri"/>
                <w:color w:val="000000"/>
                <w:sz w:val="20"/>
                <w:szCs w:val="20"/>
              </w:rPr>
              <w:t xml:space="preserve"> (a wartość rezydualna powinna wpływać nieznacznie).</w:t>
            </w:r>
          </w:p>
          <w:p w14:paraId="716CFE7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color w:val="000000"/>
                <w:sz w:val="20"/>
                <w:szCs w:val="20"/>
              </w:rPr>
              <w:t>W celu obliczenia wartości rezydualnej metodą odpisów amortyzacyjnych, zaleca się, aby wziąć pod uwagę przeciętny okres fizycznej trwałości projektu, określony jako średnia ważona komponentów inwestycyjnych projektu w normalnych warunkach eksploatacji i utrzymania. Proponowane średnie okresy trwałości aktywów infrastruktury drogowej przedstawiono poniżej (Tabela 12). Przykładowe wyliczenie trwałości aktywów projektu drogowego znajduje się w załączniku A.</w:t>
            </w:r>
          </w:p>
          <w:p w14:paraId="7D6A7F34" w14:textId="557B19B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Finansowa wartość rezydualna, </w:t>
            </w:r>
            <w:r>
              <w:rPr>
                <w:rFonts w:ascii="Calibri" w:eastAsia="Calibri" w:hAnsi="Calibri" w:cs="Calibri"/>
                <w:color w:val="000000"/>
                <w:sz w:val="20"/>
                <w:szCs w:val="20"/>
              </w:rPr>
              <w:t xml:space="preserve">dla projektów generujących przychody (drogi płatne), rekomenduje się, że powinna zostać wyliczona w oparciu o metodę </w:t>
            </w:r>
            <w:r>
              <w:rPr>
                <w:rFonts w:ascii="Calibri" w:eastAsia="Calibri" w:hAnsi="Calibri" w:cs="Calibri"/>
                <w:color w:val="000000"/>
                <w:sz w:val="20"/>
                <w:szCs w:val="20"/>
              </w:rPr>
              <w:lastRenderedPageBreak/>
              <w:t>dochodową, która zakłada zdolność projektu do generowania wpływów po okresie objętym analizą. Finansową wartość rezydualną oblicza się poprzez określenie wartości bieżącej finansowych przepływów w pozostałych latach życia projektu (np. jako średni okres dla nowej drogi proponowane jest 40 lat, lub alternatywnie można wyliczyć średni ważony okres żywo</w:t>
            </w:r>
            <w:r w:rsidR="00DA7241">
              <w:rPr>
                <w:rFonts w:ascii="Calibri" w:eastAsia="Calibri" w:hAnsi="Calibri" w:cs="Calibri"/>
                <w:color w:val="000000"/>
                <w:sz w:val="20"/>
                <w:szCs w:val="20"/>
              </w:rPr>
              <w:t>tności tak jak przedstawiono w T</w:t>
            </w:r>
            <w:r>
              <w:rPr>
                <w:rFonts w:ascii="Calibri" w:eastAsia="Calibri" w:hAnsi="Calibri" w:cs="Calibri"/>
                <w:color w:val="000000"/>
                <w:sz w:val="20"/>
                <w:szCs w:val="20"/>
              </w:rPr>
              <w:t xml:space="preserve">abeli 12). Liczbę pozostałych lat eksploatacji należy obliczyć jako średni okres eksploatacji nowej infrastruktury (np. 40 lat lub inny w stosownych przypadkach) plus okres procesu inwestycyjnego (np. 2 lata lub inny w stosownych przypadkach) minus okres odniesienia (25 lat). Liczby podano jedynie jako przykład, a parametry przy obliczaniu wartości rezydualnej należy dostosować do rzeczywistych okoliczności danego projektu. Do jej obliczenia wykorzystywane są reprezentatywne przepływy (przychody i nakłady utrzymaniowe) z ostatniego roku objętego analizą, tj. takie, które nie są zaburzone zdarzeniami jednorazowymi (np. większymi remontami). Jeśli wielkości przepływów z ostatniego roku nie są reprezentatywne, należy wziąć pod uwagę uśrednione wartości z całego lub odpowiednio wybranego okresu analizy tak, aby zapewnić ich reprezentatywność. </w:t>
            </w:r>
          </w:p>
          <w:p w14:paraId="799EF0C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Obliczenie wartości rezydualnej zgodnie z powyższym podejściem ilustruje poniższy wzór:</w:t>
            </w:r>
          </w:p>
          <w:p w14:paraId="61885BCF"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36"/>
                <w:szCs w:val="36"/>
                <w:vertAlign w:val="subscript"/>
              </w:rPr>
              <w:object w:dxaOrig="2175" w:dyaOrig="1238" w14:anchorId="25157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pt;height:61.7pt" o:ole="">
                  <v:imagedata r:id="rId105" o:title=""/>
                </v:shape>
                <o:OLEObject Type="Embed" ProgID="Equation.3" ShapeID="_x0000_i1025" DrawAspect="Content" ObjectID="_1708947467" r:id="rId106"/>
              </w:object>
            </w:r>
          </w:p>
          <w:p w14:paraId="4736F9B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gdzie:</w:t>
            </w:r>
          </w:p>
          <w:p w14:paraId="23173322" w14:textId="146C3E48"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R – wartość rezydualna </w:t>
            </w:r>
            <w:r w:rsidR="00DA7241">
              <w:rPr>
                <w:rFonts w:ascii="Calibri" w:eastAsia="Calibri" w:hAnsi="Calibri" w:cs="Calibri"/>
                <w:color w:val="000000"/>
                <w:sz w:val="20"/>
                <w:szCs w:val="20"/>
              </w:rPr>
              <w:t>na koniec</w:t>
            </w:r>
            <w:r>
              <w:rPr>
                <w:rFonts w:ascii="Calibri" w:eastAsia="Calibri" w:hAnsi="Calibri" w:cs="Calibri"/>
                <w:color w:val="000000"/>
                <w:sz w:val="20"/>
                <w:szCs w:val="20"/>
              </w:rPr>
              <w:t xml:space="preserve"> okresu odniesienia (zdyskontowana),</w:t>
            </w:r>
          </w:p>
          <w:p w14:paraId="4C115BA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 – przychody operacyjne z ostatniego roku okresu odniesienia (jeżeli nie są reprezentatywne, należy przyjąć uśrednione wartości),</w:t>
            </w:r>
          </w:p>
          <w:p w14:paraId="50F691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KO – koszty operacyjne z ostatniego roku okresu odniesienia (jeżeli nie są reprezentatywne, należy wziąć uśrednione wartości), </w:t>
            </w:r>
          </w:p>
          <w:p w14:paraId="1E35E8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  – stopa dyskontowa,</w:t>
            </w:r>
          </w:p>
          <w:p w14:paraId="152271A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 – rok z okresu od ostatniego roku odniesienia (25) + 1 do końca ostatniego roku pozostałego zakładanego okresu eksploatacji (np. 40 lat cyklu życia projektu od momentu oddania do eksploatacji), </w:t>
            </w:r>
          </w:p>
          <w:p w14:paraId="656F7F5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t – całkowity uśredniony okres żywotności projektu (tj. po uwzględnieniu pozostałych lat żywotności projektu); proponowana wartość: 40 lat.</w:t>
            </w:r>
          </w:p>
          <w:p w14:paraId="01742A3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Wartość rezydualna nie jest uwzględniana w obliczeniach jeśli jest ujemna (wtedy należy przyjąć wartość =0). Wartość rezydualna jest ujmowana w analizie finansowej w ostatnim roku analizy i musi być zdyskontowana w celu wyliczenia wskaźników finansowych projektu.</w:t>
            </w:r>
          </w:p>
          <w:p w14:paraId="6084F12C" w14:textId="3DA392F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Inne metody wyliczania wartości rezydualnej także mogą być stosowane, na przykład na podstawie amortyzacji (tzw. metoda odpisów amortyzacyjnych) z uwzględnieniem okresów trwałości aktywów infrastruktury drogowej (Tabela 12) oraz z uwzględnieniem kosztów wymiany tych aktywów w okresie referencyjnym.</w:t>
            </w:r>
          </w:p>
          <w:p w14:paraId="672519B9" w14:textId="77777777" w:rsidR="00600DEE" w:rsidRDefault="00641FB5" w:rsidP="00427449">
            <w:pPr>
              <w:pBdr>
                <w:top w:val="nil"/>
                <w:left w:val="nil"/>
                <w:bottom w:val="nil"/>
                <w:right w:val="nil"/>
                <w:between w:val="nil"/>
              </w:pBdr>
              <w:spacing w:before="24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12. Średnie okresy trwałości aktywów infrastruktury drogowej</w:t>
            </w:r>
          </w:p>
          <w:tbl>
            <w:tblPr>
              <w:tblStyle w:val="afff4"/>
              <w:tblW w:w="6792" w:type="dxa"/>
              <w:tblBorders>
                <w:insideH w:val="single" w:sz="4" w:space="0" w:color="FFFFFF"/>
                <w:insideV w:val="single" w:sz="4" w:space="0" w:color="FFFFFF"/>
              </w:tblBorders>
              <w:tblLayout w:type="fixed"/>
              <w:tblLook w:val="0400" w:firstRow="0" w:lastRow="0" w:firstColumn="0" w:lastColumn="0" w:noHBand="0" w:noVBand="1"/>
            </w:tblPr>
            <w:tblGrid>
              <w:gridCol w:w="1924"/>
              <w:gridCol w:w="1926"/>
              <w:gridCol w:w="2942"/>
            </w:tblGrid>
            <w:tr w:rsidR="00600DEE" w14:paraId="08193275" w14:textId="77777777" w:rsidTr="00B802AC">
              <w:trPr>
                <w:trHeight w:val="202"/>
              </w:trPr>
              <w:tc>
                <w:tcPr>
                  <w:tcW w:w="1924" w:type="dxa"/>
                  <w:vMerge w:val="restart"/>
                  <w:tcBorders>
                    <w:top w:val="nil"/>
                    <w:bottom w:val="single" w:sz="4" w:space="0" w:color="FFFFFF"/>
                  </w:tcBorders>
                  <w:shd w:val="clear" w:color="auto" w:fill="A6A6A6"/>
                  <w:vAlign w:val="center"/>
                </w:tcPr>
                <w:p w14:paraId="1558B35D"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Trwałość aktywów </w:t>
                  </w:r>
                </w:p>
              </w:tc>
              <w:tc>
                <w:tcPr>
                  <w:tcW w:w="1926" w:type="dxa"/>
                  <w:tcBorders>
                    <w:top w:val="nil"/>
                    <w:bottom w:val="single" w:sz="4" w:space="0" w:color="FFFFFF"/>
                  </w:tcBorders>
                  <w:shd w:val="clear" w:color="auto" w:fill="A6A6A6"/>
                  <w:vAlign w:val="center"/>
                </w:tcPr>
                <w:p w14:paraId="06E5B282"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Nowobudowane</w:t>
                  </w:r>
                </w:p>
              </w:tc>
              <w:tc>
                <w:tcPr>
                  <w:tcW w:w="2942" w:type="dxa"/>
                  <w:tcBorders>
                    <w:top w:val="nil"/>
                    <w:bottom w:val="single" w:sz="4" w:space="0" w:color="FFFFFF"/>
                  </w:tcBorders>
                  <w:shd w:val="clear" w:color="auto" w:fill="A6A6A6"/>
                  <w:vAlign w:val="center"/>
                </w:tcPr>
                <w:p w14:paraId="34FDCFC9"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Remontowane</w:t>
                  </w:r>
                </w:p>
              </w:tc>
            </w:tr>
            <w:tr w:rsidR="00600DEE" w14:paraId="2E50A9C8" w14:textId="77777777" w:rsidTr="00B802AC">
              <w:trPr>
                <w:trHeight w:val="202"/>
              </w:trPr>
              <w:tc>
                <w:tcPr>
                  <w:tcW w:w="1924" w:type="dxa"/>
                  <w:vMerge/>
                  <w:tcBorders>
                    <w:top w:val="nil"/>
                    <w:bottom w:val="single" w:sz="4" w:space="0" w:color="FFFFFF"/>
                  </w:tcBorders>
                  <w:shd w:val="clear" w:color="auto" w:fill="A6A6A6"/>
                  <w:vAlign w:val="center"/>
                </w:tcPr>
                <w:p w14:paraId="49B15D3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26" w:type="dxa"/>
                  <w:tcBorders>
                    <w:top w:val="single" w:sz="4" w:space="0" w:color="FFFFFF"/>
                    <w:bottom w:val="single" w:sz="4" w:space="0" w:color="FFFFFF"/>
                  </w:tcBorders>
                  <w:shd w:val="clear" w:color="auto" w:fill="A6A6A6"/>
                  <w:vAlign w:val="center"/>
                </w:tcPr>
                <w:p w14:paraId="3451CEFD"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Lata</w:t>
                  </w:r>
                </w:p>
              </w:tc>
              <w:tc>
                <w:tcPr>
                  <w:tcW w:w="2942" w:type="dxa"/>
                  <w:tcBorders>
                    <w:top w:val="single" w:sz="4" w:space="0" w:color="FFFFFF"/>
                    <w:bottom w:val="single" w:sz="4" w:space="0" w:color="FFFFFF"/>
                  </w:tcBorders>
                  <w:shd w:val="clear" w:color="auto" w:fill="A6A6A6"/>
                  <w:vAlign w:val="center"/>
                </w:tcPr>
                <w:p w14:paraId="417E88BE"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Lata</w:t>
                  </w:r>
                </w:p>
              </w:tc>
            </w:tr>
            <w:tr w:rsidR="00600DEE" w14:paraId="064BF7FF" w14:textId="77777777" w:rsidTr="00B802AC">
              <w:trPr>
                <w:trHeight w:val="230"/>
              </w:trPr>
              <w:tc>
                <w:tcPr>
                  <w:tcW w:w="1924" w:type="dxa"/>
                  <w:tcBorders>
                    <w:top w:val="single" w:sz="4" w:space="0" w:color="FFFFFF"/>
                  </w:tcBorders>
                  <w:shd w:val="clear" w:color="auto" w:fill="DBE5F1"/>
                  <w:vAlign w:val="center"/>
                </w:tcPr>
                <w:p w14:paraId="678E1F71"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Tunele</w:t>
                  </w:r>
                </w:p>
              </w:tc>
              <w:tc>
                <w:tcPr>
                  <w:tcW w:w="1926" w:type="dxa"/>
                  <w:tcBorders>
                    <w:top w:val="single" w:sz="4" w:space="0" w:color="FFFFFF"/>
                  </w:tcBorders>
                  <w:shd w:val="clear" w:color="auto" w:fill="DBE5F1"/>
                  <w:vAlign w:val="center"/>
                </w:tcPr>
                <w:p w14:paraId="52591E5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75</w:t>
                  </w:r>
                </w:p>
              </w:tc>
              <w:tc>
                <w:tcPr>
                  <w:tcW w:w="2942" w:type="dxa"/>
                  <w:tcBorders>
                    <w:top w:val="single" w:sz="4" w:space="0" w:color="FFFFFF"/>
                  </w:tcBorders>
                  <w:shd w:val="clear" w:color="auto" w:fill="DBE5F1"/>
                  <w:vAlign w:val="center"/>
                </w:tcPr>
                <w:p w14:paraId="3FED1BB0"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33</w:t>
                  </w:r>
                </w:p>
              </w:tc>
            </w:tr>
            <w:tr w:rsidR="00600DEE" w14:paraId="33931782" w14:textId="77777777" w:rsidTr="00B802AC">
              <w:trPr>
                <w:trHeight w:val="243"/>
              </w:trPr>
              <w:tc>
                <w:tcPr>
                  <w:tcW w:w="1924" w:type="dxa"/>
                  <w:shd w:val="clear" w:color="auto" w:fill="DBE5F1"/>
                  <w:vAlign w:val="center"/>
                </w:tcPr>
                <w:p w14:paraId="2B75A8EF"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Obiekty mostowe</w:t>
                  </w:r>
                </w:p>
              </w:tc>
              <w:tc>
                <w:tcPr>
                  <w:tcW w:w="1926" w:type="dxa"/>
                  <w:shd w:val="clear" w:color="auto" w:fill="DBE5F1"/>
                  <w:vAlign w:val="center"/>
                </w:tcPr>
                <w:p w14:paraId="5BDEB49C"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75</w:t>
                  </w:r>
                </w:p>
              </w:tc>
              <w:tc>
                <w:tcPr>
                  <w:tcW w:w="2942" w:type="dxa"/>
                  <w:shd w:val="clear" w:color="auto" w:fill="DBE5F1"/>
                  <w:vAlign w:val="center"/>
                </w:tcPr>
                <w:p w14:paraId="09C3B21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33</w:t>
                  </w:r>
                </w:p>
              </w:tc>
            </w:tr>
            <w:tr w:rsidR="00600DEE" w14:paraId="602A1EDD" w14:textId="77777777" w:rsidTr="00B802AC">
              <w:trPr>
                <w:trHeight w:val="243"/>
              </w:trPr>
              <w:tc>
                <w:tcPr>
                  <w:tcW w:w="1924" w:type="dxa"/>
                  <w:shd w:val="clear" w:color="auto" w:fill="DBE5F1"/>
                  <w:vAlign w:val="center"/>
                </w:tcPr>
                <w:p w14:paraId="2CF9AE32"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Ściany oporowe</w:t>
                  </w:r>
                </w:p>
              </w:tc>
              <w:tc>
                <w:tcPr>
                  <w:tcW w:w="1926" w:type="dxa"/>
                  <w:shd w:val="clear" w:color="auto" w:fill="DBE5F1"/>
                  <w:vAlign w:val="center"/>
                </w:tcPr>
                <w:p w14:paraId="019C7116"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60</w:t>
                  </w:r>
                </w:p>
              </w:tc>
              <w:tc>
                <w:tcPr>
                  <w:tcW w:w="2942" w:type="dxa"/>
                  <w:shd w:val="clear" w:color="auto" w:fill="DBE5F1"/>
                  <w:vAlign w:val="center"/>
                </w:tcPr>
                <w:p w14:paraId="69AAFFF4"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20</w:t>
                  </w:r>
                </w:p>
              </w:tc>
            </w:tr>
            <w:tr w:rsidR="00600DEE" w14:paraId="7D54E9BE" w14:textId="77777777" w:rsidTr="00B802AC">
              <w:trPr>
                <w:trHeight w:val="243"/>
              </w:trPr>
              <w:tc>
                <w:tcPr>
                  <w:tcW w:w="1924" w:type="dxa"/>
                  <w:shd w:val="clear" w:color="auto" w:fill="DBE5F1"/>
                  <w:vAlign w:val="center"/>
                </w:tcPr>
                <w:p w14:paraId="4AEEE6D1"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Roboty ziemne</w:t>
                  </w:r>
                </w:p>
              </w:tc>
              <w:tc>
                <w:tcPr>
                  <w:tcW w:w="1926" w:type="dxa"/>
                  <w:shd w:val="clear" w:color="auto" w:fill="DBE5F1"/>
                  <w:vAlign w:val="center"/>
                </w:tcPr>
                <w:p w14:paraId="4A19B44B"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40</w:t>
                  </w:r>
                </w:p>
              </w:tc>
              <w:tc>
                <w:tcPr>
                  <w:tcW w:w="2942" w:type="dxa"/>
                  <w:shd w:val="clear" w:color="auto" w:fill="DBE5F1"/>
                  <w:vAlign w:val="center"/>
                </w:tcPr>
                <w:p w14:paraId="57268F51"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r>
            <w:tr w:rsidR="00600DEE" w14:paraId="57750B00" w14:textId="77777777" w:rsidTr="00B802AC">
              <w:trPr>
                <w:trHeight w:val="243"/>
              </w:trPr>
              <w:tc>
                <w:tcPr>
                  <w:tcW w:w="1924" w:type="dxa"/>
                  <w:shd w:val="clear" w:color="auto" w:fill="DBE5F1"/>
                  <w:vAlign w:val="center"/>
                </w:tcPr>
                <w:p w14:paraId="3D981DA0"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Ściany akustyczne</w:t>
                  </w:r>
                </w:p>
              </w:tc>
              <w:tc>
                <w:tcPr>
                  <w:tcW w:w="1926" w:type="dxa"/>
                  <w:shd w:val="clear" w:color="auto" w:fill="DBE5F1"/>
                  <w:vAlign w:val="center"/>
                </w:tcPr>
                <w:p w14:paraId="0FB569DB"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25</w:t>
                  </w:r>
                </w:p>
              </w:tc>
              <w:tc>
                <w:tcPr>
                  <w:tcW w:w="2942" w:type="dxa"/>
                  <w:shd w:val="clear" w:color="auto" w:fill="DBE5F1"/>
                  <w:vAlign w:val="center"/>
                </w:tcPr>
                <w:p w14:paraId="3DAAAB29"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r>
            <w:tr w:rsidR="00600DEE" w14:paraId="6255E6EE" w14:textId="77777777" w:rsidTr="00B802AC">
              <w:trPr>
                <w:trHeight w:hRule="exact" w:val="508"/>
              </w:trPr>
              <w:tc>
                <w:tcPr>
                  <w:tcW w:w="1924" w:type="dxa"/>
                  <w:shd w:val="clear" w:color="auto" w:fill="DBE5F1"/>
                  <w:vAlign w:val="center"/>
                </w:tcPr>
                <w:p w14:paraId="4033E74D"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Nawierzchnia drogi: beton</w:t>
                  </w:r>
                </w:p>
              </w:tc>
              <w:tc>
                <w:tcPr>
                  <w:tcW w:w="1926" w:type="dxa"/>
                  <w:shd w:val="clear" w:color="auto" w:fill="DBE5F1"/>
                  <w:vAlign w:val="center"/>
                </w:tcPr>
                <w:p w14:paraId="223D48D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33</w:t>
                  </w:r>
                </w:p>
              </w:tc>
              <w:tc>
                <w:tcPr>
                  <w:tcW w:w="2942" w:type="dxa"/>
                  <w:shd w:val="clear" w:color="auto" w:fill="DBE5F1"/>
                  <w:vAlign w:val="center"/>
                </w:tcPr>
                <w:p w14:paraId="241F5D95"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23</w:t>
                  </w:r>
                </w:p>
              </w:tc>
            </w:tr>
            <w:tr w:rsidR="00600DEE" w14:paraId="0F6CAE5B" w14:textId="77777777" w:rsidTr="00B802AC">
              <w:trPr>
                <w:trHeight w:hRule="exact" w:val="508"/>
              </w:trPr>
              <w:tc>
                <w:tcPr>
                  <w:tcW w:w="1924" w:type="dxa"/>
                  <w:shd w:val="clear" w:color="auto" w:fill="DBE5F1"/>
                  <w:vAlign w:val="center"/>
                </w:tcPr>
                <w:p w14:paraId="14893572"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Nawierzchnia drogi: asfalt</w:t>
                  </w:r>
                </w:p>
              </w:tc>
              <w:tc>
                <w:tcPr>
                  <w:tcW w:w="1926" w:type="dxa"/>
                  <w:shd w:val="clear" w:color="auto" w:fill="DBE5F1"/>
                  <w:vAlign w:val="center"/>
                </w:tcPr>
                <w:p w14:paraId="6ED408FD"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2942" w:type="dxa"/>
                  <w:shd w:val="clear" w:color="auto" w:fill="DBE5F1"/>
                  <w:vAlign w:val="center"/>
                </w:tcPr>
                <w:p w14:paraId="5769C30D"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r>
            <w:tr w:rsidR="00600DEE" w14:paraId="624DEC65" w14:textId="77777777" w:rsidTr="00B802AC">
              <w:trPr>
                <w:trHeight w:val="243"/>
              </w:trPr>
              <w:tc>
                <w:tcPr>
                  <w:tcW w:w="1924" w:type="dxa"/>
                  <w:shd w:val="clear" w:color="auto" w:fill="DBE5F1"/>
                  <w:vAlign w:val="center"/>
                </w:tcPr>
                <w:p w14:paraId="57698A5C"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Sprzęt utrzymaniowy</w:t>
                  </w:r>
                </w:p>
              </w:tc>
              <w:tc>
                <w:tcPr>
                  <w:tcW w:w="1926" w:type="dxa"/>
                  <w:shd w:val="clear" w:color="auto" w:fill="DBE5F1"/>
                  <w:vAlign w:val="center"/>
                </w:tcPr>
                <w:p w14:paraId="06EDD93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c>
                <w:tcPr>
                  <w:tcW w:w="2942" w:type="dxa"/>
                  <w:shd w:val="clear" w:color="auto" w:fill="DBE5F1"/>
                  <w:vAlign w:val="center"/>
                </w:tcPr>
                <w:p w14:paraId="6DB20A9C"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10</w:t>
                  </w:r>
                </w:p>
              </w:tc>
            </w:tr>
            <w:tr w:rsidR="00600DEE" w14:paraId="4FFCB514" w14:textId="77777777" w:rsidTr="00B802AC">
              <w:trPr>
                <w:trHeight w:hRule="exact" w:val="508"/>
              </w:trPr>
              <w:tc>
                <w:tcPr>
                  <w:tcW w:w="1924" w:type="dxa"/>
                  <w:shd w:val="clear" w:color="auto" w:fill="DBE5F1"/>
                  <w:vAlign w:val="center"/>
                </w:tcPr>
                <w:p w14:paraId="6272C3EB"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Sprzęt do łączności</w:t>
                  </w:r>
                </w:p>
              </w:tc>
              <w:tc>
                <w:tcPr>
                  <w:tcW w:w="1926" w:type="dxa"/>
                  <w:shd w:val="clear" w:color="auto" w:fill="DBE5F1"/>
                  <w:vAlign w:val="center"/>
                </w:tcPr>
                <w:p w14:paraId="67D2F76B"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2942" w:type="dxa"/>
                  <w:shd w:val="clear" w:color="auto" w:fill="DBE5F1"/>
                  <w:vAlign w:val="center"/>
                </w:tcPr>
                <w:p w14:paraId="236AB70A"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5</w:t>
                  </w:r>
                </w:p>
              </w:tc>
            </w:tr>
            <w:tr w:rsidR="00600DEE" w14:paraId="7199F4DF" w14:textId="77777777" w:rsidTr="00B802AC">
              <w:trPr>
                <w:trHeight w:val="40"/>
              </w:trPr>
              <w:tc>
                <w:tcPr>
                  <w:tcW w:w="1924" w:type="dxa"/>
                  <w:shd w:val="clear" w:color="auto" w:fill="DBE5F1"/>
                  <w:vAlign w:val="center"/>
                </w:tcPr>
                <w:p w14:paraId="2CBB8DD1"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Przejęcie gruntów</w:t>
                  </w:r>
                </w:p>
              </w:tc>
              <w:tc>
                <w:tcPr>
                  <w:tcW w:w="1926" w:type="dxa"/>
                  <w:shd w:val="clear" w:color="auto" w:fill="DBE5F1"/>
                  <w:vAlign w:val="center"/>
                </w:tcPr>
                <w:p w14:paraId="323C64B1"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Nieskończony</w:t>
                  </w:r>
                </w:p>
              </w:tc>
              <w:tc>
                <w:tcPr>
                  <w:tcW w:w="2942" w:type="dxa"/>
                  <w:shd w:val="clear" w:color="auto" w:fill="DBE5F1"/>
                  <w:vAlign w:val="center"/>
                </w:tcPr>
                <w:p w14:paraId="51EFA501"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Nieskończony</w:t>
                  </w:r>
                </w:p>
              </w:tc>
            </w:tr>
          </w:tbl>
          <w:p w14:paraId="3A54033A" w14:textId="77777777" w:rsidR="00600DEE" w:rsidRDefault="00641FB5">
            <w:pPr>
              <w:pBdr>
                <w:top w:val="nil"/>
                <w:left w:val="nil"/>
                <w:bottom w:val="nil"/>
                <w:right w:val="nil"/>
                <w:between w:val="nil"/>
              </w:pBdr>
              <w:spacing w:before="120"/>
              <w:jc w:val="both"/>
              <w:rPr>
                <w:rFonts w:ascii="Calibri" w:eastAsia="Calibri" w:hAnsi="Calibri" w:cs="Calibri"/>
                <w:b/>
                <w:i/>
                <w:color w:val="222222"/>
                <w:sz w:val="16"/>
                <w:szCs w:val="16"/>
              </w:rPr>
            </w:pPr>
            <w:r>
              <w:rPr>
                <w:rFonts w:ascii="Calibri" w:eastAsia="Calibri" w:hAnsi="Calibri" w:cs="Calibri"/>
                <w:b/>
                <w:i/>
                <w:color w:val="222222"/>
                <w:sz w:val="16"/>
                <w:szCs w:val="16"/>
              </w:rPr>
              <w:t>Źródło: w oparciu o dane EBI.</w:t>
            </w:r>
          </w:p>
        </w:tc>
        <w:tc>
          <w:tcPr>
            <w:tcW w:w="7201" w:type="dxa"/>
            <w:tcBorders>
              <w:left w:val="single" w:sz="4" w:space="0" w:color="000000"/>
            </w:tcBorders>
            <w:tcMar>
              <w:left w:w="284" w:type="dxa"/>
              <w:right w:w="284" w:type="dxa"/>
            </w:tcMar>
          </w:tcPr>
          <w:p w14:paraId="440C976B" w14:textId="79A57F2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A residual value of the project must be included on the investment cost side for the final year of the analysis. The residual value reflects the capacity of the remaining fixed assets whose economic life is not yet completely exhausted to generate revenue. The residual value will be zero or negligible, if a time horizon equal to the economic life of the asset has been selected. On the contrary, when the economic life of the project exceeds the time horizon, the salvage value of fixed asset or any remaining capacity to generate net revenues in the future has to be recorded. In other words, the residual value can be defined as the “virtual liquidation” value. </w:t>
            </w:r>
          </w:p>
          <w:p w14:paraId="15C928B8" w14:textId="77777777" w:rsidR="000927FA" w:rsidRPr="0045151D" w:rsidRDefault="000927FA">
            <w:pPr>
              <w:pBdr>
                <w:top w:val="nil"/>
                <w:left w:val="nil"/>
                <w:bottom w:val="nil"/>
                <w:right w:val="nil"/>
                <w:between w:val="nil"/>
              </w:pBdr>
              <w:spacing w:before="120"/>
              <w:jc w:val="both"/>
              <w:rPr>
                <w:rFonts w:ascii="Calibri" w:eastAsia="Calibri" w:hAnsi="Calibri" w:cs="Calibri"/>
                <w:color w:val="000000"/>
                <w:sz w:val="20"/>
                <w:szCs w:val="20"/>
                <w:lang w:val="en-GB"/>
              </w:rPr>
            </w:pPr>
          </w:p>
          <w:p w14:paraId="6B31D374" w14:textId="77777777" w:rsidR="000927FA" w:rsidRPr="0045151D" w:rsidRDefault="000927FA">
            <w:pPr>
              <w:pBdr>
                <w:top w:val="nil"/>
                <w:left w:val="nil"/>
                <w:bottom w:val="nil"/>
                <w:right w:val="nil"/>
                <w:between w:val="nil"/>
              </w:pBdr>
              <w:spacing w:before="120"/>
              <w:jc w:val="both"/>
              <w:rPr>
                <w:rFonts w:ascii="Calibri" w:eastAsia="Calibri" w:hAnsi="Calibri" w:cs="Calibri"/>
                <w:color w:val="000000"/>
                <w:sz w:val="20"/>
                <w:szCs w:val="20"/>
                <w:lang w:val="en-GB"/>
              </w:rPr>
            </w:pPr>
          </w:p>
          <w:p w14:paraId="3219CB6C" w14:textId="612BDFB3"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w:t>
            </w:r>
            <w:r w:rsidRPr="0045151D">
              <w:rPr>
                <w:rFonts w:ascii="Calibri" w:eastAsia="Calibri" w:hAnsi="Calibri" w:cs="Calibri"/>
                <w:b/>
                <w:color w:val="000000"/>
                <w:sz w:val="20"/>
                <w:szCs w:val="20"/>
                <w:lang w:val="en-GB"/>
              </w:rPr>
              <w:t>economic residual value</w:t>
            </w:r>
            <w:r w:rsidRPr="0045151D">
              <w:rPr>
                <w:rFonts w:ascii="Calibri" w:eastAsia="Calibri" w:hAnsi="Calibri" w:cs="Calibri"/>
                <w:color w:val="000000"/>
                <w:sz w:val="20"/>
                <w:szCs w:val="20"/>
                <w:lang w:val="en-GB"/>
              </w:rPr>
              <w:t xml:space="preserve"> may be very significant for projects in which the economic life of the most durable component of the investment significantly exceeds the time horizon of the cost and benefit analysis, so that the asset is expected to keep delivering benefits after the end of the reference period.</w:t>
            </w:r>
          </w:p>
          <w:p w14:paraId="229DC92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residual value could be calculated according to one of the two methods below:</w:t>
            </w:r>
          </w:p>
          <w:p w14:paraId="1A3990C4" w14:textId="77777777" w:rsidR="00600DEE" w:rsidRPr="0045151D" w:rsidRDefault="00641FB5" w:rsidP="00D5736B">
            <w:pPr>
              <w:numPr>
                <w:ilvl w:val="0"/>
                <w:numId w:val="8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recommended method, by computing the present value of economic benefits, net of economic costs in the remaining life-years of the project (approach to be adopted when the residual value is calculated in the financial analysis with the net present value of future cash flows method). The calculation formula is similar to the formula below with respective economic flows,</w:t>
            </w:r>
          </w:p>
          <w:p w14:paraId="2D737543" w14:textId="77777777" w:rsidR="00600DEE" w:rsidRPr="0045151D" w:rsidRDefault="00641FB5" w:rsidP="00D5736B">
            <w:pPr>
              <w:numPr>
                <w:ilvl w:val="0"/>
                <w:numId w:val="8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applying the conversion factor for investment costs (see chapter 2.2.2) to the financial residual value calculated based on depreciation formula.</w:t>
            </w:r>
          </w:p>
          <w:p w14:paraId="41665E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application of the first one in transport projects (where assets will usually have very long physical lives) bears the risk of the residual value being so large as to distort the analysis. The situation that the residual value represents a substantial share of project benefits, to the possible extent that the project’s socio-economic justification relies mainly on residual value, should be avoided. In fact, as presented in the EU CBA guide, the project socio-economic justification should mainly reside on benefits incurred during the reference period (residual value impacting marginally).</w:t>
            </w:r>
          </w:p>
          <w:p w14:paraId="0F50126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DDDCB4A" w14:textId="77777777" w:rsidR="00600DEE" w:rsidRPr="0045151D" w:rsidRDefault="00641FB5">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calculate the residual value based on depreciation, it is recommended to consider the average physical life of the project defined as the cost-weighted average of the physical investment components of the project under normal operating and maintenance conditions. Proposed average physical life of road infrastructure assets are presented below (Table 12). A calculation example considering the project assets physical lives is presented in Appendix A.</w:t>
            </w:r>
          </w:p>
          <w:p w14:paraId="57F70251" w14:textId="77777777" w:rsidR="000927FA" w:rsidRPr="0045151D" w:rsidRDefault="000927FA">
            <w:pPr>
              <w:pBdr>
                <w:top w:val="nil"/>
                <w:left w:val="nil"/>
                <w:bottom w:val="nil"/>
                <w:right w:val="nil"/>
                <w:between w:val="nil"/>
              </w:pBdr>
              <w:spacing w:before="120"/>
              <w:jc w:val="both"/>
              <w:rPr>
                <w:rFonts w:ascii="Calibri" w:eastAsia="Calibri" w:hAnsi="Calibri" w:cs="Calibri"/>
                <w:color w:val="000000"/>
                <w:sz w:val="20"/>
                <w:szCs w:val="20"/>
                <w:lang w:val="en-GB"/>
              </w:rPr>
            </w:pPr>
          </w:p>
          <w:p w14:paraId="04C5318C" w14:textId="0DDB7039" w:rsidR="00600DEE" w:rsidRPr="0045151D" w:rsidRDefault="00641FB5" w:rsidP="000927FA">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w:t>
            </w:r>
            <w:r w:rsidRPr="0045151D">
              <w:rPr>
                <w:rFonts w:ascii="Calibri" w:eastAsia="Calibri" w:hAnsi="Calibri" w:cs="Calibri"/>
                <w:b/>
                <w:color w:val="000000"/>
                <w:sz w:val="20"/>
                <w:szCs w:val="20"/>
                <w:lang w:val="en-GB"/>
              </w:rPr>
              <w:t>financial residual value</w:t>
            </w:r>
            <w:r w:rsidRPr="0045151D">
              <w:rPr>
                <w:rFonts w:ascii="Calibri" w:eastAsia="Calibri" w:hAnsi="Calibri" w:cs="Calibri"/>
                <w:color w:val="000000"/>
                <w:sz w:val="20"/>
                <w:szCs w:val="20"/>
                <w:lang w:val="en-GB"/>
              </w:rPr>
              <w:t xml:space="preserve"> of revenue generating projects (toll roads) should be, preferably and recommended, calculated on the basis of the income-based method, which assumes the project’s ability to generate revenues after the period covered by the detailed analysis. The financial residual value should be determined by computing the net present value of financial cash flows in the remaining life </w:t>
            </w:r>
            <w:r w:rsidRPr="0045151D">
              <w:rPr>
                <w:rFonts w:ascii="Calibri" w:eastAsia="Calibri" w:hAnsi="Calibri" w:cs="Calibri"/>
                <w:color w:val="000000"/>
                <w:sz w:val="20"/>
                <w:szCs w:val="20"/>
                <w:lang w:val="en-GB"/>
              </w:rPr>
              <w:lastRenderedPageBreak/>
              <w:t>years of the operation (i.e. 40 years average life of a new road infrastructure project is proposed, or alternatively a specific calculation of the project life can be p</w:t>
            </w:r>
            <w:r w:rsidR="00DA7241">
              <w:rPr>
                <w:rFonts w:ascii="Calibri" w:eastAsia="Calibri" w:hAnsi="Calibri" w:cs="Calibri"/>
                <w:color w:val="000000"/>
                <w:sz w:val="20"/>
                <w:szCs w:val="20"/>
                <w:lang w:val="en-GB"/>
              </w:rPr>
              <w:t>erformed as indicated below in T</w:t>
            </w:r>
            <w:r w:rsidRPr="0045151D">
              <w:rPr>
                <w:rFonts w:ascii="Calibri" w:eastAsia="Calibri" w:hAnsi="Calibri" w:cs="Calibri"/>
                <w:color w:val="000000"/>
                <w:sz w:val="20"/>
                <w:szCs w:val="20"/>
                <w:lang w:val="en-GB"/>
              </w:rPr>
              <w:t xml:space="preserve">able 12). The number of remaining life years of the operation should be calculated as average life of new infrastructure (e.g. 40 years or other as applicable) plus the period of the investment process (e.g. 2 years or other as applicable) less reference period (25 years). The figures are provided as an example only and parameters in the calculation of residual value should be adapted to the actual circumstances of the particular project. Representative flows from the last year covered by the analysis are used, i.e. flows (revenues and O&amp;M expenditures) which are not affected by single events (e.g. major repairs). If expenditures of the last year are not representative, the average values from the entire period or from an appropriately selected period of the analysis should be taken into account, so that their representativeness is ensured. </w:t>
            </w:r>
          </w:p>
          <w:p w14:paraId="1C0A7C9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residual value calculation as described above is represented by the following formula:</w:t>
            </w:r>
          </w:p>
          <w:p w14:paraId="595B41B7"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36"/>
                <w:szCs w:val="36"/>
                <w:vertAlign w:val="subscript"/>
              </w:rPr>
              <w:object w:dxaOrig="2175" w:dyaOrig="1238" w14:anchorId="42E52CA8">
                <v:shape id="_x0000_i1026" type="#_x0000_t75" style="width:109.4pt;height:61.7pt" o:ole="">
                  <v:imagedata r:id="rId107" o:title=""/>
                </v:shape>
                <o:OLEObject Type="Embed" ProgID="Equation.3" ShapeID="_x0000_i1026" DrawAspect="Content" ObjectID="_1708947468" r:id="rId108"/>
              </w:object>
            </w:r>
          </w:p>
          <w:p w14:paraId="1CF4E98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where:</w:t>
            </w:r>
          </w:p>
          <w:p w14:paraId="7AB027B9"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 – residual value at the end of the reference period (discounted),</w:t>
            </w:r>
          </w:p>
          <w:p w14:paraId="52F0E72E"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PO – operating income in the last year of the reference period (averaged if not representative),</w:t>
            </w:r>
          </w:p>
          <w:p w14:paraId="7EE1BD07"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KO – operating expenses in the last year of the reference period (averaged if not representative),</w:t>
            </w:r>
          </w:p>
          <w:p w14:paraId="351DB645"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xml:space="preserve"> – discount rate,</w:t>
            </w:r>
          </w:p>
          <w:p w14:paraId="4FE6514D"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 – year, from the end of the reference period (25) plus 1 till the end of the remaining life years of operation (e.g. 40 years of economic life after the project entering into operation),</w:t>
            </w:r>
          </w:p>
          <w:p w14:paraId="51C9E7D0"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 – total average physical life of the project (i.e. after remaining life years of operation), proposed 40 years.</w:t>
            </w:r>
          </w:p>
          <w:p w14:paraId="49CF058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residual value is not taken into account in calculations (i.e. it should be set at 0) if it is lower than zero. Residual value is recognised in the financial analysis in the last year of the analysis and needs to be discounted for the calculation of project’s financial indicators.</w:t>
            </w:r>
          </w:p>
          <w:p w14:paraId="26140C9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Alternative methods to calculate residual value, for instance based on depreciation, may also be used, considering the physical life of the road infrastructure (Table 12) and asset replacement costs computed during the reference period.</w:t>
            </w:r>
          </w:p>
          <w:p w14:paraId="6A34FDE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DFDBECC"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12. Average physical life of road infrastructure assets</w:t>
            </w:r>
          </w:p>
          <w:tbl>
            <w:tblPr>
              <w:tblStyle w:val="afff5"/>
              <w:tblW w:w="6944" w:type="dxa"/>
              <w:tblBorders>
                <w:insideH w:val="single" w:sz="4" w:space="0" w:color="FFFFFF"/>
                <w:insideV w:val="single" w:sz="4" w:space="0" w:color="FFFFFF"/>
              </w:tblBorders>
              <w:tblLayout w:type="fixed"/>
              <w:tblLook w:val="0400" w:firstRow="0" w:lastRow="0" w:firstColumn="0" w:lastColumn="0" w:noHBand="0" w:noVBand="1"/>
            </w:tblPr>
            <w:tblGrid>
              <w:gridCol w:w="2008"/>
              <w:gridCol w:w="2010"/>
              <w:gridCol w:w="2926"/>
            </w:tblGrid>
            <w:tr w:rsidR="00600DEE" w:rsidRPr="007463B9" w14:paraId="25DE2B3F" w14:textId="77777777">
              <w:trPr>
                <w:trHeight w:val="226"/>
              </w:trPr>
              <w:tc>
                <w:tcPr>
                  <w:tcW w:w="2008" w:type="dxa"/>
                  <w:vMerge w:val="restart"/>
                  <w:tcBorders>
                    <w:top w:val="nil"/>
                    <w:bottom w:val="single" w:sz="4" w:space="0" w:color="FFFFFF"/>
                  </w:tcBorders>
                  <w:shd w:val="clear" w:color="auto" w:fill="A6A6A6"/>
                  <w:vAlign w:val="center"/>
                </w:tcPr>
                <w:p w14:paraId="5A8D41D8"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Physical Life of Assets</w:t>
                  </w:r>
                </w:p>
              </w:tc>
              <w:tc>
                <w:tcPr>
                  <w:tcW w:w="2010" w:type="dxa"/>
                  <w:tcBorders>
                    <w:top w:val="nil"/>
                    <w:bottom w:val="single" w:sz="4" w:space="0" w:color="FFFFFF"/>
                  </w:tcBorders>
                  <w:shd w:val="clear" w:color="auto" w:fill="A6A6A6"/>
                  <w:vAlign w:val="center"/>
                </w:tcPr>
                <w:p w14:paraId="7823DBF9"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New Construction</w:t>
                  </w:r>
                </w:p>
              </w:tc>
              <w:tc>
                <w:tcPr>
                  <w:tcW w:w="2926" w:type="dxa"/>
                  <w:tcBorders>
                    <w:top w:val="nil"/>
                    <w:bottom w:val="single" w:sz="4" w:space="0" w:color="FFFFFF"/>
                  </w:tcBorders>
                  <w:shd w:val="clear" w:color="auto" w:fill="A6A6A6"/>
                  <w:vAlign w:val="center"/>
                </w:tcPr>
                <w:p w14:paraId="12BADDDD"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Rehabilitation</w:t>
                  </w:r>
                </w:p>
              </w:tc>
            </w:tr>
            <w:tr w:rsidR="00600DEE" w:rsidRPr="007463B9" w14:paraId="1B85B214" w14:textId="77777777">
              <w:trPr>
                <w:trHeight w:val="226"/>
              </w:trPr>
              <w:tc>
                <w:tcPr>
                  <w:tcW w:w="2008" w:type="dxa"/>
                  <w:vMerge/>
                  <w:tcBorders>
                    <w:top w:val="nil"/>
                    <w:bottom w:val="single" w:sz="4" w:space="0" w:color="FFFFFF"/>
                  </w:tcBorders>
                  <w:shd w:val="clear" w:color="auto" w:fill="A6A6A6"/>
                  <w:vAlign w:val="center"/>
                </w:tcPr>
                <w:p w14:paraId="572DE00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010" w:type="dxa"/>
                  <w:tcBorders>
                    <w:top w:val="single" w:sz="4" w:space="0" w:color="FFFFFF"/>
                    <w:bottom w:val="single" w:sz="4" w:space="0" w:color="FFFFFF"/>
                  </w:tcBorders>
                  <w:shd w:val="clear" w:color="auto" w:fill="A6A6A6"/>
                  <w:vAlign w:val="center"/>
                </w:tcPr>
                <w:p w14:paraId="15F986EE"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Years</w:t>
                  </w:r>
                </w:p>
              </w:tc>
              <w:tc>
                <w:tcPr>
                  <w:tcW w:w="2926" w:type="dxa"/>
                  <w:tcBorders>
                    <w:top w:val="single" w:sz="4" w:space="0" w:color="FFFFFF"/>
                    <w:bottom w:val="single" w:sz="4" w:space="0" w:color="FFFFFF"/>
                  </w:tcBorders>
                  <w:shd w:val="clear" w:color="auto" w:fill="A6A6A6"/>
                  <w:vAlign w:val="center"/>
                </w:tcPr>
                <w:p w14:paraId="20BA0605"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Years </w:t>
                  </w:r>
                </w:p>
              </w:tc>
            </w:tr>
            <w:tr w:rsidR="00600DEE" w:rsidRPr="007463B9" w14:paraId="7FF17C73" w14:textId="77777777">
              <w:trPr>
                <w:trHeight w:val="257"/>
              </w:trPr>
              <w:tc>
                <w:tcPr>
                  <w:tcW w:w="2008" w:type="dxa"/>
                  <w:tcBorders>
                    <w:top w:val="single" w:sz="4" w:space="0" w:color="FFFFFF"/>
                  </w:tcBorders>
                  <w:shd w:val="clear" w:color="auto" w:fill="DBE5F1"/>
                  <w:vAlign w:val="center"/>
                </w:tcPr>
                <w:p w14:paraId="730D6EF2"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Tunnels</w:t>
                  </w:r>
                </w:p>
              </w:tc>
              <w:tc>
                <w:tcPr>
                  <w:tcW w:w="2010" w:type="dxa"/>
                  <w:tcBorders>
                    <w:top w:val="single" w:sz="4" w:space="0" w:color="FFFFFF"/>
                  </w:tcBorders>
                  <w:shd w:val="clear" w:color="auto" w:fill="DBE5F1"/>
                  <w:vAlign w:val="center"/>
                </w:tcPr>
                <w:p w14:paraId="65663744"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75</w:t>
                  </w:r>
                </w:p>
              </w:tc>
              <w:tc>
                <w:tcPr>
                  <w:tcW w:w="2926" w:type="dxa"/>
                  <w:tcBorders>
                    <w:top w:val="single" w:sz="4" w:space="0" w:color="FFFFFF"/>
                  </w:tcBorders>
                  <w:shd w:val="clear" w:color="auto" w:fill="DBE5F1"/>
                  <w:vAlign w:val="center"/>
                </w:tcPr>
                <w:p w14:paraId="1D632790"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33</w:t>
                  </w:r>
                </w:p>
              </w:tc>
            </w:tr>
            <w:tr w:rsidR="00600DEE" w:rsidRPr="007463B9" w14:paraId="2D381BFA" w14:textId="77777777">
              <w:trPr>
                <w:trHeight w:val="271"/>
              </w:trPr>
              <w:tc>
                <w:tcPr>
                  <w:tcW w:w="2008" w:type="dxa"/>
                  <w:shd w:val="clear" w:color="auto" w:fill="DBE5F1"/>
                  <w:vAlign w:val="center"/>
                </w:tcPr>
                <w:p w14:paraId="6E40505E"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Bridges</w:t>
                  </w:r>
                </w:p>
              </w:tc>
              <w:tc>
                <w:tcPr>
                  <w:tcW w:w="2010" w:type="dxa"/>
                  <w:shd w:val="clear" w:color="auto" w:fill="DBE5F1"/>
                  <w:vAlign w:val="center"/>
                </w:tcPr>
                <w:p w14:paraId="34582B72"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75</w:t>
                  </w:r>
                </w:p>
              </w:tc>
              <w:tc>
                <w:tcPr>
                  <w:tcW w:w="2926" w:type="dxa"/>
                  <w:shd w:val="clear" w:color="auto" w:fill="DBE5F1"/>
                  <w:vAlign w:val="center"/>
                </w:tcPr>
                <w:p w14:paraId="358793A6"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33</w:t>
                  </w:r>
                </w:p>
              </w:tc>
            </w:tr>
            <w:tr w:rsidR="00600DEE" w:rsidRPr="007463B9" w14:paraId="06433473" w14:textId="77777777">
              <w:trPr>
                <w:trHeight w:val="271"/>
              </w:trPr>
              <w:tc>
                <w:tcPr>
                  <w:tcW w:w="2008" w:type="dxa"/>
                  <w:shd w:val="clear" w:color="auto" w:fill="DBE5F1"/>
                  <w:vAlign w:val="center"/>
                </w:tcPr>
                <w:p w14:paraId="5C960309"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Supporting Walls</w:t>
                  </w:r>
                </w:p>
              </w:tc>
              <w:tc>
                <w:tcPr>
                  <w:tcW w:w="2010" w:type="dxa"/>
                  <w:shd w:val="clear" w:color="auto" w:fill="DBE5F1"/>
                  <w:vAlign w:val="center"/>
                </w:tcPr>
                <w:p w14:paraId="01FF5979"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60</w:t>
                  </w:r>
                </w:p>
              </w:tc>
              <w:tc>
                <w:tcPr>
                  <w:tcW w:w="2926" w:type="dxa"/>
                  <w:shd w:val="clear" w:color="auto" w:fill="DBE5F1"/>
                  <w:vAlign w:val="center"/>
                </w:tcPr>
                <w:p w14:paraId="3C182B55"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w:t>
                  </w:r>
                </w:p>
              </w:tc>
            </w:tr>
            <w:tr w:rsidR="00600DEE" w:rsidRPr="007463B9" w14:paraId="1EA612E5" w14:textId="77777777">
              <w:trPr>
                <w:trHeight w:val="271"/>
              </w:trPr>
              <w:tc>
                <w:tcPr>
                  <w:tcW w:w="2008" w:type="dxa"/>
                  <w:shd w:val="clear" w:color="auto" w:fill="DBE5F1"/>
                  <w:vAlign w:val="center"/>
                </w:tcPr>
                <w:p w14:paraId="5B3FDEB7"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Embankment</w:t>
                  </w:r>
                </w:p>
              </w:tc>
              <w:tc>
                <w:tcPr>
                  <w:tcW w:w="2010" w:type="dxa"/>
                  <w:shd w:val="clear" w:color="auto" w:fill="DBE5F1"/>
                  <w:vAlign w:val="center"/>
                </w:tcPr>
                <w:p w14:paraId="3C500280"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40</w:t>
                  </w:r>
                </w:p>
              </w:tc>
              <w:tc>
                <w:tcPr>
                  <w:tcW w:w="2926" w:type="dxa"/>
                  <w:shd w:val="clear" w:color="auto" w:fill="DBE5F1"/>
                  <w:vAlign w:val="center"/>
                </w:tcPr>
                <w:p w14:paraId="647CB12E"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r>
            <w:tr w:rsidR="00600DEE" w:rsidRPr="007463B9" w14:paraId="6E3BE9F8" w14:textId="77777777">
              <w:trPr>
                <w:trHeight w:val="271"/>
              </w:trPr>
              <w:tc>
                <w:tcPr>
                  <w:tcW w:w="2008" w:type="dxa"/>
                  <w:shd w:val="clear" w:color="auto" w:fill="DBE5F1"/>
                  <w:vAlign w:val="center"/>
                </w:tcPr>
                <w:p w14:paraId="642FA538"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Noise Protection Walls</w:t>
                  </w:r>
                </w:p>
              </w:tc>
              <w:tc>
                <w:tcPr>
                  <w:tcW w:w="2010" w:type="dxa"/>
                  <w:shd w:val="clear" w:color="auto" w:fill="DBE5F1"/>
                  <w:vAlign w:val="center"/>
                </w:tcPr>
                <w:p w14:paraId="12E240DE"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25</w:t>
                  </w:r>
                </w:p>
              </w:tc>
              <w:tc>
                <w:tcPr>
                  <w:tcW w:w="2926" w:type="dxa"/>
                  <w:shd w:val="clear" w:color="auto" w:fill="DBE5F1"/>
                  <w:vAlign w:val="center"/>
                </w:tcPr>
                <w:p w14:paraId="0CDF513B"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r>
            <w:tr w:rsidR="00600DEE" w:rsidRPr="007463B9" w14:paraId="38CBF84A" w14:textId="77777777" w:rsidTr="0016169D">
              <w:trPr>
                <w:trHeight w:hRule="exact" w:val="567"/>
              </w:trPr>
              <w:tc>
                <w:tcPr>
                  <w:tcW w:w="2008" w:type="dxa"/>
                  <w:shd w:val="clear" w:color="auto" w:fill="DBE5F1"/>
                  <w:vAlign w:val="center"/>
                </w:tcPr>
                <w:p w14:paraId="0B8BCF60"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Pavement : Concrete</w:t>
                  </w:r>
                </w:p>
              </w:tc>
              <w:tc>
                <w:tcPr>
                  <w:tcW w:w="2010" w:type="dxa"/>
                  <w:shd w:val="clear" w:color="auto" w:fill="DBE5F1"/>
                  <w:vAlign w:val="center"/>
                </w:tcPr>
                <w:p w14:paraId="0D9F4828"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33</w:t>
                  </w:r>
                </w:p>
              </w:tc>
              <w:tc>
                <w:tcPr>
                  <w:tcW w:w="2926" w:type="dxa"/>
                  <w:shd w:val="clear" w:color="auto" w:fill="DBE5F1"/>
                  <w:vAlign w:val="center"/>
                </w:tcPr>
                <w:p w14:paraId="329FD570"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23</w:t>
                  </w:r>
                </w:p>
              </w:tc>
            </w:tr>
            <w:tr w:rsidR="00600DEE" w:rsidRPr="007463B9" w14:paraId="0E704F91" w14:textId="77777777" w:rsidTr="0016169D">
              <w:trPr>
                <w:trHeight w:hRule="exact" w:val="567"/>
              </w:trPr>
              <w:tc>
                <w:tcPr>
                  <w:tcW w:w="2008" w:type="dxa"/>
                  <w:shd w:val="clear" w:color="auto" w:fill="DBE5F1"/>
                  <w:vAlign w:val="center"/>
                </w:tcPr>
                <w:p w14:paraId="0400F71E"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Pavement : Asphalt</w:t>
                  </w:r>
                </w:p>
              </w:tc>
              <w:tc>
                <w:tcPr>
                  <w:tcW w:w="2010" w:type="dxa"/>
                  <w:shd w:val="clear" w:color="auto" w:fill="DBE5F1"/>
                  <w:vAlign w:val="center"/>
                </w:tcPr>
                <w:p w14:paraId="3414F146"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w:t>
                  </w:r>
                </w:p>
              </w:tc>
              <w:tc>
                <w:tcPr>
                  <w:tcW w:w="2926" w:type="dxa"/>
                  <w:shd w:val="clear" w:color="auto" w:fill="DBE5F1"/>
                  <w:vAlign w:val="center"/>
                </w:tcPr>
                <w:p w14:paraId="2278C6D3"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r>
            <w:tr w:rsidR="00600DEE" w:rsidRPr="007463B9" w14:paraId="15D33EA8" w14:textId="77777777">
              <w:trPr>
                <w:trHeight w:val="271"/>
              </w:trPr>
              <w:tc>
                <w:tcPr>
                  <w:tcW w:w="2008" w:type="dxa"/>
                  <w:shd w:val="clear" w:color="auto" w:fill="DBE5F1"/>
                  <w:vAlign w:val="center"/>
                </w:tcPr>
                <w:p w14:paraId="05A92906"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O&amp;M Equipment</w:t>
                  </w:r>
                </w:p>
              </w:tc>
              <w:tc>
                <w:tcPr>
                  <w:tcW w:w="2010" w:type="dxa"/>
                  <w:shd w:val="clear" w:color="auto" w:fill="DBE5F1"/>
                  <w:vAlign w:val="center"/>
                </w:tcPr>
                <w:p w14:paraId="45977943"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c>
                <w:tcPr>
                  <w:tcW w:w="2926" w:type="dxa"/>
                  <w:shd w:val="clear" w:color="auto" w:fill="DBE5F1"/>
                  <w:vAlign w:val="center"/>
                </w:tcPr>
                <w:p w14:paraId="5F13CE03"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r>
            <w:tr w:rsidR="00600DEE" w:rsidRPr="007463B9" w14:paraId="1DF8DBAF" w14:textId="77777777" w:rsidTr="0016169D">
              <w:trPr>
                <w:trHeight w:hRule="exact" w:val="567"/>
              </w:trPr>
              <w:tc>
                <w:tcPr>
                  <w:tcW w:w="2008" w:type="dxa"/>
                  <w:shd w:val="clear" w:color="auto" w:fill="DBE5F1"/>
                  <w:vAlign w:val="center"/>
                </w:tcPr>
                <w:p w14:paraId="64176648"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Communications Equipment</w:t>
                  </w:r>
                </w:p>
              </w:tc>
              <w:tc>
                <w:tcPr>
                  <w:tcW w:w="2010" w:type="dxa"/>
                  <w:shd w:val="clear" w:color="auto" w:fill="DBE5F1"/>
                  <w:vAlign w:val="center"/>
                </w:tcPr>
                <w:p w14:paraId="70BBBB49"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c>
                <w:tcPr>
                  <w:tcW w:w="2926" w:type="dxa"/>
                  <w:shd w:val="clear" w:color="auto" w:fill="DBE5F1"/>
                  <w:vAlign w:val="center"/>
                </w:tcPr>
                <w:p w14:paraId="6D0CC545"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w:t>
                  </w:r>
                </w:p>
              </w:tc>
            </w:tr>
            <w:tr w:rsidR="00600DEE" w:rsidRPr="007463B9" w14:paraId="0AE26BFC" w14:textId="77777777">
              <w:trPr>
                <w:trHeight w:val="271"/>
              </w:trPr>
              <w:tc>
                <w:tcPr>
                  <w:tcW w:w="2008" w:type="dxa"/>
                  <w:shd w:val="clear" w:color="auto" w:fill="DBE5F1"/>
                  <w:vAlign w:val="center"/>
                </w:tcPr>
                <w:p w14:paraId="6F10868A"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Land acquisition</w:t>
                  </w:r>
                </w:p>
              </w:tc>
              <w:tc>
                <w:tcPr>
                  <w:tcW w:w="2010" w:type="dxa"/>
                  <w:shd w:val="clear" w:color="auto" w:fill="DBE5F1"/>
                  <w:vAlign w:val="center"/>
                </w:tcPr>
                <w:p w14:paraId="68063E49"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Infinite</w:t>
                  </w:r>
                </w:p>
              </w:tc>
              <w:tc>
                <w:tcPr>
                  <w:tcW w:w="2926" w:type="dxa"/>
                  <w:shd w:val="clear" w:color="auto" w:fill="DBE5F1"/>
                  <w:vAlign w:val="center"/>
                </w:tcPr>
                <w:p w14:paraId="529074EC"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Infinite</w:t>
                  </w:r>
                </w:p>
              </w:tc>
            </w:tr>
          </w:tbl>
          <w:p w14:paraId="2B556BC1" w14:textId="77777777" w:rsidR="00600DEE" w:rsidRPr="0045151D" w:rsidRDefault="00641FB5" w:rsidP="00CE37CC">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based on EIB data.</w:t>
            </w:r>
          </w:p>
          <w:p w14:paraId="0713905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49579E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2C8FEC9B" w14:textId="0EFAD493" w:rsidR="00600DEE" w:rsidRPr="0045151D" w:rsidRDefault="00641FB5" w:rsidP="00D5736B">
      <w:pPr>
        <w:pStyle w:val="Nagwek1"/>
        <w:numPr>
          <w:ilvl w:val="0"/>
          <w:numId w:val="17"/>
        </w:numPr>
        <w:ind w:left="0" w:firstLine="0"/>
        <w:rPr>
          <w:rFonts w:ascii="Calibri" w:eastAsia="Calibri" w:hAnsi="Calibri" w:cs="Calibri"/>
          <w:color w:val="0070C0"/>
          <w:lang w:val="pl-PL"/>
        </w:rPr>
      </w:pPr>
      <w:bookmarkStart w:id="55" w:name="_Toc95377984"/>
      <w:r w:rsidRPr="0045151D">
        <w:rPr>
          <w:rFonts w:ascii="Calibri" w:eastAsia="Calibri" w:hAnsi="Calibri" w:cs="Calibri"/>
          <w:color w:val="0070C0"/>
          <w:lang w:val="pl-PL"/>
        </w:rPr>
        <w:lastRenderedPageBreak/>
        <w:t>Faza II: analiza społeczno-ekonomiczna</w:t>
      </w:r>
      <w:r w:rsidRPr="0045151D">
        <w:rPr>
          <w:rFonts w:ascii="Calibri" w:eastAsia="Calibri" w:hAnsi="Calibri" w:cs="Calibri"/>
          <w:color w:val="0070C0"/>
          <w:lang w:val="pl-PL"/>
        </w:rPr>
        <w:br/>
      </w:r>
      <w:r w:rsidRPr="0045151D">
        <w:rPr>
          <w:rFonts w:ascii="Calibri" w:eastAsia="Calibri" w:hAnsi="Calibri" w:cs="Calibri"/>
          <w:i/>
          <w:color w:val="0070C0"/>
          <w:lang w:val="pl-PL"/>
        </w:rPr>
        <w:t xml:space="preserve"> </w:t>
      </w:r>
      <w:r w:rsidRPr="0045151D">
        <w:rPr>
          <w:rFonts w:ascii="Calibri" w:eastAsia="Calibri" w:hAnsi="Calibri" w:cs="Calibri"/>
          <w:i/>
          <w:color w:val="0070C0"/>
          <w:lang w:val="pl-PL"/>
        </w:rPr>
        <w:tab/>
      </w:r>
      <w:proofErr w:type="spellStart"/>
      <w:r w:rsidRPr="0045151D">
        <w:rPr>
          <w:rFonts w:ascii="Calibri" w:eastAsia="Calibri" w:hAnsi="Calibri" w:cs="Calibri"/>
          <w:i/>
          <w:color w:val="0070C0"/>
          <w:lang w:val="pl-PL"/>
        </w:rPr>
        <w:t>Phase</w:t>
      </w:r>
      <w:proofErr w:type="spellEnd"/>
      <w:r w:rsidRPr="0045151D">
        <w:rPr>
          <w:rFonts w:ascii="Calibri" w:eastAsia="Calibri" w:hAnsi="Calibri" w:cs="Calibri"/>
          <w:i/>
          <w:color w:val="0070C0"/>
          <w:lang w:val="pl-PL"/>
        </w:rPr>
        <w:t xml:space="preserve"> II: </w:t>
      </w:r>
      <w:proofErr w:type="spellStart"/>
      <w:r w:rsidRPr="0045151D">
        <w:rPr>
          <w:rFonts w:ascii="Calibri" w:eastAsia="Calibri" w:hAnsi="Calibri" w:cs="Calibri"/>
          <w:i/>
          <w:color w:val="0070C0"/>
          <w:lang w:val="pl-PL"/>
        </w:rPr>
        <w:t>Socio-economic</w:t>
      </w:r>
      <w:proofErr w:type="spellEnd"/>
      <w:r w:rsidRPr="0045151D">
        <w:rPr>
          <w:rFonts w:ascii="Calibri" w:eastAsia="Calibri" w:hAnsi="Calibri" w:cs="Calibri"/>
          <w:i/>
          <w:color w:val="0070C0"/>
          <w:lang w:val="pl-PL"/>
        </w:rPr>
        <w:t xml:space="preserve"> </w:t>
      </w:r>
      <w:proofErr w:type="spellStart"/>
      <w:r w:rsidRPr="0045151D">
        <w:rPr>
          <w:rFonts w:ascii="Calibri" w:eastAsia="Calibri" w:hAnsi="Calibri" w:cs="Calibri"/>
          <w:i/>
          <w:color w:val="0070C0"/>
          <w:lang w:val="pl-PL"/>
        </w:rPr>
        <w:t>analysis</w:t>
      </w:r>
      <w:bookmarkEnd w:id="55"/>
      <w:proofErr w:type="spellEnd"/>
    </w:p>
    <w:tbl>
      <w:tblPr>
        <w:tblStyle w:val="afff6"/>
        <w:tblW w:w="14571" w:type="dxa"/>
        <w:tblLayout w:type="fixed"/>
        <w:tblLook w:val="0400" w:firstRow="0" w:lastRow="0" w:firstColumn="0" w:lastColumn="0" w:noHBand="0" w:noVBand="1"/>
      </w:tblPr>
      <w:tblGrid>
        <w:gridCol w:w="7370"/>
        <w:gridCol w:w="7201"/>
      </w:tblGrid>
      <w:tr w:rsidR="00600DEE" w:rsidRPr="007463B9" w14:paraId="73344CB0" w14:textId="77777777">
        <w:tc>
          <w:tcPr>
            <w:tcW w:w="7370" w:type="dxa"/>
            <w:tcBorders>
              <w:right w:val="single" w:sz="4" w:space="0" w:color="000000"/>
            </w:tcBorders>
            <w:tcMar>
              <w:left w:w="284" w:type="dxa"/>
              <w:right w:w="284" w:type="dxa"/>
            </w:tcMar>
          </w:tcPr>
          <w:p w14:paraId="2874CB6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Analiza społeczno-ekonomiczna ocenia wkład projektu do wzrostu dobrobytu społecznego w obszarze oddziaływania projektu. Celem tej analizy jest (i) wykazanie, że planowany wariant inwestycyjny jest uzasadniony ze społecznego punktu widzenia (gdy opcja została już wybrana poprzez wcześniejszą AKK lub inny sposób oceny, jak opisano w rozdziale (1.1 i 1.4); i / lub (ii) zastosowanie jej jako narzędzia analizy wariantów.</w:t>
            </w:r>
          </w:p>
          <w:p w14:paraId="23ACFBA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Analiza ekonomiczna obejmuje ilościowe i pieniężne ujęcie kosztów oraz obliczenie korzyści ekonomicznych netto na podstawie tak zwanej metody </w:t>
            </w:r>
            <w:proofErr w:type="spellStart"/>
            <w:r>
              <w:rPr>
                <w:rFonts w:ascii="Calibri" w:eastAsia="Calibri" w:hAnsi="Calibri" w:cs="Calibri"/>
                <w:color w:val="000000"/>
                <w:sz w:val="20"/>
                <w:szCs w:val="20"/>
              </w:rPr>
              <w:t>przyrostowej.Takie</w:t>
            </w:r>
            <w:proofErr w:type="spellEnd"/>
            <w:r>
              <w:rPr>
                <w:rFonts w:ascii="Calibri" w:eastAsia="Calibri" w:hAnsi="Calibri" w:cs="Calibri"/>
                <w:color w:val="000000"/>
                <w:sz w:val="20"/>
                <w:szCs w:val="20"/>
              </w:rPr>
              <w:t xml:space="preserve"> podejście wymaga: (i) przygotowania prognozy przepływów ekonomicznych dla wariantu bezinwestycyjnego; (ii) przygotowania prognozy przepływów ekonomicznych dla wariantu z realizacją projektu; (iii) uwzględnienia w AKK jedynie różnic w przepływach pomiędzy tymi scenariuszami. Zasadniczo korzyści ekonomiczne stanowią różnicę między całkowitymi kosztami ekonomicznymi w wariancie bezinwestycyjnym (W0) i analogicznymi kosztami w jednym z wariantów inwestycyjnych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w:t>
            </w:r>
          </w:p>
          <w:p w14:paraId="3E3DF99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zwrócić uwagę, że zarówno w przypadku finansowej, jak i ekonomicznej AKK, przepływy pomiędzy wszystkimi zaangażowanymi stronami są skonsolidowane. Może to być szczególnie istotne w przypadku dróg, </w:t>
            </w:r>
            <w:proofErr w:type="spellStart"/>
            <w:r>
              <w:rPr>
                <w:rFonts w:ascii="Calibri" w:eastAsia="Calibri" w:hAnsi="Calibri" w:cs="Calibri"/>
                <w:color w:val="000000"/>
                <w:sz w:val="20"/>
                <w:szCs w:val="20"/>
              </w:rPr>
              <w:t>króre</w:t>
            </w:r>
            <w:proofErr w:type="spellEnd"/>
            <w:r>
              <w:rPr>
                <w:rFonts w:ascii="Calibri" w:eastAsia="Calibri" w:hAnsi="Calibri" w:cs="Calibri"/>
                <w:color w:val="000000"/>
                <w:sz w:val="20"/>
                <w:szCs w:val="20"/>
              </w:rPr>
              <w:t xml:space="preserve"> będą pod różnym zarządem/własnością przed i po zakończeniu inwestycji. </w:t>
            </w:r>
          </w:p>
          <w:p w14:paraId="6A9D3F9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celów tej analizy należy przede wszystkim zdefiniować katalog ekonomicznych kosztów/korzyści oraz odpowiadające im koszty jednostkowe. W niniejszym podręczniku zawarty jest katalog typowych kosztów/korzyści ekonomicznych oraz rekomendowane koszty jednostkowe (w załączniku A), które uważa się za możliwe do zastosowania w AKK dla dużych projektów transportowych w Polsce (możliwe do zastosowania także dla małych projektów). Nie można również wykluczyć szczególnych przypadków, dla których konieczne będzie włączenie innych odziaływań.</w:t>
            </w:r>
          </w:p>
          <w:p w14:paraId="24E527D9" w14:textId="77777777" w:rsidR="0016169D" w:rsidRDefault="0016169D">
            <w:pPr>
              <w:pBdr>
                <w:top w:val="nil"/>
                <w:left w:val="nil"/>
                <w:bottom w:val="nil"/>
                <w:right w:val="nil"/>
                <w:between w:val="nil"/>
              </w:pBdr>
              <w:spacing w:before="120"/>
              <w:jc w:val="both"/>
              <w:rPr>
                <w:rFonts w:ascii="Calibri" w:eastAsia="Calibri" w:hAnsi="Calibri" w:cs="Calibri"/>
                <w:color w:val="000000"/>
                <w:sz w:val="20"/>
                <w:szCs w:val="20"/>
              </w:rPr>
            </w:pPr>
          </w:p>
          <w:p w14:paraId="2D9C877A" w14:textId="4412EB9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Jeżeli wykonawca analizy projektu wykorzysta inne koszty jednostkowe, należy zawsze:</w:t>
            </w:r>
          </w:p>
          <w:p w14:paraId="69061914"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dołączyć uzasadnienie zastosowania wartości alternatywnych,</w:t>
            </w:r>
          </w:p>
          <w:p w14:paraId="29FCF23A"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 analizie wrażliwości wykazać skutki wprowadzenia wartości alternatywnych sprawdzając różnice w odniesieniu do kosztów jednostkowych z załącznika A.</w:t>
            </w:r>
          </w:p>
        </w:tc>
        <w:tc>
          <w:tcPr>
            <w:tcW w:w="7201" w:type="dxa"/>
            <w:tcBorders>
              <w:left w:val="single" w:sz="4" w:space="0" w:color="000000"/>
            </w:tcBorders>
            <w:tcMar>
              <w:left w:w="284" w:type="dxa"/>
              <w:right w:w="284" w:type="dxa"/>
            </w:tcMar>
          </w:tcPr>
          <w:p w14:paraId="67E56C5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socio-economic analysis appraises the project’s contribution to the economic welfare of the project’s impact area. It is intended to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xml:space="preserve">) show that the considered investment option will be justified from the society point of view (when the option has already been selected through an earlier CBA or another appraisal technique as described in chapter 1.1 and 1.4); and/or (ii) be used as a tool of option selection. </w:t>
            </w:r>
          </w:p>
          <w:p w14:paraId="677B2F0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analysis includes quantitative and monetary depiction of costs and calculation of net economic benefits on the basis of the so called incremental approach. The incremental approach requires that: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projections of economic flows are made for the without-the-project scenario; (ii) projections of economic flows are made for the situation with the proposed project; and (iii) the CBA only considers the difference between the flows in the with-the-project and the without-the-project scenarios. Economic benefits are represented by the difference between the total economic costs in the “without-the-project option” (W0) and those when a project investment option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is implemented.</w:t>
            </w:r>
          </w:p>
          <w:p w14:paraId="7BC9354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should be noted that, for both the financial and economic CBA, flows between all relevant stakeholders are consolidated. It might be particularly relevant in the case of roads under different management/ownership before and after the investment.</w:t>
            </w:r>
          </w:p>
          <w:p w14:paraId="710DD50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This analysis requires, firstly, defining the catalogue of economic costs/benefits and their respective unit cost values. This Manual provides the catalogue of typical economic costs/benefits and includes recommended unit values for them (in Appendix A) which are considered acceptable for use in CBA prepared for major transport project applications in Poland (but also applicable to non-major Polish transport projects). It cannot be excluded that, in certain specific cases, other economic impact categories would need to be included.</w:t>
            </w:r>
          </w:p>
          <w:p w14:paraId="70EB4F97" w14:textId="77777777" w:rsidR="0016169D" w:rsidRPr="0045151D" w:rsidRDefault="0016169D">
            <w:pPr>
              <w:pBdr>
                <w:top w:val="nil"/>
                <w:left w:val="nil"/>
                <w:bottom w:val="nil"/>
                <w:right w:val="nil"/>
                <w:between w:val="nil"/>
              </w:pBdr>
              <w:spacing w:before="120"/>
              <w:jc w:val="both"/>
              <w:rPr>
                <w:rFonts w:ascii="Calibri" w:eastAsia="Calibri" w:hAnsi="Calibri" w:cs="Calibri"/>
                <w:color w:val="000000"/>
                <w:sz w:val="20"/>
                <w:szCs w:val="20"/>
                <w:lang w:val="en-GB"/>
              </w:rPr>
            </w:pPr>
          </w:p>
          <w:p w14:paraId="134E1CF5" w14:textId="77777777" w:rsidR="0016169D" w:rsidRPr="0045151D" w:rsidRDefault="0016169D">
            <w:pPr>
              <w:pBdr>
                <w:top w:val="nil"/>
                <w:left w:val="nil"/>
                <w:bottom w:val="nil"/>
                <w:right w:val="nil"/>
                <w:between w:val="nil"/>
              </w:pBdr>
              <w:spacing w:before="120"/>
              <w:jc w:val="both"/>
              <w:rPr>
                <w:rFonts w:ascii="Calibri" w:eastAsia="Calibri" w:hAnsi="Calibri" w:cs="Calibri"/>
                <w:color w:val="000000"/>
                <w:sz w:val="20"/>
                <w:szCs w:val="20"/>
                <w:lang w:val="en-GB"/>
              </w:rPr>
            </w:pPr>
          </w:p>
          <w:p w14:paraId="3AB29801" w14:textId="0E594F91"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If a project analyst uses different values, they should always:</w:t>
            </w:r>
          </w:p>
          <w:p w14:paraId="707E4131" w14:textId="77777777" w:rsidR="00600DEE" w:rsidRPr="0045151D" w:rsidRDefault="00641FB5" w:rsidP="00D5736B">
            <w:pPr>
              <w:numPr>
                <w:ilvl w:val="0"/>
                <w:numId w:val="67"/>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attach the justification for the use of alternative values,</w:t>
            </w:r>
          </w:p>
          <w:p w14:paraId="3697E50B" w14:textId="77777777" w:rsidR="00600DEE" w:rsidRPr="0045151D" w:rsidRDefault="00641FB5" w:rsidP="00D5736B">
            <w:pPr>
              <w:numPr>
                <w:ilvl w:val="0"/>
                <w:numId w:val="67"/>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demonstrate results of implementing the alternative values in the sensitivity analysis testing the differences as regards unit values in Appendix A.</w:t>
            </w:r>
          </w:p>
          <w:p w14:paraId="7C3AB4B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386EE55D" w14:textId="346FD0B1" w:rsidR="00600DEE" w:rsidRPr="00E301CF" w:rsidRDefault="00641FB5" w:rsidP="00D5736B">
      <w:pPr>
        <w:pStyle w:val="Nagwek2"/>
        <w:numPr>
          <w:ilvl w:val="1"/>
          <w:numId w:val="17"/>
        </w:numPr>
        <w:ind w:left="0" w:firstLine="0"/>
        <w:rPr>
          <w:rFonts w:ascii="Calibri" w:eastAsia="Calibri" w:hAnsi="Calibri" w:cs="Calibri"/>
          <w:color w:val="4F81BD"/>
          <w:lang w:val="pl-PL"/>
        </w:rPr>
      </w:pPr>
      <w:bookmarkStart w:id="56" w:name="_Toc95377985"/>
      <w:r w:rsidRPr="00E301CF">
        <w:rPr>
          <w:rFonts w:ascii="Calibri" w:eastAsia="Calibri" w:hAnsi="Calibri" w:cs="Calibri"/>
          <w:color w:val="4F81BD"/>
          <w:lang w:val="pl-PL"/>
        </w:rPr>
        <w:lastRenderedPageBreak/>
        <w:t>Kategorie kosztów ekonomicznych</w:t>
      </w:r>
      <w:r w:rsidRPr="00E301CF">
        <w:rPr>
          <w:rFonts w:ascii="Calibri" w:eastAsia="Calibri" w:hAnsi="Calibri" w:cs="Calibri"/>
          <w:color w:val="4F81BD"/>
          <w:lang w:val="pl-PL"/>
        </w:rPr>
        <w:tab/>
      </w:r>
      <w:r w:rsidRPr="00E301CF">
        <w:rPr>
          <w:rFonts w:ascii="Calibri" w:eastAsia="Calibri" w:hAnsi="Calibri" w:cs="Calibri"/>
          <w:color w:val="4F81BD"/>
          <w:lang w:val="pl-PL"/>
        </w:rPr>
        <w:tab/>
      </w:r>
      <w:r w:rsidRPr="00E301CF">
        <w:rPr>
          <w:rFonts w:ascii="Calibri" w:eastAsia="Calibri" w:hAnsi="Calibri" w:cs="Calibri"/>
          <w:color w:val="4F81BD"/>
          <w:lang w:val="pl-PL"/>
        </w:rPr>
        <w:tab/>
        <w:t xml:space="preserve">        </w:t>
      </w:r>
      <w:r w:rsidRPr="00E301CF">
        <w:rPr>
          <w:rFonts w:ascii="Calibri" w:eastAsia="Calibri" w:hAnsi="Calibri" w:cs="Calibri"/>
          <w:i/>
          <w:color w:val="4F81BD"/>
          <w:lang w:val="pl-PL"/>
        </w:rPr>
        <w:t xml:space="preserve">2.1   </w:t>
      </w:r>
      <w:proofErr w:type="spellStart"/>
      <w:r w:rsidRPr="00E301CF">
        <w:rPr>
          <w:rFonts w:ascii="Calibri" w:eastAsia="Calibri" w:hAnsi="Calibri" w:cs="Calibri"/>
          <w:i/>
          <w:color w:val="4F81BD"/>
          <w:lang w:val="pl-PL"/>
        </w:rPr>
        <w:t>Categories</w:t>
      </w:r>
      <w:proofErr w:type="spellEnd"/>
      <w:r w:rsidRPr="00E301CF">
        <w:rPr>
          <w:rFonts w:ascii="Calibri" w:eastAsia="Calibri" w:hAnsi="Calibri" w:cs="Calibri"/>
          <w:i/>
          <w:color w:val="4F81BD"/>
          <w:lang w:val="pl-PL"/>
        </w:rPr>
        <w:t xml:space="preserve"> of </w:t>
      </w:r>
      <w:proofErr w:type="spellStart"/>
      <w:r w:rsidRPr="00E301CF">
        <w:rPr>
          <w:rFonts w:ascii="Calibri" w:eastAsia="Calibri" w:hAnsi="Calibri" w:cs="Calibri"/>
          <w:i/>
          <w:color w:val="4F81BD"/>
          <w:lang w:val="pl-PL"/>
        </w:rPr>
        <w:t>economic</w:t>
      </w:r>
      <w:proofErr w:type="spellEnd"/>
      <w:r w:rsidRPr="00E301CF">
        <w:rPr>
          <w:rFonts w:ascii="Calibri" w:eastAsia="Calibri" w:hAnsi="Calibri" w:cs="Calibri"/>
          <w:i/>
          <w:color w:val="4F81BD"/>
          <w:lang w:val="pl-PL"/>
        </w:rPr>
        <w:t xml:space="preserve"> </w:t>
      </w:r>
      <w:proofErr w:type="spellStart"/>
      <w:r w:rsidRPr="00E301CF">
        <w:rPr>
          <w:rFonts w:ascii="Calibri" w:eastAsia="Calibri" w:hAnsi="Calibri" w:cs="Calibri"/>
          <w:i/>
          <w:color w:val="4F81BD"/>
          <w:lang w:val="pl-PL"/>
        </w:rPr>
        <w:t>costs</w:t>
      </w:r>
      <w:bookmarkEnd w:id="56"/>
      <w:proofErr w:type="spellEnd"/>
    </w:p>
    <w:tbl>
      <w:tblPr>
        <w:tblStyle w:val="afff7"/>
        <w:tblW w:w="14571" w:type="dxa"/>
        <w:tblLayout w:type="fixed"/>
        <w:tblLook w:val="0400" w:firstRow="0" w:lastRow="0" w:firstColumn="0" w:lastColumn="0" w:noHBand="0" w:noVBand="1"/>
      </w:tblPr>
      <w:tblGrid>
        <w:gridCol w:w="7356"/>
        <w:gridCol w:w="7215"/>
      </w:tblGrid>
      <w:tr w:rsidR="00600DEE" w:rsidRPr="007463B9" w14:paraId="509DD90D" w14:textId="77777777">
        <w:tc>
          <w:tcPr>
            <w:tcW w:w="7356" w:type="dxa"/>
            <w:tcBorders>
              <w:right w:val="single" w:sz="4" w:space="0" w:color="000000"/>
            </w:tcBorders>
            <w:tcMar>
              <w:left w:w="284" w:type="dxa"/>
              <w:right w:w="284" w:type="dxa"/>
            </w:tcMar>
          </w:tcPr>
          <w:p w14:paraId="1161EA25" w14:textId="77777777" w:rsidR="00600DEE" w:rsidRDefault="00641FB5">
            <w:pPr>
              <w:pBdr>
                <w:top w:val="nil"/>
                <w:left w:val="nil"/>
                <w:bottom w:val="nil"/>
                <w:right w:val="nil"/>
                <w:between w:val="nil"/>
              </w:pBdr>
              <w:spacing w:before="120"/>
              <w:jc w:val="both"/>
              <w:rPr>
                <w:rFonts w:ascii="Calibri" w:eastAsia="Calibri" w:hAnsi="Calibri" w:cs="Calibri"/>
                <w:i/>
                <w:color w:val="000000"/>
                <w:sz w:val="20"/>
                <w:szCs w:val="20"/>
              </w:rPr>
            </w:pPr>
            <w:r>
              <w:rPr>
                <w:rFonts w:ascii="Calibri" w:eastAsia="Calibri" w:hAnsi="Calibri" w:cs="Calibri"/>
                <w:i/>
                <w:color w:val="000000"/>
                <w:sz w:val="20"/>
                <w:szCs w:val="20"/>
              </w:rPr>
              <w:t>UWAGA: Dotyczy głównie projektów drogowych (rozpatrywanych w ujęciu wielogałęziowym tam gdzie zasadne)</w:t>
            </w:r>
          </w:p>
          <w:p w14:paraId="74603A3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Zgodnie z najlepszymi praktykami, koszty i korzyści społeczno-ekonomiczne projektów infrastruktury drogowej oblicza się na podstawie głównych kategorii kosztów przedstawionych w tabeli poniżej.</w:t>
            </w:r>
          </w:p>
          <w:p w14:paraId="2AA7748E" w14:textId="30A34129"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13. Główne kategorie kosztów/ korzyści ekonomicznych dla inwestycji infrastruktury drogowej </w:t>
            </w:r>
          </w:p>
          <w:tbl>
            <w:tblPr>
              <w:tblStyle w:val="afff8"/>
              <w:tblW w:w="6707" w:type="dxa"/>
              <w:tblLayout w:type="fixed"/>
              <w:tblLook w:val="0000" w:firstRow="0" w:lastRow="0" w:firstColumn="0" w:lastColumn="0" w:noHBand="0" w:noVBand="0"/>
            </w:tblPr>
            <w:tblGrid>
              <w:gridCol w:w="6707"/>
            </w:tblGrid>
            <w:tr w:rsidR="00600DEE" w14:paraId="2EF21604" w14:textId="77777777" w:rsidTr="005C3677">
              <w:trPr>
                <w:trHeight w:val="301"/>
              </w:trPr>
              <w:tc>
                <w:tcPr>
                  <w:tcW w:w="6707" w:type="dxa"/>
                  <w:tcBorders>
                    <w:top w:val="single" w:sz="4" w:space="0" w:color="FFFFFF"/>
                    <w:left w:val="single" w:sz="4" w:space="0" w:color="FFFFFF"/>
                    <w:bottom w:val="single" w:sz="4" w:space="0" w:color="FFFFFF"/>
                    <w:right w:val="single" w:sz="4" w:space="0" w:color="FFFFFF"/>
                  </w:tcBorders>
                  <w:shd w:val="clear" w:color="auto" w:fill="A6A6A6"/>
                </w:tcPr>
                <w:p w14:paraId="752F3430" w14:textId="77777777" w:rsidR="00600DEE"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rPr>
                  </w:pPr>
                  <w:r>
                    <w:rPr>
                      <w:rFonts w:ascii="Calibri" w:eastAsia="Calibri" w:hAnsi="Calibri" w:cs="Calibri"/>
                      <w:b/>
                      <w:color w:val="FFFFFF"/>
                      <w:sz w:val="18"/>
                      <w:szCs w:val="18"/>
                    </w:rPr>
                    <w:t>Główne kategorie kosztów/ korzyści  ekonomicznych dla projektów drogowych</w:t>
                  </w:r>
                </w:p>
              </w:tc>
            </w:tr>
            <w:tr w:rsidR="00600DEE" w14:paraId="6C9DB017" w14:textId="77777777" w:rsidTr="005C3677">
              <w:trPr>
                <w:trHeight w:val="249"/>
              </w:trPr>
              <w:tc>
                <w:tcPr>
                  <w:tcW w:w="6707" w:type="dxa"/>
                  <w:tcBorders>
                    <w:left w:val="single" w:sz="4" w:space="0" w:color="FFFFFF"/>
                    <w:bottom w:val="single" w:sz="4" w:space="0" w:color="FFFFFF"/>
                    <w:right w:val="single" w:sz="4" w:space="0" w:color="FFFFFF"/>
                  </w:tcBorders>
                  <w:shd w:val="clear" w:color="auto" w:fill="DBE5F1"/>
                </w:tcPr>
                <w:p w14:paraId="1843659B"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Koszty eksploatacji pojazdów</w:t>
                  </w:r>
                </w:p>
              </w:tc>
            </w:tr>
            <w:tr w:rsidR="00600DEE" w14:paraId="62512A82"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787958D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Czasu użytkowników infrastruktury drogowej</w:t>
                  </w:r>
                </w:p>
              </w:tc>
            </w:tr>
            <w:tr w:rsidR="00600DEE" w14:paraId="36F16FCC"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5ED89C4F"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Wypadków drogowych i ofiar</w:t>
                  </w:r>
                </w:p>
              </w:tc>
            </w:tr>
            <w:tr w:rsidR="00600DEE" w14:paraId="1C4E6521"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675AAA91"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Związane z emisją zanieczyszczeń powietrza</w:t>
                  </w:r>
                </w:p>
              </w:tc>
            </w:tr>
            <w:tr w:rsidR="00600DEE" w14:paraId="05549733"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068A5E69"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Zmian klimatu</w:t>
                  </w:r>
                </w:p>
              </w:tc>
            </w:tr>
            <w:tr w:rsidR="00600DEE" w14:paraId="401C196B"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193923B8"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Hałasu</w:t>
                  </w:r>
                </w:p>
              </w:tc>
            </w:tr>
          </w:tbl>
          <w:p w14:paraId="5C05B600" w14:textId="77777777" w:rsidR="00B802AC" w:rsidRPr="00371A33" w:rsidRDefault="00B802AC" w:rsidP="00B802AC">
            <w:pPr>
              <w:pStyle w:val="anxnormal"/>
              <w:ind w:left="0"/>
              <w:rPr>
                <w:rFonts w:asciiTheme="minorHAnsi" w:eastAsia="Arial" w:hAnsiTheme="minorHAnsi" w:cstheme="minorHAnsi"/>
                <w:bCs/>
                <w:spacing w:val="1"/>
                <w:position w:val="-1"/>
              </w:rPr>
            </w:pPr>
            <w:r w:rsidRPr="00A03F58">
              <w:rPr>
                <w:rFonts w:asciiTheme="minorHAnsi" w:eastAsia="Arial" w:hAnsiTheme="minorHAnsi" w:cstheme="minorHAnsi"/>
                <w:bCs/>
                <w:spacing w:val="1"/>
                <w:position w:val="-1"/>
              </w:rPr>
              <w:t>Z powyższych kategorii, pierwsze dwie są efektami bezpośrednimi, (jako część uogólnionych kosztów podróży), podczas gdy pozostałe są tak zwanymi kosztami zewnętrznymi (wypadki, zanieczyszczenie powietrza, zmiany klimatu i hałas). Warto zauważyć, że skutki społeczno-ekonomiczne inne niż wymienione powyżej mogą także być generowane. W takiej sytuacji ocena projektu powinna jakościowo zidentyfikować te oddziaływania i opisać oczekiwany efekt (poz</w:t>
            </w:r>
            <w:r w:rsidRPr="00371A33">
              <w:rPr>
                <w:rFonts w:asciiTheme="minorHAnsi" w:eastAsia="Arial" w:hAnsiTheme="minorHAnsi" w:cstheme="minorHAnsi"/>
                <w:bCs/>
                <w:spacing w:val="1"/>
                <w:position w:val="-1"/>
              </w:rPr>
              <w:t xml:space="preserve">ytywny, negatywny) oraz ich wielkości. W przypadku, gdyby któryś z tych wpływów był znaczący oraz </w:t>
            </w:r>
            <w:r w:rsidRPr="00371A33">
              <w:rPr>
                <w:rFonts w:asciiTheme="minorHAnsi" w:eastAsia="Arial" w:hAnsiTheme="minorHAnsi" w:cstheme="minorHAnsi"/>
                <w:bCs/>
                <w:spacing w:val="1"/>
                <w:position w:val="-1"/>
              </w:rPr>
              <w:lastRenderedPageBreak/>
              <w:t>istniałaby wiarygodna metoda szacowania opisana w ogólnie dostępnej literaturze, można wziąć je pod uwagę w AKK. W tym przypadku należy przejrzyście i szczegółowo przedstawić sposób ich kwantyfikacji pieniężnej i zastosowane jednostkowe wartości ekonomiczne.</w:t>
            </w:r>
          </w:p>
          <w:p w14:paraId="79271941" w14:textId="622400CB" w:rsidR="00600DEE" w:rsidRDefault="00B802AC" w:rsidP="00B802AC">
            <w:pPr>
              <w:pBdr>
                <w:top w:val="nil"/>
                <w:left w:val="nil"/>
                <w:bottom w:val="nil"/>
                <w:right w:val="nil"/>
                <w:between w:val="nil"/>
              </w:pBdr>
              <w:spacing w:before="120"/>
              <w:jc w:val="both"/>
              <w:rPr>
                <w:rFonts w:ascii="Calibri" w:eastAsia="Calibri" w:hAnsi="Calibri" w:cs="Calibri"/>
                <w:b/>
                <w:color w:val="323299"/>
                <w:sz w:val="20"/>
                <w:szCs w:val="20"/>
              </w:rPr>
            </w:pPr>
            <w:r w:rsidRPr="00B802AC">
              <w:rPr>
                <w:rFonts w:asciiTheme="minorHAnsi" w:eastAsia="Arial" w:hAnsiTheme="minorHAnsi" w:cstheme="minorHAnsi"/>
                <w:bCs/>
                <w:snapToGrid w:val="0"/>
                <w:spacing w:val="1"/>
                <w:position w:val="-1"/>
                <w:sz w:val="20"/>
                <w:szCs w:val="20"/>
              </w:rPr>
              <w:t>W ostatnich latach osiągnięto znaczący postęp w pracach nad określaniem szacunkowych wartości jednostkowych oddziaływań nierynkowych i doskonaleniem metod celem włączenia tych wartości do analizy ekonomicznej. Procesy te nadal trwają, np. w zakresie rozszerzenia katalogu kosztów zewnętrznych o koszty utraty różnorodności biologicznej oraz utraty ekosystemów (dlatego takie kategorie kosztów nie są zawarte w tabeli powyżej).</w:t>
            </w:r>
          </w:p>
        </w:tc>
        <w:tc>
          <w:tcPr>
            <w:tcW w:w="7215" w:type="dxa"/>
            <w:tcBorders>
              <w:left w:val="single" w:sz="4" w:space="0" w:color="000000"/>
            </w:tcBorders>
            <w:tcMar>
              <w:left w:w="284" w:type="dxa"/>
              <w:right w:w="284" w:type="dxa"/>
            </w:tcMar>
          </w:tcPr>
          <w:p w14:paraId="6C00BA3D" w14:textId="77777777" w:rsidR="00600DEE" w:rsidRPr="0045151D" w:rsidRDefault="00641FB5">
            <w:pPr>
              <w:pBdr>
                <w:top w:val="nil"/>
                <w:left w:val="nil"/>
                <w:bottom w:val="nil"/>
                <w:right w:val="nil"/>
                <w:between w:val="nil"/>
              </w:pBdr>
              <w:spacing w:before="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lastRenderedPageBreak/>
              <w:t>NOTE: Focus on road projects (considered within relevant multimodal perspective).</w:t>
            </w:r>
          </w:p>
          <w:p w14:paraId="72F5981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According to the best practices, the socio-economic costs and benefits of road infrastructure projects are presented in the table below:</w:t>
            </w:r>
          </w:p>
          <w:p w14:paraId="52D893C7" w14:textId="77777777" w:rsidR="00600DEE" w:rsidRPr="0045151D" w:rsidRDefault="00600DEE">
            <w:pPr>
              <w:pBdr>
                <w:top w:val="nil"/>
                <w:left w:val="nil"/>
                <w:bottom w:val="nil"/>
                <w:right w:val="nil"/>
                <w:between w:val="nil"/>
              </w:pBdr>
              <w:spacing w:after="120"/>
              <w:ind w:left="862" w:hanging="862"/>
              <w:jc w:val="both"/>
              <w:rPr>
                <w:rFonts w:ascii="Calibri" w:eastAsia="Calibri" w:hAnsi="Calibri" w:cs="Calibri"/>
                <w:b/>
                <w:color w:val="4F81BD"/>
                <w:sz w:val="20"/>
                <w:szCs w:val="20"/>
                <w:lang w:val="en-GB"/>
              </w:rPr>
            </w:pPr>
          </w:p>
          <w:p w14:paraId="59AA2903" w14:textId="77777777" w:rsidR="00600DEE" w:rsidRPr="0045151D" w:rsidRDefault="00641FB5" w:rsidP="00427449">
            <w:pPr>
              <w:pBdr>
                <w:top w:val="nil"/>
                <w:left w:val="nil"/>
                <w:bottom w:val="nil"/>
                <w:right w:val="nil"/>
                <w:between w:val="nil"/>
              </w:pBdr>
              <w:spacing w:before="360" w:after="120"/>
              <w:ind w:left="862" w:hanging="86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13. Main categories of economic costs/ benefits for road infrastructure</w:t>
            </w:r>
            <w:r w:rsidRPr="0045151D">
              <w:rPr>
                <w:rFonts w:ascii="Calibri" w:eastAsia="Calibri" w:hAnsi="Calibri" w:cs="Calibri"/>
                <w:b/>
                <w:color w:val="4F81BD"/>
                <w:sz w:val="20"/>
                <w:szCs w:val="20"/>
                <w:lang w:val="en-GB"/>
              </w:rPr>
              <w:br/>
              <w:t>investments</w:t>
            </w:r>
          </w:p>
          <w:tbl>
            <w:tblPr>
              <w:tblStyle w:val="afff9"/>
              <w:tblW w:w="6911" w:type="dxa"/>
              <w:tblInd w:w="24" w:type="dxa"/>
              <w:tblLayout w:type="fixed"/>
              <w:tblLook w:val="0000" w:firstRow="0" w:lastRow="0" w:firstColumn="0" w:lastColumn="0" w:noHBand="0" w:noVBand="0"/>
            </w:tblPr>
            <w:tblGrid>
              <w:gridCol w:w="6911"/>
            </w:tblGrid>
            <w:tr w:rsidR="00600DEE" w:rsidRPr="007463B9" w14:paraId="052C74A6" w14:textId="77777777">
              <w:trPr>
                <w:trHeight w:val="335"/>
              </w:trPr>
              <w:tc>
                <w:tcPr>
                  <w:tcW w:w="6911" w:type="dxa"/>
                  <w:tcBorders>
                    <w:top w:val="single" w:sz="4" w:space="0" w:color="FFFFFF"/>
                    <w:left w:val="single" w:sz="4" w:space="0" w:color="FFFFFF"/>
                    <w:bottom w:val="single" w:sz="4" w:space="0" w:color="FFFFFF"/>
                    <w:right w:val="single" w:sz="4" w:space="0" w:color="FFFFFF"/>
                  </w:tcBorders>
                  <w:shd w:val="clear" w:color="auto" w:fill="A6A6A6"/>
                </w:tcPr>
                <w:p w14:paraId="6FF42B42" w14:textId="77777777" w:rsidR="00600DEE" w:rsidRPr="0045151D"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Main categories of economic costs/benefits for road projects</w:t>
                  </w:r>
                </w:p>
              </w:tc>
            </w:tr>
            <w:tr w:rsidR="00600DEE" w:rsidRPr="007463B9" w14:paraId="76992312" w14:textId="77777777">
              <w:trPr>
                <w:trHeight w:val="277"/>
              </w:trPr>
              <w:tc>
                <w:tcPr>
                  <w:tcW w:w="6911" w:type="dxa"/>
                  <w:tcBorders>
                    <w:left w:val="single" w:sz="4" w:space="0" w:color="FFFFFF"/>
                    <w:bottom w:val="single" w:sz="4" w:space="0" w:color="FFFFFF"/>
                    <w:right w:val="single" w:sz="4" w:space="0" w:color="FFFFFF"/>
                  </w:tcBorders>
                  <w:shd w:val="clear" w:color="auto" w:fill="DBE5F1"/>
                </w:tcPr>
                <w:p w14:paraId="1583A68D" w14:textId="77777777" w:rsidR="00600DEE" w:rsidRPr="0045151D" w:rsidRDefault="00641FB5">
                  <w:pPr>
                    <w:spacing w:before="53"/>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Vehicle operating costs</w:t>
                  </w:r>
                </w:p>
              </w:tc>
            </w:tr>
            <w:tr w:rsidR="00600DEE" w:rsidRPr="007463B9" w14:paraId="0C9C03F3"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6BE35E0D"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Road users’ travel time</w:t>
                  </w:r>
                </w:p>
              </w:tc>
            </w:tr>
            <w:tr w:rsidR="00600DEE" w:rsidRPr="007463B9" w14:paraId="179D2672"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5850320E"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Road accidents and fatalities</w:t>
                  </w:r>
                </w:p>
              </w:tc>
            </w:tr>
            <w:tr w:rsidR="00600DEE" w:rsidRPr="007463B9" w14:paraId="494CC412"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02D89159"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Air pollution</w:t>
                  </w:r>
                </w:p>
              </w:tc>
            </w:tr>
            <w:tr w:rsidR="00600DEE" w:rsidRPr="007463B9" w14:paraId="3427360D"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210ABDFC"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Climate change impact </w:t>
                  </w:r>
                </w:p>
              </w:tc>
            </w:tr>
            <w:tr w:rsidR="00600DEE" w:rsidRPr="007463B9" w14:paraId="5288BB70"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5F5171D4"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Noise </w:t>
                  </w:r>
                </w:p>
              </w:tc>
            </w:tr>
          </w:tbl>
          <w:p w14:paraId="628BA75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From the above categories, the first two are direct impacts (as part of the generalised costs of travel) and the rest are the so-called externalities (accidents, air pollution, climate change and noise). It is worth noting that socio-economic impacts other than those listed above can be generated. The assessment of the project should qualitatively identify these impacts and describe the expected direction (positive, negative) and their magnitude. In case any of these impacts would be significant, and a reliable estimation methodology would be available in literature and can be applied, they could be taken into account in the CBA. In this </w:t>
            </w:r>
            <w:r w:rsidRPr="0045151D">
              <w:rPr>
                <w:rFonts w:ascii="Calibri" w:eastAsia="Calibri" w:hAnsi="Calibri" w:cs="Calibri"/>
                <w:color w:val="000000"/>
                <w:sz w:val="20"/>
                <w:szCs w:val="20"/>
                <w:lang w:val="en-GB"/>
              </w:rPr>
              <w:lastRenderedPageBreak/>
              <w:t>case, the way of their monetary quantification, as well as economic unit values used will have to be clearly presented.</w:t>
            </w:r>
          </w:p>
          <w:p w14:paraId="229F3415"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323299"/>
                <w:sz w:val="20"/>
                <w:szCs w:val="20"/>
                <w:lang w:val="en-GB"/>
              </w:rPr>
            </w:pPr>
            <w:r w:rsidRPr="0045151D">
              <w:rPr>
                <w:rFonts w:ascii="Calibri" w:eastAsia="Calibri" w:hAnsi="Calibri" w:cs="Calibri"/>
                <w:color w:val="000000"/>
                <w:sz w:val="20"/>
                <w:szCs w:val="20"/>
                <w:lang w:val="en-GB"/>
              </w:rPr>
              <w:t>Significant progress has been made in recent years in refining the estimates of unit values of non-market impacts and improving methods to integrate such values into economic analysis. Developments in this field are on-going, however still needed, for example in order to broaden the range of externalities considered, such as loss of biodiversity and ecosystem services (therefore, not included at the moment in the table above).</w:t>
            </w:r>
          </w:p>
        </w:tc>
      </w:tr>
    </w:tbl>
    <w:p w14:paraId="529CB63E"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1083F4A" w14:textId="0960E409" w:rsidR="00600DEE" w:rsidRDefault="00641FB5" w:rsidP="00D5736B">
      <w:pPr>
        <w:pStyle w:val="Nagwek3"/>
        <w:numPr>
          <w:ilvl w:val="2"/>
          <w:numId w:val="17"/>
        </w:numPr>
        <w:ind w:left="0" w:firstLine="0"/>
        <w:rPr>
          <w:rFonts w:ascii="Calibri" w:eastAsia="Calibri" w:hAnsi="Calibri" w:cs="Calibri"/>
          <w:color w:val="4F81BD"/>
        </w:rPr>
      </w:pPr>
      <w:bookmarkStart w:id="57" w:name="_Toc95377986"/>
      <w:r>
        <w:rPr>
          <w:rFonts w:ascii="Calibri" w:eastAsia="Calibri" w:hAnsi="Calibri" w:cs="Calibri"/>
          <w:color w:val="4F81BD"/>
        </w:rPr>
        <w:t>Koszty eksploatacji pojazdów</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 xml:space="preserve">2.1.1   </w:t>
      </w:r>
      <w:proofErr w:type="spellStart"/>
      <w:r>
        <w:rPr>
          <w:rFonts w:ascii="Calibri" w:eastAsia="Calibri" w:hAnsi="Calibri" w:cs="Calibri"/>
          <w:i/>
          <w:color w:val="4F81BD"/>
        </w:rPr>
        <w:t>Vehicle</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operating</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costs</w:t>
      </w:r>
      <w:bookmarkEnd w:id="57"/>
      <w:proofErr w:type="spellEnd"/>
    </w:p>
    <w:tbl>
      <w:tblPr>
        <w:tblStyle w:val="afffa"/>
        <w:tblW w:w="14571" w:type="dxa"/>
        <w:tblLayout w:type="fixed"/>
        <w:tblLook w:val="0400" w:firstRow="0" w:lastRow="0" w:firstColumn="0" w:lastColumn="0" w:noHBand="0" w:noVBand="1"/>
      </w:tblPr>
      <w:tblGrid>
        <w:gridCol w:w="7353"/>
        <w:gridCol w:w="7218"/>
      </w:tblGrid>
      <w:tr w:rsidR="00600DEE" w:rsidRPr="007463B9" w14:paraId="79C44A7D" w14:textId="77777777">
        <w:trPr>
          <w:trHeight w:val="708"/>
        </w:trPr>
        <w:tc>
          <w:tcPr>
            <w:tcW w:w="7353" w:type="dxa"/>
            <w:tcBorders>
              <w:right w:val="single" w:sz="4" w:space="0" w:color="000000"/>
            </w:tcBorders>
            <w:tcMar>
              <w:left w:w="284" w:type="dxa"/>
              <w:right w:w="284" w:type="dxa"/>
            </w:tcMar>
          </w:tcPr>
          <w:p w14:paraId="1470E0C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wszystkich wariantów (W0 i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xml:space="preserve">) koszty eksploatacji pojazdów obejmują całkowite koszty operacyjne wszystkich pojazdów poruszających się po sieci dróg objętej analizą. </w:t>
            </w:r>
          </w:p>
          <w:p w14:paraId="496B5B60" w14:textId="118FD4B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58" w:name="_heading=h.28h4qwu" w:colFirst="0" w:colLast="0"/>
            <w:bookmarkEnd w:id="58"/>
            <w:r>
              <w:rPr>
                <w:rFonts w:ascii="Calibri" w:eastAsia="Calibri" w:hAnsi="Calibri" w:cs="Calibri"/>
                <w:color w:val="000000"/>
                <w:sz w:val="20"/>
                <w:szCs w:val="20"/>
              </w:rPr>
              <w:t>Koszty oblicza się na podstawie jednostkowych kosztów ekonomicznych eksploatacji poszczególnych kategorii pojazdów. W przypadku pojazdów przemieszczających się po drogach, są one co do zasady funkcją różnych czynników, takich jak prędkość pojazdu, stan nawierzchni drogi,</w:t>
            </w:r>
            <w:r w:rsidR="00DA7241">
              <w:rPr>
                <w:rFonts w:ascii="Calibri" w:eastAsia="Calibri" w:hAnsi="Calibri" w:cs="Calibri"/>
                <w:color w:val="000000"/>
                <w:sz w:val="20"/>
                <w:szCs w:val="20"/>
              </w:rPr>
              <w:t xml:space="preserve"> </w:t>
            </w:r>
            <w:r>
              <w:rPr>
                <w:rFonts w:ascii="Calibri" w:eastAsia="Calibri" w:hAnsi="Calibri" w:cs="Calibri"/>
                <w:color w:val="000000"/>
                <w:sz w:val="20"/>
                <w:szCs w:val="20"/>
              </w:rPr>
              <w:t>nachylenie podłużne drogi oraz struktura floty pojazdów.</w:t>
            </w:r>
          </w:p>
          <w:p w14:paraId="369D571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59" w:name="_heading=h.nmf14n" w:colFirst="0" w:colLast="0"/>
            <w:bookmarkEnd w:id="59"/>
            <w:r>
              <w:rPr>
                <w:rFonts w:ascii="Calibri" w:eastAsia="Calibri" w:hAnsi="Calibri" w:cs="Calibri"/>
                <w:color w:val="000000"/>
                <w:sz w:val="20"/>
                <w:szCs w:val="20"/>
              </w:rPr>
              <w:t>Do kosztów eksploatacji pojazdów, ponoszonych przez ich użytkowników na drodze,  przede wszystkim należy zaliczyć:</w:t>
            </w:r>
          </w:p>
          <w:p w14:paraId="4D23697F" w14:textId="77777777" w:rsidR="00600DEE" w:rsidRDefault="00641FB5" w:rsidP="00D5736B">
            <w:pPr>
              <w:numPr>
                <w:ilvl w:val="0"/>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zużycia paliwa: zależne od przebiegu drogi w terenie i warunków ruchowych (tzn. prędkości);</w:t>
            </w:r>
          </w:p>
          <w:p w14:paraId="6292F9F0" w14:textId="77777777" w:rsidR="00600DEE" w:rsidRDefault="00641FB5" w:rsidP="00D5736B">
            <w:pPr>
              <w:numPr>
                <w:ilvl w:val="0"/>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Inne koszty: stan techniczny drogi mający wpływ na zużycie pojazdów, </w:t>
            </w:r>
            <w:r>
              <w:rPr>
                <w:rFonts w:ascii="Calibri" w:eastAsia="Calibri" w:hAnsi="Calibri" w:cs="Calibri"/>
                <w:color w:val="000000"/>
                <w:sz w:val="20"/>
                <w:szCs w:val="20"/>
              </w:rPr>
              <w:br/>
              <w:t>w tym koszty oleju, zużycia opon, przeglądów oraz amortyzacja.</w:t>
            </w:r>
          </w:p>
          <w:p w14:paraId="3B8B4CF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0" w:name="_heading=h.37m2jsg" w:colFirst="0" w:colLast="0"/>
            <w:bookmarkEnd w:id="60"/>
            <w:r>
              <w:rPr>
                <w:rFonts w:ascii="Calibri" w:eastAsia="Calibri" w:hAnsi="Calibri" w:cs="Calibri"/>
                <w:color w:val="000000"/>
                <w:sz w:val="20"/>
                <w:szCs w:val="20"/>
              </w:rPr>
              <w:t>Proponuje się oszacowanie kosztów eksploatacji tych pojazdów w podziale na dwie główne kategorie: samochody lekkie</w:t>
            </w: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(LV) oraz samochody ciężkie (HGV), tak jak pokazano w załączniku A. W przypadku gdy wyniki prognozy ruchu przedstawione są w bardziej szczegółowym podziale (np. na pięć kategorii, o których jest mowa w rozdziale dotyczącym prognozowania), koszty kategorii LV z załącznika A powinny </w:t>
            </w:r>
            <w:r>
              <w:rPr>
                <w:rFonts w:ascii="Calibri" w:eastAsia="Calibri" w:hAnsi="Calibri" w:cs="Calibri"/>
                <w:color w:val="000000"/>
                <w:sz w:val="20"/>
                <w:szCs w:val="20"/>
              </w:rPr>
              <w:lastRenderedPageBreak/>
              <w:t>być zastosowane do samochodów osobowych oraz samochodów dostawczych, a koszty kategorii HGV z załącznika A do samochodów ciężarowych bez przyczep, samochodów ciężarowych z przyczepami i autobusów.</w:t>
            </w:r>
          </w:p>
          <w:p w14:paraId="6A15A02F" w14:textId="536AFD36"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1" w:name="_heading=h.1mrcu09" w:colFirst="0" w:colLast="0"/>
            <w:bookmarkEnd w:id="61"/>
            <w:r>
              <w:rPr>
                <w:rFonts w:ascii="Calibri" w:eastAsia="Calibri" w:hAnsi="Calibri" w:cs="Calibri"/>
                <w:color w:val="000000"/>
                <w:sz w:val="20"/>
                <w:szCs w:val="20"/>
              </w:rPr>
              <w:t xml:space="preserve">Dla kosztów eksploatacji pojazdów zaproponowanych w załączniku A założono, że aktualna flota pojazdów drogowych, w podziale według rodzajów stosowanego paliwa, składa się głównie z: pojazdów benzynowych i napędzanych olejem napędowym w kategorii LV oraz wyłącznie napędzanych olejem </w:t>
            </w:r>
            <w:r w:rsidR="00DA7241">
              <w:rPr>
                <w:rFonts w:ascii="Calibri" w:eastAsia="Calibri" w:hAnsi="Calibri" w:cs="Calibri"/>
                <w:color w:val="000000"/>
                <w:sz w:val="20"/>
                <w:szCs w:val="20"/>
              </w:rPr>
              <w:t>napędowym w kategorii HGV (założ</w:t>
            </w:r>
            <w:r>
              <w:rPr>
                <w:rFonts w:ascii="Calibri" w:eastAsia="Calibri" w:hAnsi="Calibri" w:cs="Calibri"/>
                <w:color w:val="000000"/>
                <w:sz w:val="20"/>
                <w:szCs w:val="20"/>
              </w:rPr>
              <w:t xml:space="preserve">ono, ze koszty jednostkowe eksploatacji pojazdów lekkich LV benzynowych i napędzanych olejem napędowym kształtują się na tym samym poziomie). Taka struktura floty pojazdów pod względem rodzajów stosowanego paliwa stale ewoluuje, przy czym spodziewany jest wzrost udziału pojazdów elektrycznych (w następstwie polityki łagodzenia zmian klimatu i celów, o których mowa we Wstępie do niniejszego opracowania). Taka ewolucja składu floty musi znaleźć odzwierciedlenie w okresie odniesienia analizy. Implikuje to uwzględnienie ewoluowania kosztów eksploatacji pojazdów. </w:t>
            </w:r>
          </w:p>
          <w:p w14:paraId="5AAF2B3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załączniku A znaleźć można: jednostkowe koszty eksploatacji pojazdów dla głównych typów pojazdów (jak również dla szerszej gamy typów pojazdów na wypadek konieczności przeprowadzenia bardziej szczegółowych obliczeń); zakładany aktualny skład floty w podziale według rodzajów stosowanego paliwa /energii i jego zmiany w czasie wraz z zasadami ich obliczania. Wartości zawarte w załączniku A opracowano na podstawie uznanych właściwych źródeł podanych w odnośnikach. Szczegółowe informacje na temat zasad obliczeń oraz założeń dotyczących jednostkowych kosztów eksploatacji różnych typów pojazdów, zawarto w załączniku D.</w:t>
            </w:r>
          </w:p>
          <w:p w14:paraId="0D19349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uwzględnienia ruchu kolejowego należy uwzględnić właściwe koszty eksploatacyjne (w oparciu o dane z PLK lub CUPT).</w:t>
            </w:r>
          </w:p>
          <w:p w14:paraId="1B0388BB" w14:textId="35E517E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eksploatacji pojazdów dla planowanej inwestycji należy obliczać dla każdego wariantu </w:t>
            </w:r>
            <w:r w:rsidR="009038CF">
              <w:rPr>
                <w:rFonts w:ascii="Calibri" w:eastAsia="Calibri" w:hAnsi="Calibri" w:cs="Calibri"/>
                <w:color w:val="000000"/>
                <w:sz w:val="20"/>
                <w:szCs w:val="20"/>
              </w:rPr>
              <w:t>(W0 i </w:t>
            </w:r>
            <w:proofErr w:type="spellStart"/>
            <w:r w:rsidR="009038CF">
              <w:rPr>
                <w:rFonts w:ascii="Calibri" w:eastAsia="Calibri" w:hAnsi="Calibri" w:cs="Calibri"/>
                <w:color w:val="000000"/>
                <w:sz w:val="20"/>
                <w:szCs w:val="20"/>
              </w:rPr>
              <w:t>Wn</w:t>
            </w:r>
            <w:proofErr w:type="spellEnd"/>
            <w:r w:rsidR="009038CF">
              <w:rPr>
                <w:rFonts w:ascii="Calibri" w:eastAsia="Calibri" w:hAnsi="Calibri" w:cs="Calibri"/>
                <w:color w:val="000000"/>
                <w:sz w:val="20"/>
                <w:szCs w:val="20"/>
              </w:rPr>
              <w:t>), każdego typu pojazdu</w:t>
            </w:r>
            <w:r>
              <w:rPr>
                <w:rFonts w:ascii="Calibri" w:eastAsia="Calibri" w:hAnsi="Calibri" w:cs="Calibri"/>
                <w:color w:val="000000"/>
                <w:sz w:val="20"/>
                <w:szCs w:val="20"/>
              </w:rPr>
              <w:t xml:space="preserve"> i każdego roku przez cały okres odniesienia. Dla inwestycji analizowanych metodą sieciową/buforową koszty eksploatacji wylicza się na podstawie wielkości pracy przewozowej obliczonej </w:t>
            </w:r>
            <w:r>
              <w:rPr>
                <w:rFonts w:ascii="Calibri" w:eastAsia="Calibri" w:hAnsi="Calibri" w:cs="Calibri"/>
                <w:color w:val="000000"/>
                <w:sz w:val="20"/>
                <w:szCs w:val="20"/>
              </w:rPr>
              <w:br/>
              <w:t>z wykorzystaniem modelu ruchu dla ustalonych kategorii pojazdów i klas prędkości oraz uśrednionych kosztów eksploatacyjnych dla tych klas.</w:t>
            </w:r>
          </w:p>
          <w:p w14:paraId="517F5D4B" w14:textId="0C58359F"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2" w:name="_heading=h.46r0co2" w:colFirst="0" w:colLast="0"/>
            <w:bookmarkEnd w:id="62"/>
            <w:r>
              <w:rPr>
                <w:rFonts w:ascii="Calibri" w:eastAsia="Calibri" w:hAnsi="Calibri" w:cs="Calibri"/>
                <w:color w:val="000000"/>
                <w:sz w:val="20"/>
                <w:szCs w:val="20"/>
              </w:rPr>
              <w:t>Sposób obliczania kosztów eksploatacji pojazdów na podstawie pracy przewozowej obliczonej z modelu (lub z wykorzystaniem podejścia odcinkowego) przedstawiono w poniższej tabeli.</w:t>
            </w:r>
          </w:p>
          <w:p w14:paraId="6CA6CA16" w14:textId="63301C2A" w:rsidR="00600DEE" w:rsidRDefault="00DA7241">
            <w:pPr>
              <w:pBdr>
                <w:top w:val="nil"/>
                <w:left w:val="nil"/>
                <w:bottom w:val="nil"/>
                <w:right w:val="nil"/>
                <w:between w:val="nil"/>
              </w:pBdr>
              <w:spacing w:before="120" w:after="120"/>
              <w:ind w:left="1418" w:hanging="1418"/>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14</w:t>
            </w:r>
            <w:r w:rsidR="00641FB5">
              <w:rPr>
                <w:rFonts w:ascii="Calibri" w:eastAsia="Calibri" w:hAnsi="Calibri" w:cs="Calibri"/>
                <w:b/>
                <w:color w:val="4F81BD"/>
                <w:sz w:val="20"/>
                <w:szCs w:val="20"/>
              </w:rPr>
              <w:t>. Wzory na wyliczenie kosztów eksploatacji pojazdów dla analizy wykonanej metodą sieciową/buforową lub analizy odcinkowej.</w:t>
            </w:r>
          </w:p>
          <w:tbl>
            <w:tblPr>
              <w:tblStyle w:val="afffb"/>
              <w:tblW w:w="680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04"/>
            </w:tblGrid>
            <w:tr w:rsidR="00600DEE" w14:paraId="016FC43E" w14:textId="77777777" w:rsidTr="00A24E90">
              <w:trPr>
                <w:trHeight w:hRule="exact" w:val="5028"/>
              </w:trPr>
              <w:tc>
                <w:tcPr>
                  <w:tcW w:w="6804" w:type="dxa"/>
                  <w:shd w:val="clear" w:color="auto" w:fill="DBE5F1"/>
                  <w:vAlign w:val="center"/>
                </w:tcPr>
                <w:p w14:paraId="55A39EC2" w14:textId="77777777" w:rsidR="00600DEE" w:rsidRDefault="00600DEE">
                  <w:pPr>
                    <w:pBdr>
                      <w:top w:val="nil"/>
                      <w:left w:val="nil"/>
                      <w:bottom w:val="nil"/>
                      <w:right w:val="nil"/>
                      <w:between w:val="nil"/>
                    </w:pBdr>
                    <w:spacing w:before="120" w:after="40"/>
                    <w:jc w:val="center"/>
                    <w:rPr>
                      <w:rFonts w:ascii="Calibri" w:eastAsia="Calibri" w:hAnsi="Calibri" w:cs="Calibri"/>
                      <w:color w:val="4F81BD"/>
                      <w:sz w:val="18"/>
                      <w:szCs w:val="18"/>
                    </w:rPr>
                  </w:pPr>
                </w:p>
                <w:p w14:paraId="010E608E"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810" w:dyaOrig="825" w14:anchorId="6CEEF9BA">
                      <v:shape id="_x0000_i1027" type="#_x0000_t75" style="width:189.8pt;height:41.15pt" o:ole="" filled="t">
                        <v:fill color2="black"/>
                        <v:imagedata r:id="rId109" o:title=""/>
                      </v:shape>
                      <o:OLEObject Type="Embed" ProgID="Equation.3" ShapeID="_x0000_i1027" DrawAspect="Content" ObjectID="_1708947469" r:id="rId110"/>
                    </w:object>
                  </w:r>
                </w:p>
                <w:p w14:paraId="1F9AE68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148A92B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e</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roczne koszty eksploatacji pojazdów samochodowych, w PLN,</w:t>
                  </w:r>
                </w:p>
                <w:p w14:paraId="232AB136"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J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liczba kategorii pojazdów,</w:t>
                  </w:r>
                </w:p>
                <w:p w14:paraId="37DD2E16" w14:textId="14285B29"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ej</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V</w:t>
                  </w:r>
                  <w:r>
                    <w:rPr>
                      <w:rFonts w:ascii="Calibri" w:eastAsia="Calibri" w:hAnsi="Calibri" w:cs="Calibri"/>
                      <w:color w:val="4F81BD"/>
                      <w:sz w:val="18"/>
                      <w:szCs w:val="18"/>
                      <w:vertAlign w:val="subscript"/>
                    </w:rPr>
                    <w:t>pdr</w:t>
                  </w:r>
                  <w:proofErr w:type="spellEnd"/>
                  <w:r>
                    <w:rPr>
                      <w:rFonts w:ascii="Calibri" w:eastAsia="Calibri" w:hAnsi="Calibri" w:cs="Calibri"/>
                      <w:color w:val="4F81BD"/>
                      <w:sz w:val="18"/>
                      <w:szCs w:val="18"/>
                      <w:vertAlign w:val="subscript"/>
                    </w:rPr>
                    <w:t xml:space="preserve"> </w:t>
                  </w:r>
                  <w:proofErr w:type="spellStart"/>
                  <w:r>
                    <w:rPr>
                      <w:rFonts w:ascii="Calibri" w:eastAsia="Calibri" w:hAnsi="Calibri" w:cs="Calibri"/>
                      <w:color w:val="4F81BD"/>
                      <w:sz w:val="18"/>
                      <w:szCs w:val="18"/>
                      <w:vertAlign w:val="subscript"/>
                    </w:rPr>
                    <w:t>j</w:t>
                  </w:r>
                  <w:r>
                    <w:rPr>
                      <w:rFonts w:ascii="Calibri" w:eastAsia="Calibri" w:hAnsi="Calibri" w:cs="Calibri"/>
                      <w:color w:val="4F81BD"/>
                      <w:sz w:val="18"/>
                      <w:szCs w:val="18"/>
                    </w:rPr>
                    <w:t>,T,S</w:t>
                  </w:r>
                  <w:proofErr w:type="spellEnd"/>
                  <w:r>
                    <w:rPr>
                      <w:rFonts w:ascii="Calibri" w:eastAsia="Calibri" w:hAnsi="Calibri" w:cs="Calibri"/>
                      <w:color w:val="4F81BD"/>
                      <w:sz w:val="18"/>
                      <w:szCs w:val="18"/>
                    </w:rPr>
                    <w:t>) – jednostkowe koszty eksploatacji dla kategorii poj</w:t>
                  </w:r>
                  <w:r w:rsidR="00A24E90">
                    <w:rPr>
                      <w:rFonts w:ascii="Calibri" w:eastAsia="Calibri" w:hAnsi="Calibri" w:cs="Calibri"/>
                      <w:color w:val="4F81BD"/>
                      <w:sz w:val="18"/>
                      <w:szCs w:val="18"/>
                    </w:rPr>
                    <w:t xml:space="preserve">azdów </w:t>
                  </w:r>
                  <w:r>
                    <w:rPr>
                      <w:rFonts w:ascii="Calibri" w:eastAsia="Calibri" w:hAnsi="Calibri" w:cs="Calibri"/>
                      <w:color w:val="4F81BD"/>
                      <w:sz w:val="18"/>
                      <w:szCs w:val="18"/>
                    </w:rPr>
                    <w:t>samochodowych   „j” w funkcji klasy drogi</w:t>
                  </w:r>
                  <w:r w:rsidR="00A24E90">
                    <w:rPr>
                      <w:rFonts w:ascii="Calibri" w:eastAsia="Calibri" w:hAnsi="Calibri" w:cs="Calibri"/>
                      <w:color w:val="4F81BD"/>
                      <w:sz w:val="18"/>
                      <w:szCs w:val="18"/>
                    </w:rPr>
                    <w:t xml:space="preserve">/prędkości podróży </w:t>
                  </w:r>
                  <w:proofErr w:type="spellStart"/>
                  <w:r w:rsidR="00A24E90">
                    <w:rPr>
                      <w:rFonts w:ascii="Calibri" w:eastAsia="Calibri" w:hAnsi="Calibri" w:cs="Calibri"/>
                      <w:color w:val="4F81BD"/>
                      <w:sz w:val="18"/>
                      <w:szCs w:val="18"/>
                    </w:rPr>
                    <w:t>Vpdr</w:t>
                  </w:r>
                  <w:proofErr w:type="spellEnd"/>
                  <w:r w:rsidR="00A24E90">
                    <w:rPr>
                      <w:rFonts w:ascii="Calibri" w:eastAsia="Calibri" w:hAnsi="Calibri" w:cs="Calibri"/>
                      <w:color w:val="4F81BD"/>
                      <w:sz w:val="18"/>
                      <w:szCs w:val="18"/>
                    </w:rPr>
                    <w:t xml:space="preserve"> j, u</w:t>
                  </w:r>
                  <w:r>
                    <w:rPr>
                      <w:rFonts w:ascii="Calibri" w:eastAsia="Calibri" w:hAnsi="Calibri" w:cs="Calibri"/>
                      <w:color w:val="4F81BD"/>
                      <w:sz w:val="18"/>
                      <w:szCs w:val="18"/>
                    </w:rPr>
                    <w:t>kształtowania terenu T i stanu techniczn</w:t>
                  </w:r>
                  <w:r w:rsidR="00A24E90">
                    <w:rPr>
                      <w:rFonts w:ascii="Calibri" w:eastAsia="Calibri" w:hAnsi="Calibri" w:cs="Calibri"/>
                      <w:color w:val="4F81BD"/>
                      <w:sz w:val="18"/>
                      <w:szCs w:val="18"/>
                    </w:rPr>
                    <w:t>ego nawierzchni S, w PLN/</w:t>
                  </w:r>
                  <w:proofErr w:type="spellStart"/>
                  <w:r w:rsidR="00A24E90">
                    <w:rPr>
                      <w:rFonts w:ascii="Calibri" w:eastAsia="Calibri" w:hAnsi="Calibri" w:cs="Calibri"/>
                      <w:color w:val="4F81BD"/>
                      <w:sz w:val="18"/>
                      <w:szCs w:val="18"/>
                    </w:rPr>
                    <w:t>poj</w:t>
                  </w:r>
                  <w:proofErr w:type="spellEnd"/>
                  <w:r w:rsidR="00A24E90">
                    <w:rPr>
                      <w:rFonts w:ascii="Calibri" w:eastAsia="Calibri" w:hAnsi="Calibri" w:cs="Calibri"/>
                      <w:color w:val="4F81BD"/>
                      <w:sz w:val="18"/>
                      <w:szCs w:val="18"/>
                    </w:rPr>
                    <w:t>-km</w:t>
                  </w:r>
                </w:p>
                <w:p w14:paraId="3B3DCC6F"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średnioroczne dobowe natężenie ruchu kategorii pojazdów „j”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 pojazdach/dobę,</w:t>
                  </w:r>
                </w:p>
                <w:p w14:paraId="4CD8969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L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długość odcinka drogi w km,</w:t>
                  </w:r>
                </w:p>
                <w:p w14:paraId="2C15F7A6"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W </w:t>
                  </w:r>
                  <w:proofErr w:type="spellStart"/>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praca przewozowa dla pojazdów kategorii „j” w zależności od długości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odcinka drogi, oraz przedziału prędkości </w:t>
                  </w:r>
                  <w:proofErr w:type="spellStart"/>
                  <w:r>
                    <w:rPr>
                      <w:rFonts w:ascii="Calibri" w:eastAsia="Calibri" w:hAnsi="Calibri" w:cs="Calibri"/>
                      <w:color w:val="4F81BD"/>
                      <w:sz w:val="18"/>
                      <w:szCs w:val="18"/>
                    </w:rPr>
                    <w:t>V</w:t>
                  </w:r>
                  <w:r>
                    <w:rPr>
                      <w:rFonts w:ascii="Calibri" w:eastAsia="Calibri" w:hAnsi="Calibri" w:cs="Calibri"/>
                      <w:color w:val="4F81BD"/>
                      <w:sz w:val="18"/>
                      <w:szCs w:val="18"/>
                      <w:vertAlign w:val="subscript"/>
                    </w:rPr>
                    <w:t>pdr</w:t>
                  </w:r>
                  <w:proofErr w:type="spellEnd"/>
                  <w:r>
                    <w:rPr>
                      <w:rFonts w:ascii="Calibri" w:eastAsia="Calibri" w:hAnsi="Calibri" w:cs="Calibri"/>
                      <w:color w:val="4F81BD"/>
                      <w:sz w:val="18"/>
                      <w:szCs w:val="18"/>
                      <w:vertAlign w:val="subscript"/>
                    </w:rPr>
                    <w:t>, j</w:t>
                  </w:r>
                  <w:r>
                    <w:rPr>
                      <w:rFonts w:ascii="Calibri" w:eastAsia="Calibri" w:hAnsi="Calibri" w:cs="Calibri"/>
                      <w:color w:val="4F81BD"/>
                      <w:sz w:val="18"/>
                      <w:szCs w:val="18"/>
                    </w:rPr>
                    <w:t xml:space="preserve"> ,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 </w:t>
                  </w:r>
                  <w:proofErr w:type="spellStart"/>
                  <w:r>
                    <w:rPr>
                      <w:rFonts w:ascii="Calibri" w:eastAsia="Calibri" w:hAnsi="Calibri" w:cs="Calibri"/>
                      <w:color w:val="4F81BD"/>
                      <w:sz w:val="18"/>
                      <w:szCs w:val="18"/>
                    </w:rPr>
                    <w:t>pojazdokilometrach</w:t>
                  </w:r>
                  <w:proofErr w:type="spellEnd"/>
                  <w:r>
                    <w:rPr>
                      <w:rFonts w:ascii="Calibri" w:eastAsia="Calibri" w:hAnsi="Calibri" w:cs="Calibri"/>
                      <w:color w:val="4F81BD"/>
                      <w:sz w:val="18"/>
                      <w:szCs w:val="18"/>
                    </w:rPr>
                    <w:t>/dobę.</w:t>
                  </w:r>
                </w:p>
                <w:p w14:paraId="61CA5825" w14:textId="77777777" w:rsidR="00600DEE" w:rsidRDefault="00600DEE">
                  <w:pPr>
                    <w:pBdr>
                      <w:top w:val="nil"/>
                      <w:left w:val="nil"/>
                      <w:bottom w:val="nil"/>
                      <w:right w:val="nil"/>
                      <w:between w:val="nil"/>
                    </w:pBdr>
                    <w:spacing w:before="40" w:after="40"/>
                    <w:rPr>
                      <w:rFonts w:ascii="Calibri" w:eastAsia="Calibri" w:hAnsi="Calibri" w:cs="Calibri"/>
                      <w:color w:val="4F81BD"/>
                      <w:sz w:val="18"/>
                      <w:szCs w:val="18"/>
                    </w:rPr>
                  </w:pPr>
                </w:p>
                <w:p w14:paraId="2AA4702A"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vertAlign w:val="subscript"/>
                    </w:rPr>
                    <w:t xml:space="preserve"> </w:t>
                  </w:r>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vertAlign w:val="subscript"/>
                    </w:rPr>
                    <w:t xml:space="preserve"> </w:t>
                  </w:r>
                  <w:r>
                    <w:rPr>
                      <w:rFonts w:ascii="Calibri" w:eastAsia="Calibri" w:hAnsi="Calibri" w:cs="Calibri"/>
                      <w:color w:val="4F81BD"/>
                      <w:sz w:val="18"/>
                      <w:szCs w:val="18"/>
                    </w:rPr>
                    <w:t>* L (podejście odcinkowe)</w:t>
                  </w:r>
                </w:p>
              </w:tc>
            </w:tr>
          </w:tbl>
          <w:p w14:paraId="37C82EDA"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15BA411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3" w:name="_heading=h.2lwamvv" w:colFirst="0" w:colLast="0"/>
            <w:bookmarkEnd w:id="63"/>
            <w:r>
              <w:rPr>
                <w:rFonts w:ascii="Calibri" w:eastAsia="Calibri" w:hAnsi="Calibri" w:cs="Calibri"/>
                <w:color w:val="000000"/>
                <w:sz w:val="20"/>
                <w:szCs w:val="20"/>
              </w:rPr>
              <w:t xml:space="preserve">Prędkości podróży, wspomniane powyżej, należy obliczyć na podstawie wielkości natężenia ruchu na odcinku, terenu przez jaki przebiega, oraz kategorii dróg na podstawie tabel zawartych w wewnętrznym Przewodniku metodycznym po AKK (opublikowanym przez GDDKiA w 2021 r.) zastępującym dotychczas stosowaną Instrukcję </w:t>
            </w:r>
            <w:proofErr w:type="spellStart"/>
            <w:r>
              <w:rPr>
                <w:rFonts w:ascii="Calibri" w:eastAsia="Calibri" w:hAnsi="Calibri" w:cs="Calibri"/>
                <w:color w:val="000000"/>
                <w:sz w:val="20"/>
                <w:szCs w:val="20"/>
              </w:rPr>
              <w:t>IBDiM</w:t>
            </w:r>
            <w:proofErr w:type="spellEnd"/>
            <w:r>
              <w:rPr>
                <w:rFonts w:ascii="Calibri" w:eastAsia="Calibri" w:hAnsi="Calibri" w:cs="Calibri"/>
                <w:color w:val="000000"/>
                <w:sz w:val="20"/>
                <w:szCs w:val="20"/>
              </w:rPr>
              <w:t xml:space="preserve"> z 2008 r. z uwzględnieniem – w uzasadnionych przypadkach – innych gałęzi transportu. </w:t>
            </w:r>
          </w:p>
          <w:p w14:paraId="25607AEF" w14:textId="720CC8C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Zakłada się brak realnego wzrostu jednostkowych kosztów eksploatacji pojazdów w czasie. Należy jedynie uwzględnić indeksację nominalną wskaźnikiem polskiej inflacji CPI do poziomu cenowego właściwego dla roku bazowego, kiedy rok bazowy zmien</w:t>
            </w:r>
            <w:r w:rsidR="00DA7241">
              <w:rPr>
                <w:rFonts w:ascii="Calibri" w:eastAsia="Calibri" w:hAnsi="Calibri" w:cs="Calibri"/>
                <w:color w:val="000000"/>
                <w:sz w:val="20"/>
                <w:szCs w:val="20"/>
              </w:rPr>
              <w:t>i się z obecnie  przyjętego 2021</w:t>
            </w:r>
            <w:r>
              <w:rPr>
                <w:rFonts w:ascii="Calibri" w:eastAsia="Calibri" w:hAnsi="Calibri" w:cs="Calibri"/>
                <w:color w:val="000000"/>
                <w:sz w:val="20"/>
                <w:szCs w:val="20"/>
              </w:rPr>
              <w:t xml:space="preserve"> na późniejszy.</w:t>
            </w:r>
          </w:p>
        </w:tc>
        <w:tc>
          <w:tcPr>
            <w:tcW w:w="7218" w:type="dxa"/>
            <w:tcBorders>
              <w:left w:val="single" w:sz="4" w:space="0" w:color="000000"/>
            </w:tcBorders>
            <w:tcMar>
              <w:left w:w="284" w:type="dxa"/>
              <w:right w:w="284" w:type="dxa"/>
            </w:tcMar>
          </w:tcPr>
          <w:p w14:paraId="0158D94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Vehicle Operating Costs (VOC) are represented by total operating costs of all vehicles travelling on the analysed road network in all options (W0 and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w:t>
            </w:r>
          </w:p>
          <w:p w14:paraId="4895147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costs are calculated on the basis of economic unit costs of vehicle operation for individual categories of vehicles. For road vehicles, those are generally a function of different factors, notably of vehicle speed, road pavement condition, road gradient and fleet composition. </w:t>
            </w:r>
          </w:p>
          <w:p w14:paraId="1A3F33F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VOC incurred by the road users basically consist of:</w:t>
            </w:r>
          </w:p>
          <w:p w14:paraId="05B926AF" w14:textId="77777777" w:rsidR="00600DEE" w:rsidRPr="0045151D" w:rsidRDefault="00641FB5" w:rsidP="00D5736B">
            <w:pPr>
              <w:numPr>
                <w:ilvl w:val="0"/>
                <w:numId w:val="67"/>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consumption costs: depending on the road alignment and traffic conditions (i.e. speed);</w:t>
            </w:r>
          </w:p>
          <w:p w14:paraId="2B0DB189" w14:textId="77777777" w:rsidR="00600DEE" w:rsidRPr="0045151D" w:rsidRDefault="00641FB5" w:rsidP="00D5736B">
            <w:pPr>
              <w:numPr>
                <w:ilvl w:val="0"/>
                <w:numId w:val="67"/>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Other costs: road quality affecting the wear and tear on vehicles, including costs of oil, tyres, vehicle maintenance as well as its depreciation.</w:t>
            </w:r>
          </w:p>
          <w:p w14:paraId="0C6F411B" w14:textId="36B9AE15" w:rsidR="00600DEE" w:rsidRPr="0045151D" w:rsidRDefault="00641FB5" w:rsidP="0016169D">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proposed to calculate VOC for road vehicles distinguishing the two main categories: Light Vehicles (LV) and Heavy Goods Vehicles (HGV), as presented in Appendix A. In case that traffic analysis outputs are presented differentiating a more detailed traffic composition (e.g. the five categories mentioned in the traffic chapter), LV unit costs from Appendix A shall be used for passengers cars and commercial vehicles and HGV unit costs from Appendix A shall be used for trucks without trailers, trucks with trailers/semi- trailers and buses.</w:t>
            </w:r>
          </w:p>
          <w:p w14:paraId="23216773" w14:textId="77777777" w:rsidR="00600DEE" w:rsidRPr="0045151D" w:rsidRDefault="00641FB5" w:rsidP="00427449">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Proposed VOC values in Appendix A assume that current road fleet structure by fuel type consumption is mainly composed of: petrol and Diesel for LV; and exclusively Diesel for HGV (it is assumed that the unit operating costs of light LV gasoline vehicles and diesel vehicles are at the same level). This fuel consumption fleet structure is continuously evolving with an expected relevant growth share of electric vehicles (as a result of climate mitigation policies and objectives referred in the Introduction chapter of the document). Therefore, this fleet composition evolution needs to be reflected along the analysis reference period. This implies considering the related evolution of VOC. </w:t>
            </w:r>
          </w:p>
          <w:p w14:paraId="538A7AE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Appendix A provides: VOC unit costs for main vehicle types (as well as for a wider set of vehicle types in case more detailed calculations are required); assumed current fleet composition by type of fuel/energy consumption and its change over time; and related calculation principles. Values provided in Appendix A were developed based on recognised relevant sources as per references provided. See Appendix D for details on calculations principles and assumptions for VOC unit costs of different road vehicle types.</w:t>
            </w:r>
          </w:p>
          <w:p w14:paraId="029A88E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rail traffic is considered, respective operating costs should be used (based on data from PLK or CUPT).</w:t>
            </w:r>
          </w:p>
          <w:p w14:paraId="7D82BF3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VOC of the planned investment ought to be calculated for each option (W0 and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each type of vehicle and each year throughout the entire reference period. For the investments using network/buffer approach, the costs of vehicle operation should be calculated on the basis of quantity of transport work obtained from the traffic model distinguishing vehicle categories and speed ranges and applying respective average costs of operation for these classes.</w:t>
            </w:r>
          </w:p>
          <w:p w14:paraId="1BEF5F4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VOC calculation formula on the basis of transport work obtained from the model (or using section approach) is presented in the Table below.</w:t>
            </w:r>
          </w:p>
          <w:p w14:paraId="492708B9"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79868A8E"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97E5243"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E26A4BD"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6B8ABCAD"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447526C4"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D5D1906"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795E3A1" w14:textId="082615B1" w:rsidR="00600DEE" w:rsidRPr="0045151D" w:rsidRDefault="00DA7241">
            <w:pPr>
              <w:pBdr>
                <w:top w:val="nil"/>
                <w:left w:val="nil"/>
                <w:bottom w:val="nil"/>
                <w:right w:val="nil"/>
                <w:between w:val="nil"/>
              </w:pBdr>
              <w:spacing w:before="120" w:after="120"/>
              <w:ind w:left="872" w:hanging="872"/>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lastRenderedPageBreak/>
              <w:t>Table 14</w:t>
            </w:r>
            <w:r w:rsidR="00641FB5" w:rsidRPr="0045151D">
              <w:rPr>
                <w:rFonts w:ascii="Calibri" w:eastAsia="Calibri" w:hAnsi="Calibri" w:cs="Calibri"/>
                <w:b/>
                <w:color w:val="4F81BD"/>
                <w:sz w:val="20"/>
                <w:szCs w:val="20"/>
                <w:lang w:val="en-GB"/>
              </w:rPr>
              <w:t>. Formulas for calculating vehicle operating costs in case of buffer/network analysis or section analysis.</w:t>
            </w:r>
          </w:p>
          <w:tbl>
            <w:tblPr>
              <w:tblStyle w:val="afffc"/>
              <w:tblW w:w="694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42"/>
            </w:tblGrid>
            <w:tr w:rsidR="00600DEE" w:rsidRPr="007463B9" w14:paraId="3D9CEB1A" w14:textId="77777777" w:rsidTr="00851559">
              <w:trPr>
                <w:trHeight w:val="5103"/>
              </w:trPr>
              <w:tc>
                <w:tcPr>
                  <w:tcW w:w="6942" w:type="dxa"/>
                  <w:shd w:val="clear" w:color="auto" w:fill="DBE5F1"/>
                  <w:vAlign w:val="center"/>
                </w:tcPr>
                <w:p w14:paraId="2C4A7945" w14:textId="77777777" w:rsidR="00600DEE" w:rsidRPr="0045151D" w:rsidRDefault="00600DEE">
                  <w:pPr>
                    <w:pBdr>
                      <w:top w:val="nil"/>
                      <w:left w:val="nil"/>
                      <w:bottom w:val="nil"/>
                      <w:right w:val="nil"/>
                      <w:between w:val="nil"/>
                    </w:pBdr>
                    <w:spacing w:before="120"/>
                    <w:jc w:val="center"/>
                    <w:rPr>
                      <w:rFonts w:ascii="Calibri" w:eastAsia="Calibri" w:hAnsi="Calibri" w:cs="Calibri"/>
                      <w:b/>
                      <w:color w:val="4F81BD"/>
                      <w:sz w:val="20"/>
                      <w:szCs w:val="20"/>
                      <w:lang w:val="en-GB"/>
                    </w:rPr>
                  </w:pPr>
                </w:p>
                <w:p w14:paraId="401B277B" w14:textId="77777777" w:rsidR="00600DEE" w:rsidRDefault="00641FB5">
                  <w:pPr>
                    <w:pBdr>
                      <w:top w:val="nil"/>
                      <w:left w:val="nil"/>
                      <w:bottom w:val="nil"/>
                      <w:right w:val="nil"/>
                      <w:between w:val="nil"/>
                    </w:pBdr>
                    <w:spacing w:before="120"/>
                    <w:jc w:val="center"/>
                    <w:rPr>
                      <w:rFonts w:ascii="Calibri" w:eastAsia="Calibri" w:hAnsi="Calibri" w:cs="Calibri"/>
                      <w:b/>
                      <w:color w:val="4F81BD"/>
                      <w:sz w:val="20"/>
                      <w:szCs w:val="20"/>
                    </w:rPr>
                  </w:pPr>
                  <w:r>
                    <w:rPr>
                      <w:rFonts w:ascii="Calibri" w:eastAsia="Calibri" w:hAnsi="Calibri" w:cs="Calibri"/>
                      <w:color w:val="4F81BD"/>
                      <w:sz w:val="36"/>
                      <w:szCs w:val="36"/>
                      <w:vertAlign w:val="subscript"/>
                    </w:rPr>
                    <w:object w:dxaOrig="3810" w:dyaOrig="825" w14:anchorId="26EF4677">
                      <v:shape id="_x0000_i1028" type="#_x0000_t75" style="width:189.8pt;height:41.15pt" o:ole="" filled="t">
                        <v:fill color2="black"/>
                        <v:imagedata r:id="rId109" o:title=""/>
                      </v:shape>
                      <o:OLEObject Type="Embed" ProgID="Equation.3" ShapeID="_x0000_i1028" DrawAspect="Content" ObjectID="_1708947470" r:id="rId111"/>
                    </w:object>
                  </w:r>
                </w:p>
                <w:p w14:paraId="6CC6643C"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120047B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e</w:t>
                  </w:r>
                  <w:proofErr w:type="spellEnd"/>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annual vehicle operating costs, in PLN,</w:t>
                  </w:r>
                </w:p>
                <w:p w14:paraId="2FCCCD8A"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j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number of categories of vehicles,</w:t>
                  </w:r>
                </w:p>
                <w:p w14:paraId="5EF6039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ej</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w:t>
                  </w: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pdr</w:t>
                  </w:r>
                  <w:proofErr w:type="spellEnd"/>
                  <w:r w:rsidRPr="0045151D">
                    <w:rPr>
                      <w:rFonts w:ascii="Calibri" w:eastAsia="Calibri" w:hAnsi="Calibri" w:cs="Calibri"/>
                      <w:color w:val="4F81BD"/>
                      <w:sz w:val="18"/>
                      <w:szCs w:val="18"/>
                      <w:vertAlign w:val="subscript"/>
                      <w:lang w:val="en-GB"/>
                    </w:rPr>
                    <w:t xml:space="preserve"> </w:t>
                  </w:r>
                  <w:proofErr w:type="spellStart"/>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,T,S</w:t>
                  </w:r>
                  <w:proofErr w:type="spellEnd"/>
                  <w:r w:rsidRPr="0045151D">
                    <w:rPr>
                      <w:rFonts w:ascii="Calibri" w:eastAsia="Calibri" w:hAnsi="Calibri" w:cs="Calibri"/>
                      <w:color w:val="4F81BD"/>
                      <w:sz w:val="18"/>
                      <w:szCs w:val="18"/>
                      <w:lang w:val="en-GB"/>
                    </w:rPr>
                    <w:t xml:space="preserve">)   – unit operating costs of vehicles category “j” in the function of type of road/  travel speed </w:t>
                  </w: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pdr</w:t>
                  </w:r>
                  <w:proofErr w:type="spellEnd"/>
                  <w:r w:rsidRPr="0045151D">
                    <w:rPr>
                      <w:rFonts w:ascii="Calibri" w:eastAsia="Calibri" w:hAnsi="Calibri" w:cs="Calibri"/>
                      <w:color w:val="4F81BD"/>
                      <w:sz w:val="18"/>
                      <w:szCs w:val="18"/>
                      <w:vertAlign w:val="subscript"/>
                      <w:lang w:val="en-GB"/>
                    </w:rPr>
                    <w:t xml:space="preserve"> j</w:t>
                  </w:r>
                  <w:r w:rsidRPr="0045151D">
                    <w:rPr>
                      <w:rFonts w:ascii="Calibri" w:eastAsia="Calibri" w:hAnsi="Calibri" w:cs="Calibri"/>
                      <w:color w:val="4F81BD"/>
                      <w:sz w:val="18"/>
                      <w:szCs w:val="18"/>
                      <w:lang w:val="en-GB"/>
                    </w:rPr>
                    <w:t>, slope of terrain T and technical condition of pavement S, in PLN/</w:t>
                  </w:r>
                  <w:proofErr w:type="spellStart"/>
                  <w:r w:rsidRPr="0045151D">
                    <w:rPr>
                      <w:rFonts w:ascii="Calibri" w:eastAsia="Calibri" w:hAnsi="Calibri" w:cs="Calibri"/>
                      <w:color w:val="4F81BD"/>
                      <w:sz w:val="18"/>
                      <w:szCs w:val="18"/>
                      <w:lang w:val="en-GB"/>
                    </w:rPr>
                    <w:t>veh</w:t>
                  </w:r>
                  <w:proofErr w:type="spellEnd"/>
                  <w:r w:rsidRPr="0045151D">
                    <w:rPr>
                      <w:rFonts w:ascii="Calibri" w:eastAsia="Calibri" w:hAnsi="Calibri" w:cs="Calibri"/>
                      <w:color w:val="4F81BD"/>
                      <w:sz w:val="18"/>
                      <w:szCs w:val="18"/>
                      <w:lang w:val="en-GB"/>
                    </w:rPr>
                    <w:t xml:space="preserve">-km, </w:t>
                  </w:r>
                </w:p>
                <w:p w14:paraId="1EF4BD9B"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ab/>
                    <w:t xml:space="preserve">        – average daily traffic of vehicles category “j”, in vehicles/day,</w:t>
                  </w:r>
                </w:p>
                <w:p w14:paraId="2E1A9F8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length of road section, in km,</w:t>
                  </w:r>
                </w:p>
                <w:p w14:paraId="4E67BF8F"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ab/>
                    <w:t xml:space="preserve">         – transport work of vehicles category “j” depending on</w:t>
                  </w:r>
                </w:p>
                <w:p w14:paraId="7D2CBAE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road section length and speed range </w:t>
                  </w: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pdr</w:t>
                  </w:r>
                  <w:proofErr w:type="spellEnd"/>
                  <w:r w:rsidRPr="0045151D">
                    <w:rPr>
                      <w:rFonts w:ascii="Calibri" w:eastAsia="Calibri" w:hAnsi="Calibri" w:cs="Calibri"/>
                      <w:color w:val="4F81BD"/>
                      <w:sz w:val="18"/>
                      <w:szCs w:val="18"/>
                      <w:vertAlign w:val="subscript"/>
                      <w:lang w:val="en-GB"/>
                    </w:rPr>
                    <w:t>, j</w:t>
                  </w:r>
                  <w:r w:rsidRPr="0045151D">
                    <w:rPr>
                      <w:rFonts w:ascii="Calibri" w:eastAsia="Calibri" w:hAnsi="Calibri" w:cs="Calibri"/>
                      <w:color w:val="4F81BD"/>
                      <w:sz w:val="18"/>
                      <w:szCs w:val="18"/>
                      <w:lang w:val="en-GB"/>
                    </w:rPr>
                    <w:t xml:space="preserve">, </w:t>
                  </w:r>
                </w:p>
                <w:p w14:paraId="380ADD40"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in vehicle-kilometres/day.</w:t>
                  </w:r>
                </w:p>
                <w:p w14:paraId="13D6B60C"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2F129D03"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xml:space="preserve">= </w:t>
                  </w: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L  (using section approach)</w:t>
                  </w:r>
                </w:p>
                <w:p w14:paraId="781E4DD5"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tc>
            </w:tr>
          </w:tbl>
          <w:p w14:paraId="47F40EB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78E4C317" w14:textId="7F6C25F4"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above mentioned travel speeds should be calculated on the basis of road section’s traffic volume, slope of terrain it runs through and road category, using the tables from the </w:t>
            </w:r>
            <w:r w:rsidRPr="0045151D">
              <w:rPr>
                <w:rFonts w:ascii="Calibri" w:eastAsia="Calibri" w:hAnsi="Calibri" w:cs="Calibri"/>
                <w:i/>
                <w:color w:val="000000"/>
                <w:sz w:val="20"/>
                <w:szCs w:val="20"/>
                <w:lang w:val="en-GB"/>
              </w:rPr>
              <w:t xml:space="preserve">internal CBA instruction (published by </w:t>
            </w:r>
            <w:proofErr w:type="spellStart"/>
            <w:r w:rsidRPr="0045151D">
              <w:rPr>
                <w:rFonts w:ascii="Calibri" w:eastAsia="Calibri" w:hAnsi="Calibri" w:cs="Calibri"/>
                <w:i/>
                <w:color w:val="000000"/>
                <w:sz w:val="20"/>
                <w:szCs w:val="20"/>
                <w:lang w:val="en-GB"/>
              </w:rPr>
              <w:t>GDDKiA</w:t>
            </w:r>
            <w:proofErr w:type="spellEnd"/>
            <w:r w:rsidRPr="0045151D">
              <w:rPr>
                <w:rFonts w:ascii="Calibri" w:eastAsia="Calibri" w:hAnsi="Calibri" w:cs="Calibri"/>
                <w:i/>
                <w:color w:val="000000"/>
                <w:sz w:val="20"/>
                <w:szCs w:val="20"/>
                <w:lang w:val="en-GB"/>
              </w:rPr>
              <w:t xml:space="preserve"> in 2021)</w:t>
            </w:r>
            <w:r w:rsidRPr="0045151D">
              <w:rPr>
                <w:rFonts w:ascii="Calibri" w:eastAsia="Calibri" w:hAnsi="Calibri" w:cs="Calibri"/>
                <w:color w:val="000000"/>
                <w:sz w:val="20"/>
                <w:szCs w:val="20"/>
                <w:lang w:val="en-GB"/>
              </w:rPr>
              <w:t xml:space="preserve">, substituting the </w:t>
            </w:r>
            <w:proofErr w:type="spellStart"/>
            <w:r w:rsidRPr="0045151D">
              <w:rPr>
                <w:rFonts w:ascii="Calibri" w:eastAsia="Calibri" w:hAnsi="Calibri" w:cs="Calibri"/>
                <w:color w:val="000000"/>
                <w:sz w:val="20"/>
                <w:szCs w:val="20"/>
                <w:lang w:val="en-GB"/>
              </w:rPr>
              <w:t>IBDiM</w:t>
            </w:r>
            <w:proofErr w:type="spellEnd"/>
            <w:r w:rsidRPr="0045151D">
              <w:rPr>
                <w:rFonts w:ascii="Calibri" w:eastAsia="Calibri" w:hAnsi="Calibri" w:cs="Calibri"/>
                <w:color w:val="000000"/>
                <w:sz w:val="20"/>
                <w:szCs w:val="20"/>
                <w:lang w:val="en-GB"/>
              </w:rPr>
              <w:t xml:space="preserve"> instruction dated 2008 previously in use, and inc</w:t>
            </w:r>
            <w:r w:rsidR="00A24E90">
              <w:rPr>
                <w:rFonts w:ascii="Calibri" w:eastAsia="Calibri" w:hAnsi="Calibri" w:cs="Calibri"/>
                <w:color w:val="000000"/>
                <w:sz w:val="20"/>
                <w:szCs w:val="20"/>
                <w:lang w:val="en-GB"/>
              </w:rPr>
              <w:t>l</w:t>
            </w:r>
            <w:r w:rsidRPr="0045151D">
              <w:rPr>
                <w:rFonts w:ascii="Calibri" w:eastAsia="Calibri" w:hAnsi="Calibri" w:cs="Calibri"/>
                <w:color w:val="000000"/>
                <w:sz w:val="20"/>
                <w:szCs w:val="20"/>
                <w:lang w:val="en-GB"/>
              </w:rPr>
              <w:t>ude other transport modes, if relevant</w:t>
            </w:r>
            <w:r w:rsidRPr="0045151D">
              <w:rPr>
                <w:rFonts w:ascii="Calibri" w:eastAsia="Calibri" w:hAnsi="Calibri" w:cs="Calibri"/>
                <w:i/>
                <w:color w:val="000000"/>
                <w:sz w:val="20"/>
                <w:szCs w:val="20"/>
                <w:lang w:val="en-GB"/>
              </w:rPr>
              <w:t xml:space="preserve">. </w:t>
            </w:r>
          </w:p>
          <w:p w14:paraId="7B1D2FEE" w14:textId="77777777" w:rsidR="00600DEE" w:rsidRPr="0045151D" w:rsidRDefault="00600DEE">
            <w:pPr>
              <w:pBdr>
                <w:top w:val="nil"/>
                <w:left w:val="nil"/>
                <w:bottom w:val="nil"/>
                <w:right w:val="nil"/>
                <w:between w:val="nil"/>
              </w:pBdr>
              <w:spacing w:before="120"/>
              <w:jc w:val="both"/>
              <w:rPr>
                <w:rFonts w:ascii="Calibri" w:eastAsia="Calibri" w:hAnsi="Calibri" w:cs="Calibri"/>
                <w:i/>
                <w:color w:val="000000"/>
                <w:sz w:val="20"/>
                <w:szCs w:val="20"/>
                <w:lang w:val="en-GB"/>
              </w:rPr>
            </w:pPr>
          </w:p>
          <w:p w14:paraId="29C4B0ED" w14:textId="74818861" w:rsidR="00600DEE" w:rsidRPr="0045151D" w:rsidRDefault="00641FB5">
            <w:pPr>
              <w:pBdr>
                <w:top w:val="nil"/>
                <w:left w:val="nil"/>
                <w:bottom w:val="nil"/>
                <w:right w:val="nil"/>
                <w:between w:val="nil"/>
              </w:pBdr>
              <w:spacing w:before="120"/>
              <w:jc w:val="both"/>
              <w:rPr>
                <w:rFonts w:ascii="Calibri" w:eastAsia="Calibri" w:hAnsi="Calibri" w:cs="Calibri"/>
                <w:b/>
                <w:color w:val="323299"/>
                <w:sz w:val="20"/>
                <w:szCs w:val="20"/>
                <w:lang w:val="en-GB"/>
              </w:rPr>
            </w:pPr>
            <w:r w:rsidRPr="0045151D">
              <w:rPr>
                <w:rFonts w:ascii="Calibri" w:eastAsia="Calibri" w:hAnsi="Calibri" w:cs="Calibri"/>
                <w:color w:val="000000"/>
                <w:sz w:val="20"/>
                <w:szCs w:val="20"/>
                <w:lang w:val="en-GB"/>
              </w:rPr>
              <w:t>It is assumed that there will be no real increase in unit VOC values over time. Only nominal indexation to the price level appropriate for the base year, when it moves on</w:t>
            </w:r>
            <w:r w:rsidR="00DA7241">
              <w:rPr>
                <w:rFonts w:ascii="Calibri" w:eastAsia="Calibri" w:hAnsi="Calibri" w:cs="Calibri"/>
                <w:color w:val="000000"/>
                <w:sz w:val="20"/>
                <w:szCs w:val="20"/>
                <w:lang w:val="en-GB"/>
              </w:rPr>
              <w:t xml:space="preserve"> from the currently assumed 2021</w:t>
            </w:r>
            <w:r w:rsidRPr="0045151D">
              <w:rPr>
                <w:rFonts w:ascii="Calibri" w:eastAsia="Calibri" w:hAnsi="Calibri" w:cs="Calibri"/>
                <w:color w:val="000000"/>
                <w:sz w:val="20"/>
                <w:szCs w:val="20"/>
                <w:lang w:val="en-GB"/>
              </w:rPr>
              <w:t>, should be conducted with the use of Polish inflation index (CPI).</w:t>
            </w:r>
          </w:p>
        </w:tc>
      </w:tr>
    </w:tbl>
    <w:p w14:paraId="7A6A87CE" w14:textId="1B746519" w:rsidR="00600DEE" w:rsidRDefault="00641FB5" w:rsidP="00D5736B">
      <w:pPr>
        <w:pStyle w:val="Nagwek3"/>
        <w:numPr>
          <w:ilvl w:val="2"/>
          <w:numId w:val="17"/>
        </w:numPr>
        <w:ind w:left="0" w:firstLine="0"/>
        <w:rPr>
          <w:rFonts w:ascii="Calibri" w:eastAsia="Calibri" w:hAnsi="Calibri" w:cs="Calibri"/>
          <w:i/>
          <w:color w:val="4F81BD"/>
        </w:rPr>
      </w:pPr>
      <w:bookmarkStart w:id="64" w:name="_Toc95377987"/>
      <w:r>
        <w:rPr>
          <w:rFonts w:ascii="Calibri" w:eastAsia="Calibri" w:hAnsi="Calibri" w:cs="Calibri"/>
          <w:color w:val="4F81BD"/>
        </w:rPr>
        <w:lastRenderedPageBreak/>
        <w:t>Koszty czasu użytkowników infrastruktury drogowej</w:t>
      </w:r>
      <w:r>
        <w:rPr>
          <w:rFonts w:ascii="Calibri" w:eastAsia="Calibri" w:hAnsi="Calibri" w:cs="Calibri"/>
          <w:color w:val="4F81BD"/>
        </w:rPr>
        <w:tab/>
      </w:r>
      <w:r>
        <w:rPr>
          <w:rFonts w:ascii="Calibri" w:eastAsia="Calibri" w:hAnsi="Calibri" w:cs="Calibri"/>
          <w:i/>
          <w:color w:val="4F81BD"/>
        </w:rPr>
        <w:t xml:space="preserve">          2.1.2   Road </w:t>
      </w:r>
      <w:proofErr w:type="spellStart"/>
      <w:r>
        <w:rPr>
          <w:rFonts w:ascii="Calibri" w:eastAsia="Calibri" w:hAnsi="Calibri" w:cs="Calibri"/>
          <w:i/>
          <w:color w:val="4F81BD"/>
        </w:rPr>
        <w:t>infrastructure</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user</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time</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costs</w:t>
      </w:r>
      <w:bookmarkEnd w:id="64"/>
      <w:proofErr w:type="spellEnd"/>
    </w:p>
    <w:tbl>
      <w:tblPr>
        <w:tblStyle w:val="afffd"/>
        <w:tblW w:w="14571" w:type="dxa"/>
        <w:tblLayout w:type="fixed"/>
        <w:tblLook w:val="0400" w:firstRow="0" w:lastRow="0" w:firstColumn="0" w:lastColumn="0" w:noHBand="0" w:noVBand="1"/>
      </w:tblPr>
      <w:tblGrid>
        <w:gridCol w:w="7370"/>
        <w:gridCol w:w="7201"/>
      </w:tblGrid>
      <w:tr w:rsidR="00600DEE" w:rsidRPr="007463B9" w14:paraId="7A69A2FB" w14:textId="77777777">
        <w:tc>
          <w:tcPr>
            <w:tcW w:w="7370" w:type="dxa"/>
            <w:tcBorders>
              <w:right w:val="single" w:sz="4" w:space="0" w:color="000000"/>
            </w:tcBorders>
            <w:tcMar>
              <w:left w:w="284" w:type="dxa"/>
              <w:right w:w="284" w:type="dxa"/>
            </w:tcMar>
          </w:tcPr>
          <w:p w14:paraId="63E8E757" w14:textId="77777777" w:rsidR="00600DEE" w:rsidRDefault="00641FB5">
            <w:pPr>
              <w:pBdr>
                <w:top w:val="nil"/>
                <w:left w:val="nil"/>
                <w:bottom w:val="nil"/>
                <w:right w:val="nil"/>
                <w:between w:val="nil"/>
              </w:pBdr>
              <w:spacing w:before="120"/>
              <w:jc w:val="both"/>
              <w:rPr>
                <w:rFonts w:ascii="Calibri" w:eastAsia="Calibri" w:hAnsi="Calibri" w:cs="Calibri"/>
                <w:i/>
                <w:color w:val="000000"/>
                <w:sz w:val="20"/>
                <w:szCs w:val="20"/>
              </w:rPr>
            </w:pPr>
            <w:r>
              <w:rPr>
                <w:rFonts w:ascii="Calibri" w:eastAsia="Calibri" w:hAnsi="Calibri" w:cs="Calibri"/>
                <w:i/>
                <w:color w:val="000000"/>
                <w:sz w:val="20"/>
                <w:szCs w:val="20"/>
              </w:rPr>
              <w:t xml:space="preserve">UWAGA: Dotyczy głównie użytkowników drogowych (ale także innych gałęzi jeżeli uzasadnione, np. gdy zdefiniowane w wyniku przeprowadzonej analizy popytu). </w:t>
            </w:r>
          </w:p>
          <w:p w14:paraId="78FFD80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ekonomiczne czasu użytkowników należy obliczyć dla obu wariantów (W0 i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oddzielnie, dla każdego roku analizy, typu pojazdu i motywacji podróży.</w:t>
            </w:r>
          </w:p>
          <w:p w14:paraId="0A0FAC8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czasu użytkowników infrastruktury drogowej (oraz użytkowników innych gałęzi transportu) dla wariantów (bezinwestycyjnego i inwestycyjnego) to łączne koszty czasu osób odbywających podróże po analizowanej sieci drogowej lub ulicznej. Ze względu na zróżnicowane motywacje podróży, co pociąga za sobą również różne ich koszty, podróżujących należy podzielić na różne kategorie. Użytkowników pojazdów osobowych (i autobusów, jeżeli AKK jest wykonywana dla więcej niż dwóch kategorii LV i HGV), jak również użytkowników innych środków transportu dzieli się na trzy motywacje podróży:</w:t>
            </w:r>
          </w:p>
          <w:p w14:paraId="165AC08A" w14:textId="77777777" w:rsidR="00600DEE" w:rsidRDefault="00641FB5" w:rsidP="00D5736B">
            <w:pPr>
              <w:numPr>
                <w:ilvl w:val="1"/>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podróżujących w celach służbowych,</w:t>
            </w:r>
          </w:p>
          <w:p w14:paraId="32992D86" w14:textId="77777777" w:rsidR="00600DEE" w:rsidRDefault="00641FB5" w:rsidP="00D5736B">
            <w:pPr>
              <w:numPr>
                <w:ilvl w:val="1"/>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podróżujących codziennie w relacjach dom-praca-dom (tzw. </w:t>
            </w:r>
            <w:proofErr w:type="spellStart"/>
            <w:r>
              <w:rPr>
                <w:rFonts w:ascii="Calibri" w:eastAsia="Calibri" w:hAnsi="Calibri" w:cs="Calibri"/>
                <w:color w:val="000000"/>
                <w:sz w:val="20"/>
                <w:szCs w:val="20"/>
              </w:rPr>
              <w:t>commuting</w:t>
            </w:r>
            <w:proofErr w:type="spellEnd"/>
            <w:r>
              <w:rPr>
                <w:rFonts w:ascii="Calibri" w:eastAsia="Calibri" w:hAnsi="Calibri" w:cs="Calibri"/>
                <w:color w:val="000000"/>
                <w:sz w:val="20"/>
                <w:szCs w:val="20"/>
              </w:rPr>
              <w:t>)</w:t>
            </w:r>
          </w:p>
          <w:p w14:paraId="39743AC8" w14:textId="77777777" w:rsidR="00600DEE" w:rsidRDefault="00641FB5" w:rsidP="00D5736B">
            <w:pPr>
              <w:numPr>
                <w:ilvl w:val="1"/>
                <w:numId w:val="68"/>
              </w:numPr>
              <w:pBdr>
                <w:top w:val="nil"/>
                <w:left w:val="nil"/>
                <w:bottom w:val="nil"/>
                <w:right w:val="nil"/>
                <w:between w:val="nil"/>
              </w:pBdr>
              <w:spacing w:before="120" w:after="24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podróżujących w innych motywacjach (np. turystyka, zakupy, itd.).</w:t>
            </w:r>
          </w:p>
          <w:p w14:paraId="2B942D7C" w14:textId="77777777" w:rsidR="00A24E90" w:rsidRDefault="00A24E90" w:rsidP="00A24E90">
            <w:pPr>
              <w:pStyle w:val="anxnormal"/>
              <w:ind w:left="0"/>
              <w:rPr>
                <w:rFonts w:asciiTheme="minorHAnsi" w:hAnsiTheme="minorHAnsi"/>
              </w:rPr>
            </w:pPr>
            <w:r w:rsidRPr="00A03F58">
              <w:rPr>
                <w:rFonts w:asciiTheme="minorHAnsi" w:hAnsiTheme="minorHAnsi"/>
              </w:rPr>
              <w:t>Koszt jednostkowy czasu najlepiej byłoby ustalić na poziomie krajowym na podstawie stwierdzonych i/lub ujawnionych badań preferencji, zgodnie z zaleceniami zawartymi w wytycznych UE dotyczących AKK. Dlatego wartości jednostkowego kosztu czasu dla powyższych motywacji podróży (i gałęzi transportu) zawarte w załączniku A wynikają z prac zleconych przez JASPERS w celu określenia wartości czasu dla pasażerów w transporcie w Polsce na podstawie obszernych badań ankietowych ujawnionych i zadeklarowanych preferencji przeprowadzonych przez CUPT w 2019 r.</w:t>
            </w:r>
            <w:r w:rsidRPr="00A03F58">
              <w:rPr>
                <w:rFonts w:asciiTheme="minorHAnsi" w:hAnsiTheme="minorHAnsi"/>
                <w:vertAlign w:val="superscript"/>
              </w:rPr>
              <w:t>9</w:t>
            </w:r>
            <w:r w:rsidRPr="00A03F58">
              <w:rPr>
                <w:rFonts w:asciiTheme="minorHAnsi" w:hAnsiTheme="minorHAnsi"/>
              </w:rPr>
              <w:t xml:space="preserve"> Wyniki tych prac zostały zaproponowane i uzgodnione z Instytucją Zarządzającą oraz CUPT do stosowania w Niebieskich Księgach.</w:t>
            </w:r>
            <w:r>
              <w:rPr>
                <w:rFonts w:asciiTheme="minorHAnsi" w:hAnsiTheme="minorHAnsi"/>
              </w:rPr>
              <w:t xml:space="preserve"> </w:t>
            </w:r>
          </w:p>
          <w:p w14:paraId="056693E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czasu dla kategorii HGV (lub ewentualnie dla pojazdów dostawczych i ciężarowych, jeżeli AKK jest wykonywana dla więcej niż dwóch proponowanych kategorii) można przyjmować jak dla podróżujących w celach służbowych.</w:t>
            </w:r>
          </w:p>
          <w:p w14:paraId="4B4446B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Koszty czasu podlegają indeksacji. Zmienność kosztów jednostkowych w czasie jest przedstawiona w załączniku A.</w:t>
            </w:r>
          </w:p>
          <w:p w14:paraId="155A308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obliczeniach należy przyjąć napełnienie pojazdów osobowych dla poszczególnych motywacji na podstawie badań i pomiarów przeprowadzonych w analizowanym korytarzu drogi. W przypadku projektów miejskich, napełnienie pojazdów osobowych należy przyjąć zgodnie z danymi dla danego miasta. Jeśli nie dysponuje się takimi danymi, w obliczeniach należy przyjąć wartości napełnienia przedstawione w poniższej tabeli.</w:t>
            </w:r>
          </w:p>
          <w:p w14:paraId="4005690A"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2A9B79FA" w14:textId="69E00244" w:rsidR="00600DEE" w:rsidRDefault="00DA7241">
            <w:pPr>
              <w:pBdr>
                <w:top w:val="nil"/>
                <w:left w:val="nil"/>
                <w:bottom w:val="nil"/>
                <w:right w:val="nil"/>
                <w:between w:val="nil"/>
              </w:pBdr>
              <w:spacing w:after="120"/>
              <w:ind w:left="992" w:hanging="992"/>
              <w:jc w:val="both"/>
              <w:rPr>
                <w:rFonts w:ascii="Calibri" w:eastAsia="Calibri" w:hAnsi="Calibri" w:cs="Calibri"/>
                <w:b/>
                <w:color w:val="4F81BD"/>
                <w:sz w:val="20"/>
                <w:szCs w:val="20"/>
              </w:rPr>
            </w:pPr>
            <w:r>
              <w:rPr>
                <w:rFonts w:ascii="Calibri" w:eastAsia="Calibri" w:hAnsi="Calibri" w:cs="Calibri"/>
                <w:b/>
                <w:color w:val="4F81BD"/>
                <w:sz w:val="20"/>
                <w:szCs w:val="20"/>
              </w:rPr>
              <w:t>Tabela 15</w:t>
            </w:r>
            <w:r w:rsidR="00641FB5">
              <w:rPr>
                <w:rFonts w:ascii="Calibri" w:eastAsia="Calibri" w:hAnsi="Calibri" w:cs="Calibri"/>
                <w:b/>
                <w:color w:val="4F81BD"/>
                <w:sz w:val="20"/>
                <w:szCs w:val="20"/>
              </w:rPr>
              <w:t>. Wartości napełnienia pojazdów osobowych w podziale na motywacje</w:t>
            </w:r>
            <w:r w:rsidR="00641FB5">
              <w:rPr>
                <w:rFonts w:ascii="Calibri" w:eastAsia="Calibri" w:hAnsi="Calibri" w:cs="Calibri"/>
                <w:b/>
                <w:color w:val="4F81BD"/>
                <w:sz w:val="20"/>
                <w:szCs w:val="20"/>
              </w:rPr>
              <w:br/>
              <w:t>podróży zamiejskich oraz miejskich [osób/pojazd]</w:t>
            </w:r>
          </w:p>
          <w:tbl>
            <w:tblPr>
              <w:tblStyle w:val="afffe"/>
              <w:tblW w:w="6794" w:type="dxa"/>
              <w:tblBorders>
                <w:insideH w:val="single" w:sz="4" w:space="0" w:color="FFFFFF"/>
                <w:insideV w:val="single" w:sz="4" w:space="0" w:color="FFFFFF"/>
              </w:tblBorders>
              <w:tblLayout w:type="fixed"/>
              <w:tblLook w:val="0400" w:firstRow="0" w:lastRow="0" w:firstColumn="0" w:lastColumn="0" w:noHBand="0" w:noVBand="1"/>
            </w:tblPr>
            <w:tblGrid>
              <w:gridCol w:w="2101"/>
              <w:gridCol w:w="2136"/>
              <w:gridCol w:w="2557"/>
            </w:tblGrid>
            <w:tr w:rsidR="00600DEE" w14:paraId="49DD6FCC" w14:textId="77777777" w:rsidTr="00A24E90">
              <w:trPr>
                <w:trHeight w:val="253"/>
              </w:trPr>
              <w:tc>
                <w:tcPr>
                  <w:tcW w:w="2101" w:type="dxa"/>
                  <w:vMerge w:val="restart"/>
                  <w:tcBorders>
                    <w:top w:val="nil"/>
                    <w:bottom w:val="single" w:sz="4" w:space="0" w:color="FFFFFF"/>
                  </w:tcBorders>
                  <w:shd w:val="clear" w:color="auto" w:fill="A6A6A6"/>
                  <w:vAlign w:val="center"/>
                </w:tcPr>
                <w:p w14:paraId="29A34164"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Motywacja</w:t>
                  </w:r>
                </w:p>
              </w:tc>
              <w:tc>
                <w:tcPr>
                  <w:tcW w:w="4693" w:type="dxa"/>
                  <w:gridSpan w:val="2"/>
                  <w:tcBorders>
                    <w:top w:val="nil"/>
                    <w:bottom w:val="single" w:sz="4" w:space="0" w:color="FFFFFF"/>
                  </w:tcBorders>
                  <w:shd w:val="clear" w:color="auto" w:fill="A6A6A6"/>
                  <w:vAlign w:val="center"/>
                </w:tcPr>
                <w:p w14:paraId="77105D6F"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Napełnienie</w:t>
                  </w:r>
                </w:p>
              </w:tc>
            </w:tr>
            <w:tr w:rsidR="00600DEE" w14:paraId="5A8C5CF2" w14:textId="77777777" w:rsidTr="00A24E90">
              <w:trPr>
                <w:trHeight w:val="253"/>
              </w:trPr>
              <w:tc>
                <w:tcPr>
                  <w:tcW w:w="2101" w:type="dxa"/>
                  <w:vMerge/>
                  <w:tcBorders>
                    <w:top w:val="nil"/>
                    <w:bottom w:val="single" w:sz="4" w:space="0" w:color="FFFFFF"/>
                  </w:tcBorders>
                  <w:shd w:val="clear" w:color="auto" w:fill="A6A6A6"/>
                  <w:vAlign w:val="center"/>
                </w:tcPr>
                <w:p w14:paraId="4F16C45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136" w:type="dxa"/>
                  <w:tcBorders>
                    <w:top w:val="single" w:sz="4" w:space="0" w:color="FFFFFF"/>
                    <w:bottom w:val="single" w:sz="4" w:space="0" w:color="FFFFFF"/>
                  </w:tcBorders>
                  <w:shd w:val="clear" w:color="auto" w:fill="A6A6A6"/>
                  <w:vAlign w:val="center"/>
                </w:tcPr>
                <w:p w14:paraId="377738A3"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Drogi zamiejskie</w:t>
                  </w:r>
                </w:p>
              </w:tc>
              <w:tc>
                <w:tcPr>
                  <w:tcW w:w="2556" w:type="dxa"/>
                  <w:tcBorders>
                    <w:top w:val="single" w:sz="4" w:space="0" w:color="FFFFFF"/>
                    <w:bottom w:val="single" w:sz="4" w:space="0" w:color="FFFFFF"/>
                  </w:tcBorders>
                  <w:shd w:val="clear" w:color="auto" w:fill="A6A6A6"/>
                  <w:vAlign w:val="center"/>
                </w:tcPr>
                <w:p w14:paraId="73C4A8CB"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Drogi miejskie/Ulice</w:t>
                  </w:r>
                </w:p>
              </w:tc>
            </w:tr>
            <w:tr w:rsidR="00600DEE" w14:paraId="5CA376CD" w14:textId="77777777" w:rsidTr="00A24E90">
              <w:trPr>
                <w:trHeight w:val="287"/>
              </w:trPr>
              <w:tc>
                <w:tcPr>
                  <w:tcW w:w="2101" w:type="dxa"/>
                  <w:tcBorders>
                    <w:top w:val="single" w:sz="4" w:space="0" w:color="FFFFFF"/>
                  </w:tcBorders>
                  <w:shd w:val="clear" w:color="auto" w:fill="DBE5F1"/>
                  <w:vAlign w:val="center"/>
                </w:tcPr>
                <w:p w14:paraId="55D68AA7" w14:textId="77777777" w:rsidR="00600DEE" w:rsidRDefault="00641FB5">
                  <w:pPr>
                    <w:ind w:right="-20"/>
                    <w:jc w:val="center"/>
                    <w:rPr>
                      <w:rFonts w:ascii="Calibri" w:eastAsia="Calibri" w:hAnsi="Calibri" w:cs="Calibri"/>
                      <w:color w:val="4F81BD"/>
                      <w:sz w:val="18"/>
                      <w:szCs w:val="18"/>
                    </w:rPr>
                  </w:pPr>
                  <w:r>
                    <w:rPr>
                      <w:rFonts w:ascii="Calibri" w:eastAsia="Calibri" w:hAnsi="Calibri" w:cs="Calibri"/>
                      <w:color w:val="4F81BD"/>
                      <w:sz w:val="18"/>
                      <w:szCs w:val="18"/>
                    </w:rPr>
                    <w:t>Podróże dom-praca-dom (</w:t>
                  </w:r>
                  <w:proofErr w:type="spellStart"/>
                  <w:r>
                    <w:rPr>
                      <w:rFonts w:ascii="Calibri" w:eastAsia="Calibri" w:hAnsi="Calibri" w:cs="Calibri"/>
                      <w:color w:val="4F81BD"/>
                      <w:sz w:val="18"/>
                      <w:szCs w:val="18"/>
                    </w:rPr>
                    <w:t>commuting</w:t>
                  </w:r>
                  <w:proofErr w:type="spellEnd"/>
                  <w:r>
                    <w:rPr>
                      <w:rFonts w:ascii="Calibri" w:eastAsia="Calibri" w:hAnsi="Calibri" w:cs="Calibri"/>
                      <w:color w:val="4F81BD"/>
                      <w:sz w:val="18"/>
                      <w:szCs w:val="18"/>
                    </w:rPr>
                    <w:t>)</w:t>
                  </w:r>
                </w:p>
              </w:tc>
              <w:tc>
                <w:tcPr>
                  <w:tcW w:w="2136" w:type="dxa"/>
                  <w:tcBorders>
                    <w:top w:val="single" w:sz="4" w:space="0" w:color="FFFFFF"/>
                  </w:tcBorders>
                  <w:shd w:val="clear" w:color="auto" w:fill="DBE5F1"/>
                  <w:vAlign w:val="center"/>
                </w:tcPr>
                <w:p w14:paraId="2292013C" w14:textId="4482E900" w:rsidR="00600DEE" w:rsidRDefault="00A24E90">
                  <w:pPr>
                    <w:ind w:right="952"/>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27</w:t>
                  </w:r>
                </w:p>
              </w:tc>
              <w:tc>
                <w:tcPr>
                  <w:tcW w:w="2556" w:type="dxa"/>
                  <w:tcBorders>
                    <w:top w:val="single" w:sz="4" w:space="0" w:color="FFFFFF"/>
                  </w:tcBorders>
                  <w:shd w:val="clear" w:color="auto" w:fill="DBE5F1"/>
                  <w:vAlign w:val="center"/>
                </w:tcPr>
                <w:p w14:paraId="56462919" w14:textId="261ED39E" w:rsidR="00600DEE" w:rsidRDefault="00A24E90">
                  <w:pPr>
                    <w:ind w:right="904"/>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69</w:t>
                  </w:r>
                </w:p>
              </w:tc>
            </w:tr>
            <w:tr w:rsidR="00600DEE" w14:paraId="67482450" w14:textId="77777777" w:rsidTr="00A24E90">
              <w:trPr>
                <w:trHeight w:val="304"/>
              </w:trPr>
              <w:tc>
                <w:tcPr>
                  <w:tcW w:w="2101" w:type="dxa"/>
                  <w:shd w:val="clear" w:color="auto" w:fill="DBE5F1"/>
                  <w:vAlign w:val="center"/>
                </w:tcPr>
                <w:p w14:paraId="061184B2" w14:textId="77777777" w:rsidR="00600DEE" w:rsidRDefault="00641FB5">
                  <w:pPr>
                    <w:ind w:right="-20"/>
                    <w:jc w:val="center"/>
                    <w:rPr>
                      <w:rFonts w:ascii="Calibri" w:eastAsia="Calibri" w:hAnsi="Calibri" w:cs="Calibri"/>
                      <w:color w:val="4F81BD"/>
                      <w:sz w:val="18"/>
                      <w:szCs w:val="18"/>
                    </w:rPr>
                  </w:pPr>
                  <w:r>
                    <w:rPr>
                      <w:rFonts w:ascii="Calibri" w:eastAsia="Calibri" w:hAnsi="Calibri" w:cs="Calibri"/>
                      <w:color w:val="4F81BD"/>
                      <w:sz w:val="18"/>
                      <w:szCs w:val="18"/>
                    </w:rPr>
                    <w:t>Podróż służbowe</w:t>
                  </w:r>
                </w:p>
              </w:tc>
              <w:tc>
                <w:tcPr>
                  <w:tcW w:w="2136" w:type="dxa"/>
                  <w:shd w:val="clear" w:color="auto" w:fill="DBE5F1"/>
                  <w:vAlign w:val="center"/>
                </w:tcPr>
                <w:p w14:paraId="691C5B8E" w14:textId="471BF6EE" w:rsidR="00600DEE" w:rsidRDefault="00A24E90">
                  <w:pPr>
                    <w:ind w:right="952"/>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27</w:t>
                  </w:r>
                </w:p>
              </w:tc>
              <w:tc>
                <w:tcPr>
                  <w:tcW w:w="2556" w:type="dxa"/>
                  <w:shd w:val="clear" w:color="auto" w:fill="DBE5F1"/>
                  <w:vAlign w:val="center"/>
                </w:tcPr>
                <w:p w14:paraId="7FF14DF1" w14:textId="63CA5A3E" w:rsidR="00600DEE" w:rsidRDefault="00A24E90">
                  <w:pPr>
                    <w:ind w:right="904"/>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80</w:t>
                  </w:r>
                </w:p>
              </w:tc>
            </w:tr>
            <w:tr w:rsidR="00600DEE" w14:paraId="73AECF0D" w14:textId="77777777" w:rsidTr="00A24E90">
              <w:trPr>
                <w:trHeight w:val="304"/>
              </w:trPr>
              <w:tc>
                <w:tcPr>
                  <w:tcW w:w="2101" w:type="dxa"/>
                  <w:shd w:val="clear" w:color="auto" w:fill="DBE5F1"/>
                  <w:vAlign w:val="center"/>
                </w:tcPr>
                <w:p w14:paraId="55A60460" w14:textId="77777777" w:rsidR="00600DEE" w:rsidRDefault="00641FB5">
                  <w:pPr>
                    <w:ind w:right="-20"/>
                    <w:jc w:val="center"/>
                    <w:rPr>
                      <w:rFonts w:ascii="Calibri" w:eastAsia="Calibri" w:hAnsi="Calibri" w:cs="Calibri"/>
                      <w:color w:val="4F81BD"/>
                      <w:sz w:val="18"/>
                      <w:szCs w:val="18"/>
                    </w:rPr>
                  </w:pPr>
                  <w:r>
                    <w:rPr>
                      <w:rFonts w:ascii="Calibri" w:eastAsia="Calibri" w:hAnsi="Calibri" w:cs="Calibri"/>
                      <w:color w:val="4F81BD"/>
                      <w:sz w:val="18"/>
                      <w:szCs w:val="18"/>
                    </w:rPr>
                    <w:t>Podróże inne</w:t>
                  </w:r>
                </w:p>
              </w:tc>
              <w:tc>
                <w:tcPr>
                  <w:tcW w:w="2136" w:type="dxa"/>
                  <w:shd w:val="clear" w:color="auto" w:fill="DBE5F1"/>
                  <w:vAlign w:val="center"/>
                </w:tcPr>
                <w:p w14:paraId="5D02C59E" w14:textId="795527D4" w:rsidR="00600DEE" w:rsidRDefault="00A24E90">
                  <w:pPr>
                    <w:ind w:right="952"/>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69</w:t>
                  </w:r>
                </w:p>
              </w:tc>
              <w:tc>
                <w:tcPr>
                  <w:tcW w:w="2556" w:type="dxa"/>
                  <w:shd w:val="clear" w:color="auto" w:fill="DBE5F1"/>
                  <w:vAlign w:val="center"/>
                </w:tcPr>
                <w:p w14:paraId="4E642A12" w14:textId="14E09D6C" w:rsidR="00600DEE" w:rsidRDefault="00A24E90">
                  <w:pPr>
                    <w:ind w:right="904"/>
                    <w:jc w:val="center"/>
                    <w:rPr>
                      <w:rFonts w:ascii="Calibri" w:eastAsia="Calibri" w:hAnsi="Calibri" w:cs="Calibri"/>
                      <w:color w:val="4F81BD"/>
                      <w:sz w:val="18"/>
                      <w:szCs w:val="18"/>
                    </w:rPr>
                  </w:pPr>
                  <w:r>
                    <w:rPr>
                      <w:rFonts w:ascii="Calibri" w:eastAsia="Calibri" w:hAnsi="Calibri" w:cs="Calibri"/>
                      <w:color w:val="4F81BD"/>
                      <w:sz w:val="18"/>
                      <w:szCs w:val="18"/>
                    </w:rPr>
                    <w:t>2,</w:t>
                  </w:r>
                  <w:r w:rsidR="00641FB5">
                    <w:rPr>
                      <w:rFonts w:ascii="Calibri" w:eastAsia="Calibri" w:hAnsi="Calibri" w:cs="Calibri"/>
                      <w:color w:val="4F81BD"/>
                      <w:sz w:val="18"/>
                      <w:szCs w:val="18"/>
                    </w:rPr>
                    <w:t>33</w:t>
                  </w:r>
                </w:p>
              </w:tc>
            </w:tr>
          </w:tbl>
          <w:p w14:paraId="144A0FC0"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IKMR.</w:t>
            </w:r>
          </w:p>
          <w:p w14:paraId="25A1CF41" w14:textId="7229635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Napełnienie dla kategorii HGV (lub ewentualnie dla pojazdów dostawczych, ciężarowych i ciężarowych z przyczepami, jeżeli AKK jest wykonywana dla więcej niż </w:t>
            </w:r>
            <w:r w:rsidR="00A24E90">
              <w:rPr>
                <w:rFonts w:ascii="Calibri" w:eastAsia="Calibri" w:hAnsi="Calibri" w:cs="Calibri"/>
                <w:color w:val="000000"/>
                <w:sz w:val="20"/>
                <w:szCs w:val="20"/>
              </w:rPr>
              <w:t xml:space="preserve">dwóch proponowanych kategorii) </w:t>
            </w:r>
            <w:r>
              <w:rPr>
                <w:rFonts w:ascii="Calibri" w:eastAsia="Calibri" w:hAnsi="Calibri" w:cs="Calibri"/>
                <w:color w:val="000000"/>
                <w:sz w:val="20"/>
                <w:szCs w:val="20"/>
              </w:rPr>
              <w:t xml:space="preserve">należy przyjmować równe 1. Gdy brak jest szczegółowych danych, napełnienie autobusów (brane pod uwagę jedynie, jeżeli AKK jest wykonywana dla więcej niż dwóch proponowanych kategorii) można przyjmować na poziomie 24 dla dróg zamiejskich (dla dróg miejskich z transportem zbiorowym wskazówki zawarte są </w:t>
            </w:r>
            <w:r>
              <w:rPr>
                <w:rFonts w:ascii="Calibri" w:eastAsia="Calibri" w:hAnsi="Calibri" w:cs="Calibri"/>
                <w:color w:val="222222"/>
                <w:sz w:val="20"/>
                <w:szCs w:val="20"/>
              </w:rPr>
              <w:t>w ‘’Niebieskiej Księdze dla Transportu Publicznego’’)</w:t>
            </w:r>
            <w:r>
              <w:rPr>
                <w:rFonts w:ascii="Calibri" w:eastAsia="Calibri" w:hAnsi="Calibri" w:cs="Calibri"/>
                <w:color w:val="000000"/>
                <w:sz w:val="20"/>
                <w:szCs w:val="20"/>
              </w:rPr>
              <w:t>.</w:t>
            </w:r>
          </w:p>
          <w:p w14:paraId="4B98AAF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inwestycji analizowanych metodą sieciową/buforową, obliczenie kosztów czasu użytkowników jest wykonywane na podstawie pracy przewozowej w </w:t>
            </w:r>
            <w:proofErr w:type="spellStart"/>
            <w:r>
              <w:rPr>
                <w:rFonts w:ascii="Calibri" w:eastAsia="Calibri" w:hAnsi="Calibri" w:cs="Calibri"/>
                <w:color w:val="000000"/>
                <w:sz w:val="20"/>
                <w:szCs w:val="20"/>
              </w:rPr>
              <w:t>pojazdogodzinach</w:t>
            </w:r>
            <w:proofErr w:type="spellEnd"/>
            <w:r>
              <w:rPr>
                <w:rFonts w:ascii="Calibri" w:eastAsia="Calibri" w:hAnsi="Calibri" w:cs="Calibri"/>
                <w:color w:val="000000"/>
                <w:sz w:val="20"/>
                <w:szCs w:val="20"/>
              </w:rPr>
              <w:t xml:space="preserve"> oszacowanej wprost z modelu ruchu (a następnie przeliczane na </w:t>
            </w:r>
            <w:proofErr w:type="spellStart"/>
            <w:r>
              <w:rPr>
                <w:rFonts w:ascii="Calibri" w:eastAsia="Calibri" w:hAnsi="Calibri" w:cs="Calibri"/>
                <w:color w:val="000000"/>
                <w:sz w:val="20"/>
                <w:szCs w:val="20"/>
              </w:rPr>
              <w:t>pasażerogodziny</w:t>
            </w:r>
            <w:proofErr w:type="spellEnd"/>
            <w:r>
              <w:rPr>
                <w:rFonts w:ascii="Calibri" w:eastAsia="Calibri" w:hAnsi="Calibri" w:cs="Calibri"/>
                <w:color w:val="000000"/>
                <w:sz w:val="20"/>
                <w:szCs w:val="20"/>
              </w:rPr>
              <w:t xml:space="preserve"> z uwzględnieniem napełnienia) lub bezpośrednio w </w:t>
            </w:r>
            <w:proofErr w:type="spellStart"/>
            <w:r>
              <w:rPr>
                <w:rFonts w:ascii="Calibri" w:eastAsia="Calibri" w:hAnsi="Calibri" w:cs="Calibri"/>
                <w:color w:val="000000"/>
                <w:sz w:val="20"/>
                <w:szCs w:val="20"/>
              </w:rPr>
              <w:t>pasażerogodzinach</w:t>
            </w:r>
            <w:proofErr w:type="spellEnd"/>
            <w:r>
              <w:rPr>
                <w:rFonts w:ascii="Calibri" w:eastAsia="Calibri" w:hAnsi="Calibri" w:cs="Calibri"/>
                <w:color w:val="000000"/>
                <w:sz w:val="20"/>
                <w:szCs w:val="20"/>
              </w:rPr>
              <w:t xml:space="preserve"> dla W0 i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W poniższej tabeli przedstawiono sposób obliczania kosztów czasu użytkowników na podstawie wyników modelu ruchu.</w:t>
            </w:r>
          </w:p>
          <w:p w14:paraId="3AE44C21" w14:textId="5B930B6C" w:rsidR="00600DEE" w:rsidRDefault="00B10112">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16</w:t>
            </w:r>
            <w:r w:rsidR="00641FB5">
              <w:rPr>
                <w:rFonts w:ascii="Calibri" w:eastAsia="Calibri" w:hAnsi="Calibri" w:cs="Calibri"/>
                <w:b/>
                <w:color w:val="4F81BD"/>
                <w:sz w:val="20"/>
                <w:szCs w:val="20"/>
              </w:rPr>
              <w:t>. Wzór na obliczanie kosztów czasu podróży dla projektów dla których</w:t>
            </w:r>
            <w:r w:rsidR="00641FB5">
              <w:rPr>
                <w:rFonts w:ascii="Calibri" w:eastAsia="Calibri" w:hAnsi="Calibri" w:cs="Calibri"/>
                <w:b/>
                <w:color w:val="4F81BD"/>
                <w:sz w:val="20"/>
                <w:szCs w:val="20"/>
              </w:rPr>
              <w:br/>
              <w:t>praca przewozowa liczona jest w oparciu o sieć/bufor</w:t>
            </w:r>
          </w:p>
          <w:tbl>
            <w:tblPr>
              <w:tblStyle w:val="affff"/>
              <w:tblW w:w="638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384"/>
            </w:tblGrid>
            <w:tr w:rsidR="00600DEE" w14:paraId="594E97A5" w14:textId="77777777" w:rsidTr="00851559">
              <w:trPr>
                <w:trHeight w:val="2835"/>
              </w:trPr>
              <w:tc>
                <w:tcPr>
                  <w:tcW w:w="6384" w:type="dxa"/>
                  <w:shd w:val="clear" w:color="auto" w:fill="DBE5F1"/>
                  <w:vAlign w:val="center"/>
                </w:tcPr>
                <w:p w14:paraId="63496BDF" w14:textId="77777777" w:rsidR="00600DEE" w:rsidRDefault="00641FB5">
                  <w:pPr>
                    <w:pBdr>
                      <w:top w:val="nil"/>
                      <w:left w:val="nil"/>
                      <w:bottom w:val="nil"/>
                      <w:right w:val="nil"/>
                      <w:between w:val="nil"/>
                    </w:pBdr>
                    <w:spacing w:before="120" w:after="40"/>
                    <w:jc w:val="center"/>
                    <w:rPr>
                      <w:rFonts w:ascii="Calibri" w:eastAsia="Calibri" w:hAnsi="Calibri" w:cs="Calibri"/>
                      <w:color w:val="000000"/>
                      <w:sz w:val="18"/>
                      <w:szCs w:val="18"/>
                    </w:rPr>
                  </w:pPr>
                  <w:r>
                    <w:rPr>
                      <w:rFonts w:ascii="Calibri" w:eastAsia="Calibri" w:hAnsi="Calibri" w:cs="Calibri"/>
                      <w:color w:val="000000"/>
                      <w:sz w:val="36"/>
                      <w:szCs w:val="36"/>
                      <w:vertAlign w:val="subscript"/>
                    </w:rPr>
                    <w:object w:dxaOrig="2153" w:dyaOrig="728" w14:anchorId="446EFA4E">
                      <v:shape id="_x0000_i1029" type="#_x0000_t75" style="width:107.55pt;height:36.45pt" o:ole="" filled="t">
                        <v:fill color2="black"/>
                        <v:imagedata r:id="rId112" o:title=""/>
                      </v:shape>
                      <o:OLEObject Type="Embed" ProgID="Equation.3" ShapeID="_x0000_i1029" DrawAspect="Content" ObjectID="_1708947471" r:id="rId113"/>
                    </w:object>
                  </w:r>
                </w:p>
                <w:p w14:paraId="12BC3AB5"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5A24EC6C" w14:textId="77777777" w:rsidR="00600DEE" w:rsidRDefault="00600DEE">
                  <w:pPr>
                    <w:pBdr>
                      <w:top w:val="nil"/>
                      <w:left w:val="nil"/>
                      <w:bottom w:val="nil"/>
                      <w:right w:val="nil"/>
                      <w:between w:val="nil"/>
                    </w:pBdr>
                    <w:spacing w:before="40" w:after="40"/>
                    <w:rPr>
                      <w:rFonts w:ascii="Calibri" w:eastAsia="Calibri" w:hAnsi="Calibri" w:cs="Calibri"/>
                      <w:color w:val="4F81BD"/>
                      <w:sz w:val="18"/>
                      <w:szCs w:val="18"/>
                    </w:rPr>
                  </w:pPr>
                </w:p>
                <w:p w14:paraId="558ECDB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perscript"/>
                    </w:rPr>
                    <w:t>c</w:t>
                  </w:r>
                  <w:proofErr w:type="spellEnd"/>
                  <w:r>
                    <w:rPr>
                      <w:rFonts w:ascii="Calibri" w:eastAsia="Calibri" w:hAnsi="Calibri" w:cs="Calibri"/>
                      <w:color w:val="4F81BD"/>
                      <w:sz w:val="18"/>
                      <w:szCs w:val="18"/>
                    </w:rPr>
                    <w:tab/>
                    <w:t>–  roczne koszty czasu użytkowników w PLN ,</w:t>
                  </w:r>
                </w:p>
                <w:p w14:paraId="6275CCB3"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i</w:t>
                  </w:r>
                  <w:r>
                    <w:rPr>
                      <w:rFonts w:ascii="Calibri" w:eastAsia="Calibri" w:hAnsi="Calibri" w:cs="Calibri"/>
                      <w:color w:val="4F81BD"/>
                      <w:sz w:val="18"/>
                      <w:szCs w:val="18"/>
                    </w:rPr>
                    <w:tab/>
                    <w:t>–  liczba kategorii użytkowników o różnej jednostkowej wartości czasu ,</w:t>
                  </w:r>
                </w:p>
                <w:p w14:paraId="5C3AE13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ci</w:t>
                  </w:r>
                  <w:proofErr w:type="spellEnd"/>
                  <w:r>
                    <w:rPr>
                      <w:rFonts w:ascii="Calibri" w:eastAsia="Calibri" w:hAnsi="Calibri" w:cs="Calibri"/>
                      <w:color w:val="4F81BD"/>
                      <w:sz w:val="18"/>
                      <w:szCs w:val="18"/>
                    </w:rPr>
                    <w:tab/>
                    <w:t>–  jednostkowe koszty czasu „i” w PLN/godz.,</w:t>
                  </w:r>
                </w:p>
                <w:p w14:paraId="59DEF44A" w14:textId="3E1339F7" w:rsidR="00600DEE" w:rsidRDefault="00641FB5">
                  <w:pPr>
                    <w:pBdr>
                      <w:top w:val="nil"/>
                      <w:left w:val="nil"/>
                      <w:bottom w:val="nil"/>
                      <w:right w:val="nil"/>
                      <w:between w:val="nil"/>
                    </w:pBdr>
                    <w:spacing w:before="40" w:after="40"/>
                    <w:rPr>
                      <w:rFonts w:ascii="Calibri" w:eastAsia="Calibri" w:hAnsi="Calibri" w:cs="Calibri"/>
                      <w:color w:val="333399"/>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h</w:t>
                  </w:r>
                  <w:r>
                    <w:rPr>
                      <w:rFonts w:ascii="Calibri" w:eastAsia="Calibri" w:hAnsi="Calibri" w:cs="Calibri"/>
                      <w:color w:val="4F81BD"/>
                      <w:sz w:val="18"/>
                      <w:szCs w:val="18"/>
                      <w:vertAlign w:val="subscript"/>
                    </w:rPr>
                    <w:t>i</w:t>
                  </w:r>
                  <w:proofErr w:type="spellEnd"/>
                  <w:r>
                    <w:rPr>
                      <w:rFonts w:ascii="Calibri" w:eastAsia="Calibri" w:hAnsi="Calibri" w:cs="Calibri"/>
                      <w:color w:val="4F81BD"/>
                      <w:sz w:val="18"/>
                      <w:szCs w:val="18"/>
                    </w:rPr>
                    <w:tab/>
                    <w:t>–  praca przewozowa kategorii użytkowników „i” w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proofErr w:type="spellStart"/>
                  <w:r>
                    <w:rPr>
                      <w:rFonts w:ascii="Calibri" w:eastAsia="Calibri" w:hAnsi="Calibri" w:cs="Calibri"/>
                      <w:color w:val="4F81BD"/>
                      <w:sz w:val="18"/>
                      <w:szCs w:val="18"/>
                    </w:rPr>
                    <w:t>pasażero</w:t>
                  </w:r>
                  <w:proofErr w:type="spellEnd"/>
                  <w:r w:rsidR="00B10112">
                    <w:rPr>
                      <w:rFonts w:ascii="Calibri" w:eastAsia="Calibri" w:hAnsi="Calibri" w:cs="Calibri"/>
                      <w:color w:val="4F81BD"/>
                      <w:sz w:val="18"/>
                      <w:szCs w:val="18"/>
                    </w:rPr>
                    <w:t>-</w:t>
                  </w:r>
                  <w:r>
                    <w:rPr>
                      <w:rFonts w:ascii="Calibri" w:eastAsia="Calibri" w:hAnsi="Calibri" w:cs="Calibri"/>
                      <w:color w:val="4F81BD"/>
                      <w:sz w:val="18"/>
                      <w:szCs w:val="18"/>
                    </w:rPr>
                    <w:t>godzinach/dobę.</w:t>
                  </w:r>
                </w:p>
              </w:tc>
            </w:tr>
          </w:tbl>
          <w:p w14:paraId="371C69D6"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581508D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braku danych o podziale na motywacje podróży, należy określić je na podstawie danych z badań ankietowych (jeśli takie badania były prowadzone w trakcie ostatniego GPR) lub z pomiarów wcześniejszych lub innych (np. z KBR (Kompleksowego Badania Ruchu) wykonywanych w miastach. Jedynie w przypadku braku takich danych należy przyjąć w AKK wielkości podane w poniższej tabeli.</w:t>
            </w:r>
          </w:p>
          <w:p w14:paraId="16E99D86" w14:textId="77777777" w:rsidR="00851559" w:rsidRDefault="00851559">
            <w:pPr>
              <w:pBdr>
                <w:top w:val="nil"/>
                <w:left w:val="nil"/>
                <w:bottom w:val="nil"/>
                <w:right w:val="nil"/>
                <w:between w:val="nil"/>
              </w:pBdr>
              <w:spacing w:before="120"/>
              <w:ind w:left="1134" w:hanging="1134"/>
              <w:jc w:val="both"/>
              <w:rPr>
                <w:rFonts w:ascii="Calibri" w:eastAsia="Calibri" w:hAnsi="Calibri" w:cs="Calibri"/>
                <w:b/>
                <w:color w:val="4F81BD"/>
                <w:sz w:val="20"/>
                <w:szCs w:val="20"/>
              </w:rPr>
            </w:pPr>
          </w:p>
          <w:p w14:paraId="3A01E31F" w14:textId="38905CD5" w:rsidR="00600DEE" w:rsidRDefault="00B10112">
            <w:pPr>
              <w:pBdr>
                <w:top w:val="nil"/>
                <w:left w:val="nil"/>
                <w:bottom w:val="nil"/>
                <w:right w:val="nil"/>
                <w:between w:val="nil"/>
              </w:pBdr>
              <w:spacing w:before="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17</w:t>
            </w:r>
            <w:r w:rsidR="00641FB5">
              <w:rPr>
                <w:rFonts w:ascii="Calibri" w:eastAsia="Calibri" w:hAnsi="Calibri" w:cs="Calibri"/>
                <w:b/>
                <w:color w:val="4F81BD"/>
                <w:sz w:val="20"/>
                <w:szCs w:val="20"/>
              </w:rPr>
              <w:t>. Udział motywacji podróży użytkowników pojazdów o</w:t>
            </w:r>
            <w:r w:rsidR="00CB25CC">
              <w:rPr>
                <w:rFonts w:ascii="Calibri" w:eastAsia="Calibri" w:hAnsi="Calibri" w:cs="Calibri"/>
                <w:b/>
                <w:color w:val="4F81BD"/>
                <w:sz w:val="20"/>
                <w:szCs w:val="20"/>
              </w:rPr>
              <w:t>sobowych</w:t>
            </w:r>
            <w:r w:rsidR="00641FB5">
              <w:rPr>
                <w:rFonts w:ascii="Calibri" w:eastAsia="Calibri" w:hAnsi="Calibri" w:cs="Calibri"/>
                <w:b/>
                <w:color w:val="4F81BD"/>
                <w:sz w:val="20"/>
                <w:szCs w:val="20"/>
              </w:rPr>
              <w:t xml:space="preserve"> i autobusów na różnych kategoriach dróg </w:t>
            </w:r>
          </w:p>
          <w:p w14:paraId="7572F81F"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Pojazdy osobowe i autobusy, drogi zamiejskie</w:t>
            </w:r>
          </w:p>
          <w:tbl>
            <w:tblPr>
              <w:tblStyle w:val="affff0"/>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14:paraId="5A2DAF74" w14:textId="77777777">
              <w:trPr>
                <w:trHeight w:val="210"/>
              </w:trPr>
              <w:tc>
                <w:tcPr>
                  <w:tcW w:w="1597" w:type="dxa"/>
                  <w:vMerge w:val="restart"/>
                  <w:tcBorders>
                    <w:top w:val="nil"/>
                    <w:bottom w:val="single" w:sz="4" w:space="0" w:color="FFFFFF"/>
                  </w:tcBorders>
                  <w:shd w:val="clear" w:color="auto" w:fill="A6A6A6"/>
                  <w:vAlign w:val="center"/>
                </w:tcPr>
                <w:p w14:paraId="56A5B1A0"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4799" w:type="dxa"/>
                  <w:gridSpan w:val="3"/>
                  <w:tcBorders>
                    <w:top w:val="nil"/>
                    <w:bottom w:val="single" w:sz="4" w:space="0" w:color="FFFFFF"/>
                  </w:tcBorders>
                  <w:shd w:val="clear" w:color="auto" w:fill="A6A6A6"/>
                  <w:vAlign w:val="center"/>
                </w:tcPr>
                <w:p w14:paraId="2D9C246A"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Motywacje podróży</w:t>
                  </w:r>
                </w:p>
              </w:tc>
            </w:tr>
            <w:tr w:rsidR="00600DEE" w14:paraId="0CE8777A" w14:textId="77777777">
              <w:trPr>
                <w:trHeight w:val="210"/>
              </w:trPr>
              <w:tc>
                <w:tcPr>
                  <w:tcW w:w="1597" w:type="dxa"/>
                  <w:vMerge/>
                  <w:tcBorders>
                    <w:top w:val="nil"/>
                    <w:bottom w:val="single" w:sz="4" w:space="0" w:color="FFFFFF"/>
                  </w:tcBorders>
                  <w:shd w:val="clear" w:color="auto" w:fill="A6A6A6"/>
                  <w:vAlign w:val="center"/>
                </w:tcPr>
                <w:p w14:paraId="25B0D0C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597" w:type="dxa"/>
                  <w:tcBorders>
                    <w:top w:val="single" w:sz="4" w:space="0" w:color="FFFFFF"/>
                    <w:bottom w:val="single" w:sz="4" w:space="0" w:color="FFFFFF"/>
                  </w:tcBorders>
                  <w:shd w:val="clear" w:color="auto" w:fill="A6A6A6"/>
                  <w:vAlign w:val="center"/>
                </w:tcPr>
                <w:p w14:paraId="0B4641C1"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Dom-praca-dom</w:t>
                  </w:r>
                </w:p>
              </w:tc>
              <w:tc>
                <w:tcPr>
                  <w:tcW w:w="1601" w:type="dxa"/>
                  <w:tcBorders>
                    <w:top w:val="single" w:sz="4" w:space="0" w:color="FFFFFF"/>
                    <w:bottom w:val="single" w:sz="4" w:space="0" w:color="FFFFFF"/>
                  </w:tcBorders>
                  <w:shd w:val="clear" w:color="auto" w:fill="A6A6A6"/>
                  <w:vAlign w:val="center"/>
                </w:tcPr>
                <w:p w14:paraId="21554C53"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Służbowe</w:t>
                  </w:r>
                </w:p>
              </w:tc>
              <w:tc>
                <w:tcPr>
                  <w:tcW w:w="1601" w:type="dxa"/>
                  <w:tcBorders>
                    <w:top w:val="single" w:sz="4" w:space="0" w:color="FFFFFF"/>
                    <w:bottom w:val="single" w:sz="4" w:space="0" w:color="FFFFFF"/>
                  </w:tcBorders>
                  <w:shd w:val="clear" w:color="auto" w:fill="A6A6A6"/>
                  <w:vAlign w:val="center"/>
                </w:tcPr>
                <w:p w14:paraId="605DE35E"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Inne</w:t>
                  </w:r>
                </w:p>
              </w:tc>
            </w:tr>
            <w:tr w:rsidR="00600DEE" w14:paraId="70FC98A4" w14:textId="77777777">
              <w:trPr>
                <w:trHeight w:val="237"/>
              </w:trPr>
              <w:tc>
                <w:tcPr>
                  <w:tcW w:w="1597" w:type="dxa"/>
                  <w:tcBorders>
                    <w:top w:val="single" w:sz="4" w:space="0" w:color="FFFFFF"/>
                  </w:tcBorders>
                  <w:shd w:val="clear" w:color="auto" w:fill="DBE5F1"/>
                </w:tcPr>
                <w:p w14:paraId="4D3C2D21"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Krajowe</w:t>
                  </w:r>
                </w:p>
              </w:tc>
              <w:tc>
                <w:tcPr>
                  <w:tcW w:w="1597" w:type="dxa"/>
                  <w:tcBorders>
                    <w:top w:val="single" w:sz="4" w:space="0" w:color="FFFFFF"/>
                  </w:tcBorders>
                  <w:shd w:val="clear" w:color="auto" w:fill="DBE5F1"/>
                  <w:vAlign w:val="center"/>
                </w:tcPr>
                <w:p w14:paraId="189C3278"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15%</w:t>
                  </w:r>
                </w:p>
              </w:tc>
              <w:tc>
                <w:tcPr>
                  <w:tcW w:w="1601" w:type="dxa"/>
                  <w:tcBorders>
                    <w:top w:val="single" w:sz="4" w:space="0" w:color="FFFFFF"/>
                  </w:tcBorders>
                  <w:shd w:val="clear" w:color="auto" w:fill="DBE5F1"/>
                  <w:vAlign w:val="center"/>
                </w:tcPr>
                <w:p w14:paraId="3B48D327"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25%</w:t>
                  </w:r>
                </w:p>
              </w:tc>
              <w:tc>
                <w:tcPr>
                  <w:tcW w:w="1601" w:type="dxa"/>
                  <w:tcBorders>
                    <w:top w:val="single" w:sz="4" w:space="0" w:color="FFFFFF"/>
                  </w:tcBorders>
                  <w:shd w:val="clear" w:color="auto" w:fill="DBE5F1"/>
                  <w:vAlign w:val="center"/>
                </w:tcPr>
                <w:p w14:paraId="73D9436D"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60%</w:t>
                  </w:r>
                </w:p>
              </w:tc>
            </w:tr>
            <w:tr w:rsidR="00600DEE" w14:paraId="039E2BE7" w14:textId="77777777">
              <w:trPr>
                <w:trHeight w:val="251"/>
              </w:trPr>
              <w:tc>
                <w:tcPr>
                  <w:tcW w:w="1597" w:type="dxa"/>
                  <w:shd w:val="clear" w:color="auto" w:fill="DBE5F1"/>
                </w:tcPr>
                <w:p w14:paraId="2578C916"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Wojewódzkie</w:t>
                  </w:r>
                </w:p>
              </w:tc>
              <w:tc>
                <w:tcPr>
                  <w:tcW w:w="1597" w:type="dxa"/>
                  <w:shd w:val="clear" w:color="auto" w:fill="DBE5F1"/>
                  <w:vAlign w:val="center"/>
                </w:tcPr>
                <w:p w14:paraId="25C70E10"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32%</w:t>
                  </w:r>
                </w:p>
              </w:tc>
              <w:tc>
                <w:tcPr>
                  <w:tcW w:w="1601" w:type="dxa"/>
                  <w:shd w:val="clear" w:color="auto" w:fill="DBE5F1"/>
                  <w:vAlign w:val="center"/>
                </w:tcPr>
                <w:p w14:paraId="607330B6"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21%</w:t>
                  </w:r>
                </w:p>
              </w:tc>
              <w:tc>
                <w:tcPr>
                  <w:tcW w:w="1601" w:type="dxa"/>
                  <w:shd w:val="clear" w:color="auto" w:fill="DBE5F1"/>
                  <w:vAlign w:val="center"/>
                </w:tcPr>
                <w:p w14:paraId="3E20991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47%</w:t>
                  </w:r>
                </w:p>
              </w:tc>
            </w:tr>
          </w:tbl>
          <w:p w14:paraId="6606EBE5" w14:textId="77777777" w:rsidR="00600DEE" w:rsidRDefault="00641FB5">
            <w:pPr>
              <w:spacing w:before="120" w:line="276" w:lineRule="auto"/>
              <w:ind w:right="170"/>
              <w:jc w:val="both"/>
              <w:rPr>
                <w:rFonts w:ascii="Calibri" w:eastAsia="Calibri" w:hAnsi="Calibri" w:cs="Calibri"/>
                <w:sz w:val="20"/>
                <w:szCs w:val="20"/>
              </w:rPr>
            </w:pPr>
            <w:r>
              <w:rPr>
                <w:rFonts w:ascii="Calibri" w:eastAsia="Calibri" w:hAnsi="Calibri" w:cs="Calibri"/>
                <w:b/>
                <w:i/>
                <w:sz w:val="16"/>
                <w:szCs w:val="16"/>
              </w:rPr>
              <w:t>Źródło: opracowanie własne w oparciu o dostępne dane i porównanie z innymi projektami.</w:t>
            </w:r>
          </w:p>
          <w:p w14:paraId="70DD90B6" w14:textId="77777777" w:rsidR="00851559" w:rsidRDefault="00851559">
            <w:pPr>
              <w:pBdr>
                <w:top w:val="nil"/>
                <w:left w:val="nil"/>
                <w:bottom w:val="nil"/>
                <w:right w:val="nil"/>
                <w:between w:val="nil"/>
              </w:pBdr>
              <w:spacing w:before="120" w:after="120"/>
              <w:jc w:val="both"/>
              <w:rPr>
                <w:rFonts w:ascii="Calibri" w:eastAsia="Calibri" w:hAnsi="Calibri" w:cs="Calibri"/>
                <w:b/>
                <w:color w:val="4F81BD"/>
                <w:sz w:val="20"/>
                <w:szCs w:val="20"/>
              </w:rPr>
            </w:pPr>
          </w:p>
          <w:p w14:paraId="14985736" w14:textId="77777777" w:rsidR="00851559" w:rsidRDefault="00851559">
            <w:pPr>
              <w:pBdr>
                <w:top w:val="nil"/>
                <w:left w:val="nil"/>
                <w:bottom w:val="nil"/>
                <w:right w:val="nil"/>
                <w:between w:val="nil"/>
              </w:pBdr>
              <w:spacing w:before="120" w:after="120"/>
              <w:jc w:val="both"/>
              <w:rPr>
                <w:rFonts w:ascii="Calibri" w:eastAsia="Calibri" w:hAnsi="Calibri" w:cs="Calibri"/>
                <w:b/>
                <w:color w:val="4F81BD"/>
                <w:sz w:val="20"/>
                <w:szCs w:val="20"/>
              </w:rPr>
            </w:pPr>
          </w:p>
          <w:p w14:paraId="3294AC20" w14:textId="589F304B"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 xml:space="preserve">Pojazdy osobowe, drogi miejskie </w:t>
            </w:r>
          </w:p>
          <w:tbl>
            <w:tblPr>
              <w:tblStyle w:val="affff1"/>
              <w:tblW w:w="6396" w:type="dxa"/>
              <w:tblBorders>
                <w:insideH w:val="single" w:sz="4" w:space="0" w:color="FFFFFF"/>
                <w:insideV w:val="single" w:sz="4" w:space="0" w:color="FFFFFF"/>
              </w:tblBorders>
              <w:tblLayout w:type="fixed"/>
              <w:tblLook w:val="0400" w:firstRow="0" w:lastRow="0" w:firstColumn="0" w:lastColumn="0" w:noHBand="0" w:noVBand="1"/>
            </w:tblPr>
            <w:tblGrid>
              <w:gridCol w:w="1560"/>
              <w:gridCol w:w="1634"/>
              <w:gridCol w:w="1601"/>
              <w:gridCol w:w="1601"/>
            </w:tblGrid>
            <w:tr w:rsidR="00600DEE" w14:paraId="6024BA03" w14:textId="77777777" w:rsidTr="00CE37CC">
              <w:trPr>
                <w:trHeight w:hRule="exact" w:val="454"/>
              </w:trPr>
              <w:tc>
                <w:tcPr>
                  <w:tcW w:w="1560" w:type="dxa"/>
                  <w:vMerge w:val="restart"/>
                  <w:tcBorders>
                    <w:top w:val="nil"/>
                    <w:bottom w:val="single" w:sz="4" w:space="0" w:color="FFFFFF"/>
                  </w:tcBorders>
                  <w:shd w:val="clear" w:color="auto" w:fill="A6A6A6"/>
                  <w:vAlign w:val="center"/>
                </w:tcPr>
                <w:p w14:paraId="0C9C0BBD"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4836" w:type="dxa"/>
                  <w:gridSpan w:val="3"/>
                  <w:tcBorders>
                    <w:top w:val="nil"/>
                    <w:bottom w:val="single" w:sz="4" w:space="0" w:color="FFFFFF"/>
                  </w:tcBorders>
                  <w:shd w:val="clear" w:color="auto" w:fill="A6A6A6"/>
                  <w:vAlign w:val="center"/>
                </w:tcPr>
                <w:p w14:paraId="597B0968"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Motywacje podróży</w:t>
                  </w:r>
                </w:p>
              </w:tc>
            </w:tr>
            <w:tr w:rsidR="00600DEE" w14:paraId="42172B5C" w14:textId="77777777">
              <w:trPr>
                <w:trHeight w:val="210"/>
              </w:trPr>
              <w:tc>
                <w:tcPr>
                  <w:tcW w:w="1560" w:type="dxa"/>
                  <w:vMerge/>
                  <w:tcBorders>
                    <w:top w:val="nil"/>
                    <w:bottom w:val="single" w:sz="4" w:space="0" w:color="FFFFFF"/>
                  </w:tcBorders>
                  <w:shd w:val="clear" w:color="auto" w:fill="A6A6A6"/>
                  <w:vAlign w:val="center"/>
                </w:tcPr>
                <w:p w14:paraId="7C01001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34" w:type="dxa"/>
                  <w:tcBorders>
                    <w:top w:val="single" w:sz="4" w:space="0" w:color="FFFFFF"/>
                    <w:bottom w:val="single" w:sz="4" w:space="0" w:color="FFFFFF"/>
                  </w:tcBorders>
                  <w:shd w:val="clear" w:color="auto" w:fill="A6A6A6"/>
                  <w:vAlign w:val="center"/>
                </w:tcPr>
                <w:p w14:paraId="4D6E88D7"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Dom-praca-dom</w:t>
                  </w:r>
                </w:p>
              </w:tc>
              <w:tc>
                <w:tcPr>
                  <w:tcW w:w="1601" w:type="dxa"/>
                  <w:tcBorders>
                    <w:top w:val="single" w:sz="4" w:space="0" w:color="FFFFFF"/>
                    <w:bottom w:val="single" w:sz="4" w:space="0" w:color="FFFFFF"/>
                  </w:tcBorders>
                  <w:shd w:val="clear" w:color="auto" w:fill="A6A6A6"/>
                  <w:vAlign w:val="center"/>
                </w:tcPr>
                <w:p w14:paraId="24848962"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Służbowe</w:t>
                  </w:r>
                </w:p>
              </w:tc>
              <w:tc>
                <w:tcPr>
                  <w:tcW w:w="1601" w:type="dxa"/>
                  <w:tcBorders>
                    <w:top w:val="single" w:sz="4" w:space="0" w:color="FFFFFF"/>
                    <w:bottom w:val="single" w:sz="4" w:space="0" w:color="FFFFFF"/>
                  </w:tcBorders>
                  <w:shd w:val="clear" w:color="auto" w:fill="A6A6A6"/>
                  <w:vAlign w:val="center"/>
                </w:tcPr>
                <w:p w14:paraId="0B972FF3"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Inne</w:t>
                  </w:r>
                </w:p>
              </w:tc>
            </w:tr>
            <w:tr w:rsidR="00600DEE" w14:paraId="5C0D026A" w14:textId="77777777" w:rsidTr="00CE37CC">
              <w:trPr>
                <w:trHeight w:hRule="exact" w:val="454"/>
              </w:trPr>
              <w:tc>
                <w:tcPr>
                  <w:tcW w:w="1560" w:type="dxa"/>
                  <w:tcBorders>
                    <w:top w:val="single" w:sz="4" w:space="0" w:color="FFFFFF"/>
                  </w:tcBorders>
                  <w:shd w:val="clear" w:color="auto" w:fill="DBE5F1"/>
                </w:tcPr>
                <w:p w14:paraId="0DE7371A"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Wszystkie kategorie dróg</w:t>
                  </w:r>
                </w:p>
              </w:tc>
              <w:tc>
                <w:tcPr>
                  <w:tcW w:w="1634" w:type="dxa"/>
                  <w:tcBorders>
                    <w:top w:val="single" w:sz="4" w:space="0" w:color="FFFFFF"/>
                  </w:tcBorders>
                  <w:shd w:val="clear" w:color="auto" w:fill="DBE5F1"/>
                  <w:vAlign w:val="center"/>
                </w:tcPr>
                <w:p w14:paraId="7A398947"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601" w:type="dxa"/>
                  <w:tcBorders>
                    <w:top w:val="single" w:sz="4" w:space="0" w:color="FFFFFF"/>
                  </w:tcBorders>
                  <w:shd w:val="clear" w:color="auto" w:fill="DBE5F1"/>
                  <w:vAlign w:val="center"/>
                </w:tcPr>
                <w:p w14:paraId="0C5468C6"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1601" w:type="dxa"/>
                  <w:tcBorders>
                    <w:top w:val="single" w:sz="4" w:space="0" w:color="FFFFFF"/>
                  </w:tcBorders>
                  <w:shd w:val="clear" w:color="auto" w:fill="DBE5F1"/>
                  <w:vAlign w:val="center"/>
                </w:tcPr>
                <w:p w14:paraId="1D4430B3"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55%</w:t>
                  </w:r>
                </w:p>
              </w:tc>
            </w:tr>
          </w:tbl>
          <w:p w14:paraId="7A228FF8" w14:textId="2336DFCF" w:rsidR="00600DEE" w:rsidRDefault="00641FB5">
            <w:pPr>
              <w:spacing w:before="120" w:line="276" w:lineRule="auto"/>
              <w:ind w:right="170"/>
              <w:jc w:val="both"/>
              <w:rPr>
                <w:rFonts w:ascii="Calibri" w:eastAsia="Calibri" w:hAnsi="Calibri" w:cs="Calibri"/>
              </w:rPr>
            </w:pPr>
            <w:r>
              <w:rPr>
                <w:rFonts w:ascii="Calibri" w:eastAsia="Calibri" w:hAnsi="Calibri" w:cs="Calibri"/>
                <w:b/>
                <w:i/>
                <w:sz w:val="16"/>
                <w:szCs w:val="16"/>
              </w:rPr>
              <w:t>Źródło: opracowanie własne w oparciu o dostępne dane i porównanie z innymi projektami.</w:t>
            </w:r>
            <w:r>
              <w:rPr>
                <w:rFonts w:ascii="Calibri" w:eastAsia="Calibri" w:hAnsi="Calibri" w:cs="Calibri"/>
              </w:rPr>
              <w:t xml:space="preserve"> </w:t>
            </w:r>
          </w:p>
          <w:p w14:paraId="0B34BE00" w14:textId="77777777" w:rsidR="006C2564" w:rsidRDefault="006C2564" w:rsidP="006C2564">
            <w:pPr>
              <w:spacing w:line="276" w:lineRule="auto"/>
              <w:ind w:right="170"/>
              <w:jc w:val="both"/>
              <w:rPr>
                <w:rFonts w:ascii="Calibri" w:eastAsia="Calibri" w:hAnsi="Calibri" w:cs="Calibri"/>
                <w:sz w:val="20"/>
                <w:szCs w:val="20"/>
              </w:rPr>
            </w:pPr>
          </w:p>
          <w:p w14:paraId="1AFA19C7"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Obszar miejski dla autobusów</w:t>
            </w:r>
          </w:p>
          <w:tbl>
            <w:tblPr>
              <w:tblStyle w:val="affff2"/>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14:paraId="5E94748E" w14:textId="77777777">
              <w:trPr>
                <w:trHeight w:val="210"/>
              </w:trPr>
              <w:tc>
                <w:tcPr>
                  <w:tcW w:w="1597" w:type="dxa"/>
                  <w:vMerge w:val="restart"/>
                  <w:tcBorders>
                    <w:top w:val="nil"/>
                    <w:bottom w:val="single" w:sz="4" w:space="0" w:color="FFFFFF"/>
                  </w:tcBorders>
                  <w:shd w:val="clear" w:color="auto" w:fill="A6A6A6"/>
                  <w:vAlign w:val="center"/>
                </w:tcPr>
                <w:p w14:paraId="07BBA45D"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4799" w:type="dxa"/>
                  <w:gridSpan w:val="3"/>
                  <w:tcBorders>
                    <w:top w:val="nil"/>
                    <w:bottom w:val="single" w:sz="4" w:space="0" w:color="FFFFFF"/>
                  </w:tcBorders>
                  <w:shd w:val="clear" w:color="auto" w:fill="A6A6A6"/>
                  <w:vAlign w:val="center"/>
                </w:tcPr>
                <w:p w14:paraId="449D38AF"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Motywacje podróży</w:t>
                  </w:r>
                </w:p>
              </w:tc>
            </w:tr>
            <w:tr w:rsidR="00600DEE" w14:paraId="5A9507E4" w14:textId="77777777">
              <w:trPr>
                <w:trHeight w:val="295"/>
              </w:trPr>
              <w:tc>
                <w:tcPr>
                  <w:tcW w:w="1597" w:type="dxa"/>
                  <w:vMerge/>
                  <w:tcBorders>
                    <w:top w:val="nil"/>
                    <w:bottom w:val="single" w:sz="4" w:space="0" w:color="FFFFFF"/>
                  </w:tcBorders>
                  <w:shd w:val="clear" w:color="auto" w:fill="A6A6A6"/>
                  <w:vAlign w:val="center"/>
                </w:tcPr>
                <w:p w14:paraId="0048436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597" w:type="dxa"/>
                  <w:tcBorders>
                    <w:top w:val="single" w:sz="4" w:space="0" w:color="FFFFFF"/>
                    <w:bottom w:val="single" w:sz="4" w:space="0" w:color="FFFFFF"/>
                  </w:tcBorders>
                  <w:shd w:val="clear" w:color="auto" w:fill="A6A6A6"/>
                  <w:vAlign w:val="center"/>
                </w:tcPr>
                <w:p w14:paraId="6F4E9BC2"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Dom-praca-dom</w:t>
                  </w:r>
                </w:p>
              </w:tc>
              <w:tc>
                <w:tcPr>
                  <w:tcW w:w="1601" w:type="dxa"/>
                  <w:tcBorders>
                    <w:top w:val="single" w:sz="4" w:space="0" w:color="FFFFFF"/>
                    <w:bottom w:val="single" w:sz="4" w:space="0" w:color="FFFFFF"/>
                  </w:tcBorders>
                  <w:shd w:val="clear" w:color="auto" w:fill="A6A6A6"/>
                  <w:vAlign w:val="center"/>
                </w:tcPr>
                <w:p w14:paraId="35BA5D69"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Służbowe</w:t>
                  </w:r>
                </w:p>
              </w:tc>
              <w:tc>
                <w:tcPr>
                  <w:tcW w:w="1601" w:type="dxa"/>
                  <w:tcBorders>
                    <w:top w:val="single" w:sz="4" w:space="0" w:color="FFFFFF"/>
                    <w:bottom w:val="single" w:sz="4" w:space="0" w:color="FFFFFF"/>
                  </w:tcBorders>
                  <w:shd w:val="clear" w:color="auto" w:fill="A6A6A6"/>
                  <w:vAlign w:val="center"/>
                </w:tcPr>
                <w:p w14:paraId="499E57A4"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Inne</w:t>
                  </w:r>
                </w:p>
              </w:tc>
            </w:tr>
            <w:tr w:rsidR="00600DEE" w14:paraId="14717FB9" w14:textId="77777777" w:rsidTr="006C2564">
              <w:trPr>
                <w:trHeight w:val="454"/>
              </w:trPr>
              <w:tc>
                <w:tcPr>
                  <w:tcW w:w="1597" w:type="dxa"/>
                  <w:tcBorders>
                    <w:top w:val="single" w:sz="4" w:space="0" w:color="FFFFFF"/>
                  </w:tcBorders>
                  <w:shd w:val="clear" w:color="auto" w:fill="DBE5F1"/>
                </w:tcPr>
                <w:p w14:paraId="225CA373"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Wszystkie kategorie dróg</w:t>
                  </w:r>
                </w:p>
              </w:tc>
              <w:tc>
                <w:tcPr>
                  <w:tcW w:w="1597" w:type="dxa"/>
                  <w:tcBorders>
                    <w:top w:val="single" w:sz="4" w:space="0" w:color="FFFFFF"/>
                  </w:tcBorders>
                  <w:shd w:val="clear" w:color="auto" w:fill="DBE5F1"/>
                  <w:vAlign w:val="center"/>
                </w:tcPr>
                <w:p w14:paraId="56F742A6"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601" w:type="dxa"/>
                  <w:tcBorders>
                    <w:top w:val="single" w:sz="4" w:space="0" w:color="FFFFFF"/>
                  </w:tcBorders>
                  <w:shd w:val="clear" w:color="auto" w:fill="DBE5F1"/>
                  <w:vAlign w:val="center"/>
                </w:tcPr>
                <w:p w14:paraId="66C4CC45"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5%</w:t>
                  </w:r>
                </w:p>
              </w:tc>
              <w:tc>
                <w:tcPr>
                  <w:tcW w:w="1601" w:type="dxa"/>
                  <w:tcBorders>
                    <w:top w:val="single" w:sz="4" w:space="0" w:color="FFFFFF"/>
                  </w:tcBorders>
                  <w:shd w:val="clear" w:color="auto" w:fill="DBE5F1"/>
                  <w:vAlign w:val="center"/>
                </w:tcPr>
                <w:p w14:paraId="26DD577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60%</w:t>
                  </w:r>
                </w:p>
              </w:tc>
            </w:tr>
          </w:tbl>
          <w:p w14:paraId="613D899D" w14:textId="77777777" w:rsidR="00600DEE" w:rsidRDefault="00641FB5">
            <w:pPr>
              <w:spacing w:before="120" w:line="276" w:lineRule="auto"/>
              <w:ind w:right="170"/>
              <w:jc w:val="both"/>
              <w:rPr>
                <w:rFonts w:ascii="Calibri" w:eastAsia="Calibri" w:hAnsi="Calibri" w:cs="Calibri"/>
                <w:sz w:val="20"/>
                <w:szCs w:val="20"/>
              </w:rPr>
            </w:pPr>
            <w:r>
              <w:rPr>
                <w:rFonts w:ascii="Calibri" w:eastAsia="Calibri" w:hAnsi="Calibri" w:cs="Calibri"/>
                <w:b/>
                <w:i/>
                <w:sz w:val="16"/>
                <w:szCs w:val="16"/>
              </w:rPr>
              <w:t>Źródło: opracowanie własne w oparciu o dostępne dane i porównanie z innymi projektami.</w:t>
            </w:r>
          </w:p>
          <w:p w14:paraId="3DA4FFA7" w14:textId="2EFD6EB0" w:rsidR="00B10112"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analizy metodą odcinkową podstawą obliczenia pracy przewozowej (w </w:t>
            </w:r>
            <w:proofErr w:type="spellStart"/>
            <w:r>
              <w:rPr>
                <w:rFonts w:ascii="Calibri" w:eastAsia="Calibri" w:hAnsi="Calibri" w:cs="Calibri"/>
                <w:color w:val="000000"/>
                <w:sz w:val="20"/>
                <w:szCs w:val="20"/>
              </w:rPr>
              <w:t>pasażerogodzinach</w:t>
            </w:r>
            <w:proofErr w:type="spellEnd"/>
            <w:r>
              <w:rPr>
                <w:rFonts w:ascii="Calibri" w:eastAsia="Calibri" w:hAnsi="Calibri" w:cs="Calibri"/>
                <w:color w:val="000000"/>
                <w:sz w:val="20"/>
                <w:szCs w:val="20"/>
              </w:rPr>
              <w:t xml:space="preserve">) jest oszacowanie prędkości podróży na analizowanym odcinku (w metodzie modelowej/buforowej prędkości te są już uwzględnione w modelu). W tym celu wskazane jest wykorzystanie tabel prędkości zawartych w wewnętrznym Przewodniku do AKK (opublikowanym przez GDDKiA w 2021 r.), zastępującym dotychczas stosowaną Instrukcję </w:t>
            </w:r>
            <w:proofErr w:type="spellStart"/>
            <w:r>
              <w:rPr>
                <w:rFonts w:ascii="Calibri" w:eastAsia="Calibri" w:hAnsi="Calibri" w:cs="Calibri"/>
                <w:color w:val="000000"/>
                <w:sz w:val="20"/>
                <w:szCs w:val="20"/>
              </w:rPr>
              <w:t>IBDiM</w:t>
            </w:r>
            <w:proofErr w:type="spellEnd"/>
            <w:r>
              <w:rPr>
                <w:rFonts w:ascii="Calibri" w:eastAsia="Calibri" w:hAnsi="Calibri" w:cs="Calibri"/>
                <w:color w:val="000000"/>
                <w:sz w:val="20"/>
                <w:szCs w:val="20"/>
              </w:rPr>
              <w:t xml:space="preserve"> z 2008 r. Obliczenie kosztów czasu użytkowników należy wykonać dla wariantu bezinwestycyjnego oraz wszystkich wariantów inwestycyjnych wyselekcjonowanych do analizy kosztów i korzyści.</w:t>
            </w:r>
          </w:p>
          <w:p w14:paraId="56D9AA55" w14:textId="77777777" w:rsidR="00CB25CC" w:rsidRDefault="00CB25CC" w:rsidP="00CB25CC">
            <w:pPr>
              <w:pStyle w:val="anxnormal"/>
              <w:ind w:left="0"/>
              <w:rPr>
                <w:rFonts w:asciiTheme="minorHAnsi" w:hAnsiTheme="minorHAnsi"/>
              </w:rPr>
            </w:pPr>
            <w:bookmarkStart w:id="65" w:name="_heading=h.3l18frh" w:colFirst="0" w:colLast="0"/>
            <w:bookmarkEnd w:id="65"/>
            <w:r w:rsidRPr="00DA0B2D">
              <w:rPr>
                <w:rFonts w:asciiTheme="minorHAnsi" w:hAnsiTheme="minorHAnsi"/>
              </w:rPr>
              <w:t>W przypadku użytkowników kolei, wynikiem analizy ruchu będą najczęściej pasażerokilometry dla poszczególnych analizowanych wariantów. Udziały motywacji podróży (jeżeli nie wygenerowane z modelu) można przyjąć jak dla dróg, a </w:t>
            </w:r>
            <w:r w:rsidRPr="00371A33">
              <w:rPr>
                <w:rFonts w:asciiTheme="minorHAnsi" w:hAnsiTheme="minorHAnsi"/>
              </w:rPr>
              <w:t>także należy stosować te same wartości kosztów czasu. W przypadku towarowych przewozów kolejowych zalecane wartości czasu są podane w Niebieskiej Księdze dla infrastruktury kolejowej.</w:t>
            </w:r>
            <w:r>
              <w:rPr>
                <w:rFonts w:asciiTheme="minorHAnsi" w:hAnsiTheme="minorHAnsi"/>
              </w:rPr>
              <w:t xml:space="preserve"> </w:t>
            </w:r>
          </w:p>
          <w:p w14:paraId="6AB96197" w14:textId="7159522B"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Metoda obliczania kosztów czasu użytkowników w przypadkach, gdy praca przewozowa (</w:t>
            </w:r>
            <w:proofErr w:type="spellStart"/>
            <w:r>
              <w:rPr>
                <w:rFonts w:ascii="Calibri" w:eastAsia="Calibri" w:hAnsi="Calibri" w:cs="Calibri"/>
                <w:color w:val="000000"/>
                <w:sz w:val="20"/>
                <w:szCs w:val="20"/>
              </w:rPr>
              <w:t>pasażero</w:t>
            </w:r>
            <w:proofErr w:type="spellEnd"/>
            <w:r w:rsidR="00B10112">
              <w:rPr>
                <w:rFonts w:ascii="Calibri" w:eastAsia="Calibri" w:hAnsi="Calibri" w:cs="Calibri"/>
                <w:color w:val="000000"/>
                <w:sz w:val="20"/>
                <w:szCs w:val="20"/>
              </w:rPr>
              <w:t>-</w:t>
            </w:r>
            <w:r>
              <w:rPr>
                <w:rFonts w:ascii="Calibri" w:eastAsia="Calibri" w:hAnsi="Calibri" w:cs="Calibri"/>
                <w:color w:val="000000"/>
                <w:sz w:val="20"/>
                <w:szCs w:val="20"/>
              </w:rPr>
              <w:t>godziny) j</w:t>
            </w:r>
            <w:r w:rsidR="00CB25CC">
              <w:rPr>
                <w:rFonts w:ascii="Calibri" w:eastAsia="Calibri" w:hAnsi="Calibri" w:cs="Calibri"/>
                <w:color w:val="000000"/>
                <w:sz w:val="20"/>
                <w:szCs w:val="20"/>
              </w:rPr>
              <w:t>est obliczona metodą odcinkową,</w:t>
            </w:r>
            <w:r>
              <w:rPr>
                <w:rFonts w:ascii="Calibri" w:eastAsia="Calibri" w:hAnsi="Calibri" w:cs="Calibri"/>
                <w:color w:val="000000"/>
                <w:sz w:val="20"/>
                <w:szCs w:val="20"/>
              </w:rPr>
              <w:t xml:space="preserve"> przedstawiono w tabeli poniżej.</w:t>
            </w:r>
          </w:p>
          <w:p w14:paraId="64E1E0AE" w14:textId="53BA24BF" w:rsidR="00600DEE" w:rsidRDefault="00B10112">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18</w:t>
            </w:r>
            <w:r w:rsidR="00641FB5">
              <w:rPr>
                <w:rFonts w:ascii="Calibri" w:eastAsia="Calibri" w:hAnsi="Calibri" w:cs="Calibri"/>
                <w:b/>
                <w:color w:val="4F81BD"/>
                <w:sz w:val="20"/>
                <w:szCs w:val="20"/>
              </w:rPr>
              <w:t xml:space="preserve">. Wzór na obliczanie kosztów czasu podróży dla projektów dla których praca przewozowa liczona jest metodą odcinkową  </w:t>
            </w:r>
          </w:p>
          <w:tbl>
            <w:tblPr>
              <w:tblStyle w:val="affff3"/>
              <w:tblW w:w="684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49"/>
            </w:tblGrid>
            <w:tr w:rsidR="00600DEE" w14:paraId="002F162D" w14:textId="77777777" w:rsidTr="005C3677">
              <w:trPr>
                <w:trHeight w:hRule="exact" w:val="5050"/>
              </w:trPr>
              <w:tc>
                <w:tcPr>
                  <w:tcW w:w="6849" w:type="dxa"/>
                  <w:shd w:val="clear" w:color="auto" w:fill="DBE5F1"/>
                  <w:vAlign w:val="center"/>
                </w:tcPr>
                <w:p w14:paraId="48755298" w14:textId="77777777" w:rsidR="00600DEE" w:rsidRDefault="00600DEE">
                  <w:pPr>
                    <w:pBdr>
                      <w:top w:val="nil"/>
                      <w:left w:val="nil"/>
                      <w:bottom w:val="nil"/>
                      <w:right w:val="nil"/>
                      <w:between w:val="nil"/>
                    </w:pBdr>
                    <w:spacing w:before="120" w:after="40"/>
                    <w:jc w:val="center"/>
                    <w:rPr>
                      <w:rFonts w:ascii="Calibri" w:eastAsia="Calibri" w:hAnsi="Calibri" w:cs="Calibri"/>
                      <w:color w:val="4F81BD"/>
                      <w:sz w:val="18"/>
                      <w:szCs w:val="18"/>
                    </w:rPr>
                  </w:pPr>
                </w:p>
                <w:p w14:paraId="57EE73D3"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195" w:dyaOrig="825" w14:anchorId="70854937">
                      <v:shape id="_x0000_i1030" type="#_x0000_t75" style="width:158.95pt;height:41.15pt" o:ole="" filled="t">
                        <v:fill color2="black"/>
                        <v:imagedata r:id="rId114" o:title=""/>
                      </v:shape>
                      <o:OLEObject Type="Embed" ProgID="Equation.3" ShapeID="_x0000_i1030" DrawAspect="Content" ObjectID="_1708947472" r:id="rId115"/>
                    </w:object>
                  </w:r>
                </w:p>
                <w:p w14:paraId="71DE40F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767013DB" w14:textId="77777777" w:rsidR="00600DEE" w:rsidRDefault="00600DEE">
                  <w:pPr>
                    <w:pBdr>
                      <w:top w:val="nil"/>
                      <w:left w:val="nil"/>
                      <w:bottom w:val="nil"/>
                      <w:right w:val="nil"/>
                      <w:between w:val="nil"/>
                    </w:pBdr>
                    <w:spacing w:before="40" w:after="40"/>
                    <w:rPr>
                      <w:rFonts w:ascii="Calibri" w:eastAsia="Calibri" w:hAnsi="Calibri" w:cs="Calibri"/>
                      <w:color w:val="4F81BD"/>
                      <w:sz w:val="18"/>
                      <w:szCs w:val="18"/>
                    </w:rPr>
                  </w:pPr>
                </w:p>
                <w:p w14:paraId="44B6B2C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c</w:t>
                  </w:r>
                  <w:proofErr w:type="spellEnd"/>
                  <w:r>
                    <w:rPr>
                      <w:rFonts w:ascii="Calibri" w:eastAsia="Calibri" w:hAnsi="Calibri" w:cs="Calibri"/>
                      <w:color w:val="4F81BD"/>
                      <w:sz w:val="18"/>
                      <w:szCs w:val="18"/>
                    </w:rPr>
                    <w:tab/>
                    <w:t>–  roczne koszty czasu użytkowników, w PLN,</w:t>
                  </w:r>
                </w:p>
                <w:p w14:paraId="2FF4ECEF"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i</w:t>
                  </w:r>
                  <w:proofErr w:type="spellEnd"/>
                  <w:r>
                    <w:rPr>
                      <w:rFonts w:ascii="Calibri" w:eastAsia="Calibri" w:hAnsi="Calibri" w:cs="Calibri"/>
                      <w:color w:val="4F81BD"/>
                      <w:sz w:val="18"/>
                      <w:szCs w:val="18"/>
                    </w:rPr>
                    <w:tab/>
                    <w:t xml:space="preserve">–  średnioroczne dobowe natężenie ruchu dla kategorii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użytkowników pojazdów „i” (np. LV and HGV), w pojazdach/dobę,</w:t>
                  </w:r>
                </w:p>
                <w:p w14:paraId="62325D98"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L</w:t>
                  </w:r>
                  <w:r>
                    <w:rPr>
                      <w:rFonts w:ascii="Calibri" w:eastAsia="Calibri" w:hAnsi="Calibri" w:cs="Calibri"/>
                      <w:color w:val="4F81BD"/>
                      <w:sz w:val="18"/>
                      <w:szCs w:val="18"/>
                    </w:rPr>
                    <w:tab/>
                    <w:t>–  długość odcinka drogi,  w km</w:t>
                  </w:r>
                </w:p>
                <w:p w14:paraId="413D891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i</w:t>
                  </w:r>
                  <w:r>
                    <w:rPr>
                      <w:rFonts w:ascii="Calibri" w:eastAsia="Calibri" w:hAnsi="Calibri" w:cs="Calibri"/>
                      <w:color w:val="4F81BD"/>
                      <w:sz w:val="18"/>
                      <w:szCs w:val="18"/>
                    </w:rPr>
                    <w:tab/>
                    <w:t xml:space="preserve">–  liczba kategorii użytkowników o różnej jednostkowej wartości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czasu (służbowe, dom-praca-dom, inne, przewóz towarów)</w:t>
                  </w:r>
                </w:p>
                <w:p w14:paraId="70C09D9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c,i</w:t>
                  </w:r>
                  <w:proofErr w:type="spellEnd"/>
                  <w:r>
                    <w:rPr>
                      <w:rFonts w:ascii="Calibri" w:eastAsia="Calibri" w:hAnsi="Calibri" w:cs="Calibri"/>
                      <w:color w:val="4F81BD"/>
                      <w:sz w:val="18"/>
                      <w:szCs w:val="18"/>
                    </w:rPr>
                    <w:tab/>
                    <w:t>–  jednostkowe koszty czasu „i” , w PLN/</w:t>
                  </w:r>
                  <w:proofErr w:type="spellStart"/>
                  <w:r>
                    <w:rPr>
                      <w:rFonts w:ascii="Calibri" w:eastAsia="Calibri" w:hAnsi="Calibri" w:cs="Calibri"/>
                      <w:color w:val="4F81BD"/>
                      <w:sz w:val="18"/>
                      <w:szCs w:val="18"/>
                    </w:rPr>
                    <w:t>god</w:t>
                  </w:r>
                  <w:proofErr w:type="spellEnd"/>
                  <w:r>
                    <w:rPr>
                      <w:rFonts w:ascii="Calibri" w:eastAsia="Calibri" w:hAnsi="Calibri" w:cs="Calibri"/>
                      <w:color w:val="4F81BD"/>
                      <w:sz w:val="18"/>
                      <w:szCs w:val="18"/>
                    </w:rPr>
                    <w:t>.,</w:t>
                  </w:r>
                </w:p>
                <w:p w14:paraId="286A2463"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p</w:t>
                  </w:r>
                  <w:r>
                    <w:rPr>
                      <w:rFonts w:ascii="Calibri" w:eastAsia="Calibri" w:hAnsi="Calibri" w:cs="Calibri"/>
                      <w:color w:val="4F81BD"/>
                      <w:sz w:val="18"/>
                      <w:szCs w:val="18"/>
                      <w:vertAlign w:val="subscript"/>
                    </w:rPr>
                    <w:t>i</w:t>
                  </w:r>
                  <w:r>
                    <w:rPr>
                      <w:rFonts w:ascii="Calibri" w:eastAsia="Calibri" w:hAnsi="Calibri" w:cs="Calibri"/>
                      <w:color w:val="4F81BD"/>
                      <w:sz w:val="18"/>
                      <w:szCs w:val="18"/>
                    </w:rPr>
                    <w:tab/>
                    <w:t xml:space="preserve">– </w:t>
                  </w:r>
                  <w:r>
                    <w:rPr>
                      <w:rFonts w:ascii="Calibri" w:eastAsia="Calibri" w:hAnsi="Calibri" w:cs="Calibri"/>
                      <w:color w:val="4F81BD"/>
                      <w:sz w:val="21"/>
                      <w:szCs w:val="21"/>
                    </w:rPr>
                    <w:t xml:space="preserve"> </w:t>
                  </w:r>
                  <w:r>
                    <w:rPr>
                      <w:rFonts w:ascii="Calibri" w:eastAsia="Calibri" w:hAnsi="Calibri" w:cs="Calibri"/>
                      <w:color w:val="4F81BD"/>
                      <w:sz w:val="18"/>
                      <w:szCs w:val="18"/>
                    </w:rPr>
                    <w:t>wskaźniki napełnienia pojazdów,</w:t>
                  </w:r>
                </w:p>
                <w:p w14:paraId="0B02B9EB"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u</w:t>
                  </w:r>
                  <w:r>
                    <w:rPr>
                      <w:rFonts w:ascii="Calibri" w:eastAsia="Calibri" w:hAnsi="Calibri" w:cs="Calibri"/>
                      <w:color w:val="4F81BD"/>
                      <w:sz w:val="18"/>
                      <w:szCs w:val="18"/>
                      <w:vertAlign w:val="subscript"/>
                    </w:rPr>
                    <w:t>i</w:t>
                  </w:r>
                  <w:proofErr w:type="spellEnd"/>
                  <w:r>
                    <w:rPr>
                      <w:rFonts w:ascii="Calibri" w:eastAsia="Calibri" w:hAnsi="Calibri" w:cs="Calibri"/>
                      <w:color w:val="4F81BD"/>
                      <w:sz w:val="18"/>
                      <w:szCs w:val="18"/>
                    </w:rPr>
                    <w:tab/>
                    <w:t>–  udział w ruchu motywacji “i” w podróżach użytkowników pojazdów,</w:t>
                  </w:r>
                </w:p>
                <w:p w14:paraId="02A31895"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V</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pdr</w:t>
                  </w:r>
                  <w:proofErr w:type="spellEnd"/>
                  <w:r>
                    <w:rPr>
                      <w:rFonts w:ascii="Calibri" w:eastAsia="Calibri" w:hAnsi="Calibri" w:cs="Calibri"/>
                      <w:color w:val="4F81BD"/>
                      <w:sz w:val="18"/>
                      <w:szCs w:val="18"/>
                    </w:rPr>
                    <w:tab/>
                    <w:t>–  prędkość podróży na analizowanym odcinku drogi, w km/h ,</w:t>
                  </w:r>
                </w:p>
                <w:p w14:paraId="45F2C60C" w14:textId="4273C305"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h</w:t>
                  </w:r>
                  <w:proofErr w:type="spellEnd"/>
                  <w:r>
                    <w:rPr>
                      <w:rFonts w:ascii="Calibri" w:eastAsia="Calibri" w:hAnsi="Calibri" w:cs="Calibri"/>
                      <w:color w:val="4F81BD"/>
                      <w:sz w:val="18"/>
                      <w:szCs w:val="18"/>
                    </w:rPr>
                    <w:tab/>
                    <w:t>–  praca przewozowa dla poszczególnych kategorii pojazdów/gałęzi i</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użytkowników, w  </w:t>
                  </w:r>
                  <w:proofErr w:type="spellStart"/>
                  <w:r>
                    <w:rPr>
                      <w:rFonts w:ascii="Calibri" w:eastAsia="Calibri" w:hAnsi="Calibri" w:cs="Calibri"/>
                      <w:color w:val="4F81BD"/>
                      <w:sz w:val="18"/>
                      <w:szCs w:val="18"/>
                    </w:rPr>
                    <w:t>pojazdo</w:t>
                  </w:r>
                  <w:proofErr w:type="spellEnd"/>
                  <w:r w:rsidR="00B10112">
                    <w:rPr>
                      <w:rFonts w:ascii="Calibri" w:eastAsia="Calibri" w:hAnsi="Calibri" w:cs="Calibri"/>
                      <w:color w:val="4F81BD"/>
                      <w:sz w:val="18"/>
                      <w:szCs w:val="18"/>
                    </w:rPr>
                    <w:t>-</w:t>
                  </w:r>
                  <w:r>
                    <w:rPr>
                      <w:rFonts w:ascii="Calibri" w:eastAsia="Calibri" w:hAnsi="Calibri" w:cs="Calibri"/>
                      <w:color w:val="4F81BD"/>
                      <w:sz w:val="18"/>
                      <w:szCs w:val="18"/>
                    </w:rPr>
                    <w:t>godzinach.</w:t>
                  </w:r>
                </w:p>
                <w:p w14:paraId="0DA4A3D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h</w:t>
                  </w:r>
                  <w:proofErr w:type="spellEnd"/>
                  <w:r>
                    <w:rPr>
                      <w:rFonts w:ascii="Calibri" w:eastAsia="Calibri" w:hAnsi="Calibri" w:cs="Calibri"/>
                      <w:color w:val="4F81BD"/>
                      <w:sz w:val="18"/>
                      <w:szCs w:val="18"/>
                    </w:rPr>
                    <w:t xml:space="preserve"> = L * </w:t>
                  </w: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i</w:t>
                  </w:r>
                  <w:proofErr w:type="spellEnd"/>
                  <w:r>
                    <w:rPr>
                      <w:rFonts w:ascii="Calibri" w:eastAsia="Calibri" w:hAnsi="Calibri" w:cs="Calibri"/>
                      <w:color w:val="4F81BD"/>
                      <w:sz w:val="18"/>
                      <w:szCs w:val="18"/>
                    </w:rPr>
                    <w:t xml:space="preserve"> / </w:t>
                  </w:r>
                  <w:proofErr w:type="spellStart"/>
                  <w:r>
                    <w:rPr>
                      <w:rFonts w:ascii="Calibri" w:eastAsia="Calibri" w:hAnsi="Calibri" w:cs="Calibri"/>
                      <w:color w:val="4F81BD"/>
                      <w:sz w:val="18"/>
                      <w:szCs w:val="18"/>
                    </w:rPr>
                    <w:t>V</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pdr</w:t>
                  </w:r>
                  <w:proofErr w:type="spellEnd"/>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(dla metody odcinkowej)</w:t>
                  </w:r>
                </w:p>
              </w:tc>
            </w:tr>
          </w:tbl>
          <w:p w14:paraId="29727B5D"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27F36F69" w14:textId="59212EA9" w:rsidR="00600DEE" w:rsidRDefault="00B10112">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Uwaga: W</w:t>
            </w:r>
            <w:r w:rsidR="00641FB5">
              <w:rPr>
                <w:rFonts w:ascii="Calibri" w:eastAsia="Calibri" w:hAnsi="Calibri" w:cs="Calibri"/>
                <w:color w:val="000000"/>
                <w:sz w:val="20"/>
                <w:szCs w:val="20"/>
              </w:rPr>
              <w:t> miastach należy zwrócić uwagę na rozróżnienie korzyści w godzinach szczytu i poza szczytem.</w:t>
            </w:r>
          </w:p>
          <w:p w14:paraId="4105E217"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9BF691F" w14:textId="0169C984" w:rsidR="006C2564" w:rsidRDefault="006C2564">
            <w:pPr>
              <w:pBdr>
                <w:top w:val="nil"/>
                <w:left w:val="nil"/>
                <w:bottom w:val="nil"/>
                <w:right w:val="nil"/>
                <w:between w:val="nil"/>
              </w:pBdr>
              <w:spacing w:before="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5F3078CA" w14:textId="77777777" w:rsidR="00600DEE" w:rsidRPr="0045151D" w:rsidRDefault="00641FB5">
            <w:pPr>
              <w:pBdr>
                <w:top w:val="nil"/>
                <w:left w:val="nil"/>
                <w:bottom w:val="nil"/>
                <w:right w:val="nil"/>
                <w:between w:val="nil"/>
              </w:pBdr>
              <w:spacing w:before="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lastRenderedPageBreak/>
              <w:t>NOTE: Focus on users of road projects (to be considered in a multimodal prospective when relevant, i.e. as defined by the project demand assessment outcomes).</w:t>
            </w:r>
          </w:p>
          <w:p w14:paraId="6196D5D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economic costs of users’ time should be calculated separately for all options (W0 and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for each year of analysis, and for each type of vehicle and trip motivation.</w:t>
            </w:r>
          </w:p>
          <w:p w14:paraId="7297827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of time of road infrastructure users (and users of other relevant modes) for both options (without investment option and project investment option) are total time costs of people travelling on the analysed network. Travellers are split up into categories because of different motivation of travels and, consequently, different costs of those travels. The users of passenger cars (and of buses if CBA is performed for more than the proposed two categories – LV and HGV) as well as any other relevant mode are split up into three travelling motivations:</w:t>
            </w:r>
          </w:p>
          <w:p w14:paraId="3975AAE9" w14:textId="77777777" w:rsidR="00600DEE" w:rsidRDefault="00641FB5" w:rsidP="00D5736B">
            <w:pPr>
              <w:numPr>
                <w:ilvl w:val="0"/>
                <w:numId w:val="70"/>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 xml:space="preserve">business </w:t>
            </w:r>
            <w:proofErr w:type="spellStart"/>
            <w:r>
              <w:rPr>
                <w:rFonts w:ascii="Calibri" w:eastAsia="Calibri" w:hAnsi="Calibri" w:cs="Calibri"/>
                <w:color w:val="000000"/>
                <w:sz w:val="20"/>
                <w:szCs w:val="20"/>
              </w:rPr>
              <w:t>travellers</w:t>
            </w:r>
            <w:proofErr w:type="spellEnd"/>
            <w:r>
              <w:rPr>
                <w:rFonts w:ascii="Calibri" w:eastAsia="Calibri" w:hAnsi="Calibri" w:cs="Calibri"/>
                <w:color w:val="000000"/>
                <w:sz w:val="20"/>
                <w:szCs w:val="20"/>
              </w:rPr>
              <w:t>,</w:t>
            </w:r>
          </w:p>
          <w:p w14:paraId="722A7ACB" w14:textId="77777777" w:rsidR="00600DEE" w:rsidRPr="0045151D" w:rsidRDefault="00641FB5" w:rsidP="00D5736B">
            <w:pPr>
              <w:numPr>
                <w:ilvl w:val="0"/>
                <w:numId w:val="7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daily travellers home-work-home (commuting),</w:t>
            </w:r>
          </w:p>
          <w:p w14:paraId="62B5A8E4" w14:textId="77777777" w:rsidR="00600DEE" w:rsidRPr="0045151D" w:rsidRDefault="00641FB5" w:rsidP="00D5736B">
            <w:pPr>
              <w:numPr>
                <w:ilvl w:val="0"/>
                <w:numId w:val="7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travellers with other motivations (e.g. tourism, shopping, etc.).</w:t>
            </w:r>
          </w:p>
          <w:p w14:paraId="6E1D297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unit cost of time should ideally be set at the national level based on stated and/or revealed preference surveys as recommended in EU CBA </w:t>
            </w:r>
            <w:proofErr w:type="spellStart"/>
            <w:r w:rsidRPr="0045151D">
              <w:rPr>
                <w:rFonts w:ascii="Calibri" w:eastAsia="Calibri" w:hAnsi="Calibri" w:cs="Calibri"/>
                <w:color w:val="000000"/>
                <w:sz w:val="20"/>
                <w:szCs w:val="20"/>
                <w:lang w:val="en-GB"/>
              </w:rPr>
              <w:t>guidances</w:t>
            </w:r>
            <w:proofErr w:type="spellEnd"/>
            <w:r w:rsidRPr="0045151D">
              <w:rPr>
                <w:rFonts w:ascii="Calibri" w:eastAsia="Calibri" w:hAnsi="Calibri" w:cs="Calibri"/>
                <w:color w:val="000000"/>
                <w:sz w:val="20"/>
                <w:szCs w:val="20"/>
                <w:lang w:val="en-GB"/>
              </w:rPr>
              <w:t xml:space="preserve">. Therefore, values for the unit cost of time for above travel motivations (and modes) included in Annex A result from the work commissioned by JASPERS to determine the value of time  for passengers in transport in Poland based on a large research carried out by CUPT in 2019 </w:t>
            </w:r>
            <w:proofErr w:type="spellStart"/>
            <w:r w:rsidRPr="0045151D">
              <w:rPr>
                <w:rFonts w:ascii="Calibri" w:eastAsia="Calibri" w:hAnsi="Calibri" w:cs="Calibri"/>
                <w:color w:val="000000"/>
                <w:sz w:val="20"/>
                <w:szCs w:val="20"/>
                <w:lang w:val="en-GB"/>
              </w:rPr>
              <w:t>incluidng</w:t>
            </w:r>
            <w:proofErr w:type="spellEnd"/>
            <w:r w:rsidRPr="0045151D">
              <w:rPr>
                <w:rFonts w:ascii="Calibri" w:eastAsia="Calibri" w:hAnsi="Calibri" w:cs="Calibri"/>
                <w:color w:val="000000"/>
                <w:sz w:val="20"/>
                <w:szCs w:val="20"/>
                <w:lang w:val="en-GB"/>
              </w:rPr>
              <w:t xml:space="preserve"> revealed and stated preference surveys</w:t>
            </w:r>
            <w:bookmarkStart w:id="66" w:name="_Ref91584528"/>
            <w:r>
              <w:rPr>
                <w:rFonts w:ascii="Calibri" w:eastAsia="Calibri" w:hAnsi="Calibri" w:cs="Calibri"/>
                <w:color w:val="000000"/>
                <w:sz w:val="20"/>
                <w:szCs w:val="20"/>
                <w:vertAlign w:val="superscript"/>
              </w:rPr>
              <w:footnoteReference w:id="9"/>
            </w:r>
            <w:bookmarkEnd w:id="66"/>
            <w:r w:rsidRPr="0045151D">
              <w:rPr>
                <w:rFonts w:ascii="Calibri" w:eastAsia="Calibri" w:hAnsi="Calibri" w:cs="Calibri"/>
                <w:color w:val="000000"/>
                <w:sz w:val="20"/>
                <w:szCs w:val="20"/>
                <w:lang w:val="en-GB"/>
              </w:rPr>
              <w:t xml:space="preserve">. The results of this work were proposed and agreed with Managing Authority and CUPT for application in the Blue Books.  </w:t>
            </w:r>
          </w:p>
          <w:p w14:paraId="6FCB9C2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of time for HGV category (alternatively, commercial vehicles and all types of trucks users when CBA is performed for more than the proposed two main vehicle categories) can be taken as for business travellers.</w:t>
            </w:r>
          </w:p>
          <w:p w14:paraId="7131944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222222"/>
                <w:sz w:val="20"/>
                <w:szCs w:val="20"/>
                <w:lang w:val="en-GB"/>
              </w:rPr>
              <w:lastRenderedPageBreak/>
              <w:t xml:space="preserve">Time unit costs are subject to indexation. </w:t>
            </w:r>
            <w:r w:rsidRPr="0045151D">
              <w:rPr>
                <w:rFonts w:ascii="Calibri" w:eastAsia="Calibri" w:hAnsi="Calibri" w:cs="Calibri"/>
                <w:color w:val="000000"/>
                <w:sz w:val="20"/>
                <w:szCs w:val="20"/>
                <w:lang w:val="en-GB"/>
              </w:rPr>
              <w:t>The time unit cost evolution over time is presented in Appendix A.</w:t>
            </w:r>
          </w:p>
          <w:p w14:paraId="1613209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occupancy for passenger cars in different motivations will be based on studies and measurements from the analysed road corridor. For urban areas, it should be based on data for the analysed city. If no such data is available, the vehicle occupancies presented in the table below should be used in the calculations.</w:t>
            </w:r>
          </w:p>
          <w:p w14:paraId="76D734B9" w14:textId="77777777" w:rsidR="00600DEE" w:rsidRPr="0045151D" w:rsidRDefault="00600DEE" w:rsidP="00851559">
            <w:pPr>
              <w:pBdr>
                <w:top w:val="nil"/>
                <w:left w:val="nil"/>
                <w:bottom w:val="nil"/>
                <w:right w:val="nil"/>
                <w:between w:val="nil"/>
              </w:pBdr>
              <w:ind w:left="992" w:hanging="992"/>
              <w:jc w:val="both"/>
              <w:rPr>
                <w:rFonts w:ascii="Calibri" w:eastAsia="Calibri" w:hAnsi="Calibri" w:cs="Calibri"/>
                <w:b/>
                <w:color w:val="4F81BD"/>
                <w:sz w:val="20"/>
                <w:szCs w:val="20"/>
                <w:lang w:val="en-GB"/>
              </w:rPr>
            </w:pPr>
          </w:p>
          <w:p w14:paraId="390E898E" w14:textId="59E95856" w:rsidR="00600DEE" w:rsidRPr="0045151D" w:rsidRDefault="00DA7241" w:rsidP="00851559">
            <w:pPr>
              <w:pBdr>
                <w:top w:val="nil"/>
                <w:left w:val="nil"/>
                <w:bottom w:val="nil"/>
                <w:right w:val="nil"/>
                <w:between w:val="nil"/>
              </w:pBdr>
              <w:spacing w:before="240" w:after="120"/>
              <w:ind w:left="992" w:hanging="992"/>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15</w:t>
            </w:r>
            <w:r w:rsidR="00641FB5" w:rsidRPr="0045151D">
              <w:rPr>
                <w:rFonts w:ascii="Calibri" w:eastAsia="Calibri" w:hAnsi="Calibri" w:cs="Calibri"/>
                <w:b/>
                <w:color w:val="4F81BD"/>
                <w:sz w:val="20"/>
                <w:szCs w:val="20"/>
                <w:lang w:val="en-GB"/>
              </w:rPr>
              <w:t>. Occupancy values of passenger cars broken down into different</w:t>
            </w:r>
            <w:r w:rsidR="00641FB5" w:rsidRPr="0045151D">
              <w:rPr>
                <w:rFonts w:ascii="Calibri" w:eastAsia="Calibri" w:hAnsi="Calibri" w:cs="Calibri"/>
                <w:b/>
                <w:color w:val="4F81BD"/>
                <w:sz w:val="20"/>
                <w:szCs w:val="20"/>
                <w:lang w:val="en-GB"/>
              </w:rPr>
              <w:br/>
              <w:t>motivations for non-urban and urban trips [persons/vehicle]</w:t>
            </w:r>
          </w:p>
          <w:tbl>
            <w:tblPr>
              <w:tblStyle w:val="affff4"/>
              <w:tblW w:w="6538" w:type="dxa"/>
              <w:tblBorders>
                <w:insideH w:val="single" w:sz="4" w:space="0" w:color="FFFFFF"/>
                <w:insideV w:val="single" w:sz="4" w:space="0" w:color="FFFFFF"/>
              </w:tblBorders>
              <w:tblLayout w:type="fixed"/>
              <w:tblLook w:val="0400" w:firstRow="0" w:lastRow="0" w:firstColumn="0" w:lastColumn="0" w:noHBand="0" w:noVBand="1"/>
            </w:tblPr>
            <w:tblGrid>
              <w:gridCol w:w="2123"/>
              <w:gridCol w:w="2123"/>
              <w:gridCol w:w="2292"/>
            </w:tblGrid>
            <w:tr w:rsidR="00600DEE" w14:paraId="7A8924D9" w14:textId="77777777">
              <w:trPr>
                <w:trHeight w:val="271"/>
              </w:trPr>
              <w:tc>
                <w:tcPr>
                  <w:tcW w:w="2123" w:type="dxa"/>
                  <w:vMerge w:val="restart"/>
                  <w:tcBorders>
                    <w:top w:val="nil"/>
                    <w:bottom w:val="single" w:sz="4" w:space="0" w:color="FFFFFF"/>
                  </w:tcBorders>
                  <w:shd w:val="clear" w:color="auto" w:fill="A6A6A6"/>
                  <w:vAlign w:val="center"/>
                </w:tcPr>
                <w:p w14:paraId="7DBFD93C" w14:textId="77777777" w:rsidR="00600DEE" w:rsidRDefault="00641FB5">
                  <w:pPr>
                    <w:spacing w:line="276" w:lineRule="auto"/>
                    <w:ind w:right="17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Motivation</w:t>
                  </w:r>
                  <w:proofErr w:type="spellEnd"/>
                </w:p>
              </w:tc>
              <w:tc>
                <w:tcPr>
                  <w:tcW w:w="4415" w:type="dxa"/>
                  <w:gridSpan w:val="2"/>
                  <w:tcBorders>
                    <w:top w:val="nil"/>
                    <w:bottom w:val="single" w:sz="4" w:space="0" w:color="FFFFFF"/>
                  </w:tcBorders>
                  <w:shd w:val="clear" w:color="auto" w:fill="A6A6A6"/>
                  <w:vAlign w:val="center"/>
                </w:tcPr>
                <w:p w14:paraId="43FDCC08" w14:textId="77777777" w:rsidR="00600DEE" w:rsidRDefault="00641FB5">
                  <w:pPr>
                    <w:spacing w:line="276" w:lineRule="auto"/>
                    <w:ind w:right="17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Occupancy</w:t>
                  </w:r>
                  <w:proofErr w:type="spellEnd"/>
                </w:p>
              </w:tc>
            </w:tr>
            <w:tr w:rsidR="00600DEE" w14:paraId="3CF76019" w14:textId="77777777">
              <w:trPr>
                <w:trHeight w:val="271"/>
              </w:trPr>
              <w:tc>
                <w:tcPr>
                  <w:tcW w:w="2123" w:type="dxa"/>
                  <w:vMerge/>
                  <w:tcBorders>
                    <w:top w:val="nil"/>
                    <w:bottom w:val="single" w:sz="4" w:space="0" w:color="FFFFFF"/>
                  </w:tcBorders>
                  <w:shd w:val="clear" w:color="auto" w:fill="A6A6A6"/>
                  <w:vAlign w:val="center"/>
                </w:tcPr>
                <w:p w14:paraId="7A577FC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123" w:type="dxa"/>
                  <w:tcBorders>
                    <w:top w:val="single" w:sz="4" w:space="0" w:color="FFFFFF"/>
                    <w:bottom w:val="single" w:sz="4" w:space="0" w:color="FFFFFF"/>
                  </w:tcBorders>
                  <w:shd w:val="clear" w:color="auto" w:fill="A6A6A6"/>
                  <w:vAlign w:val="center"/>
                </w:tcPr>
                <w:p w14:paraId="09CE0BAD"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Non-</w:t>
                  </w:r>
                  <w:proofErr w:type="spellStart"/>
                  <w:r>
                    <w:rPr>
                      <w:rFonts w:ascii="Calibri" w:eastAsia="Calibri" w:hAnsi="Calibri" w:cs="Calibri"/>
                      <w:b/>
                      <w:color w:val="FFFFFF"/>
                      <w:sz w:val="18"/>
                      <w:szCs w:val="18"/>
                    </w:rPr>
                    <w:t>urban</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roads</w:t>
                  </w:r>
                  <w:proofErr w:type="spellEnd"/>
                </w:p>
              </w:tc>
              <w:tc>
                <w:tcPr>
                  <w:tcW w:w="2292" w:type="dxa"/>
                  <w:tcBorders>
                    <w:top w:val="single" w:sz="4" w:space="0" w:color="FFFFFF"/>
                    <w:bottom w:val="single" w:sz="4" w:space="0" w:color="FFFFFF"/>
                  </w:tcBorders>
                  <w:shd w:val="clear" w:color="auto" w:fill="A6A6A6"/>
                  <w:vAlign w:val="center"/>
                </w:tcPr>
                <w:p w14:paraId="40A2B49A"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Urban </w:t>
                  </w:r>
                  <w:proofErr w:type="spellStart"/>
                  <w:r>
                    <w:rPr>
                      <w:rFonts w:ascii="Calibri" w:eastAsia="Calibri" w:hAnsi="Calibri" w:cs="Calibri"/>
                      <w:b/>
                      <w:color w:val="FFFFFF"/>
                      <w:sz w:val="18"/>
                      <w:szCs w:val="18"/>
                    </w:rPr>
                    <w:t>roads</w:t>
                  </w:r>
                  <w:proofErr w:type="spellEnd"/>
                  <w:r>
                    <w:rPr>
                      <w:rFonts w:ascii="Calibri" w:eastAsia="Calibri" w:hAnsi="Calibri" w:cs="Calibri"/>
                      <w:b/>
                      <w:color w:val="FFFFFF"/>
                      <w:sz w:val="18"/>
                      <w:szCs w:val="18"/>
                    </w:rPr>
                    <w:t>/Streets</w:t>
                  </w:r>
                </w:p>
              </w:tc>
            </w:tr>
            <w:tr w:rsidR="00600DEE" w:rsidRPr="007463B9" w14:paraId="4FC6A246" w14:textId="77777777">
              <w:trPr>
                <w:trHeight w:val="308"/>
              </w:trPr>
              <w:tc>
                <w:tcPr>
                  <w:tcW w:w="2123" w:type="dxa"/>
                  <w:tcBorders>
                    <w:top w:val="single" w:sz="4" w:space="0" w:color="FFFFFF"/>
                  </w:tcBorders>
                  <w:shd w:val="clear" w:color="auto" w:fill="DBE5F1"/>
                  <w:vAlign w:val="center"/>
                </w:tcPr>
                <w:p w14:paraId="792E64FD" w14:textId="77777777" w:rsidR="00600DEE" w:rsidRPr="0045151D" w:rsidRDefault="00641FB5">
                  <w:pPr>
                    <w:ind w:right="-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Home-work-home trips (commuting)</w:t>
                  </w:r>
                </w:p>
              </w:tc>
              <w:tc>
                <w:tcPr>
                  <w:tcW w:w="2123" w:type="dxa"/>
                  <w:tcBorders>
                    <w:top w:val="single" w:sz="4" w:space="0" w:color="FFFFFF"/>
                  </w:tcBorders>
                  <w:shd w:val="clear" w:color="auto" w:fill="DBE5F1"/>
                  <w:vAlign w:val="center"/>
                </w:tcPr>
                <w:p w14:paraId="03E529D0" w14:textId="3E0E088E" w:rsidR="00600DEE" w:rsidRPr="0045151D" w:rsidRDefault="00B10112">
                  <w:pPr>
                    <w:ind w:right="952"/>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27</w:t>
                  </w:r>
                </w:p>
              </w:tc>
              <w:tc>
                <w:tcPr>
                  <w:tcW w:w="2292" w:type="dxa"/>
                  <w:tcBorders>
                    <w:top w:val="single" w:sz="4" w:space="0" w:color="FFFFFF"/>
                  </w:tcBorders>
                  <w:shd w:val="clear" w:color="auto" w:fill="DBE5F1"/>
                  <w:vAlign w:val="center"/>
                </w:tcPr>
                <w:p w14:paraId="0981B342" w14:textId="12D8A440" w:rsidR="00600DEE" w:rsidRPr="0045151D" w:rsidRDefault="00B10112">
                  <w:pPr>
                    <w:ind w:right="904"/>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69</w:t>
                  </w:r>
                </w:p>
              </w:tc>
            </w:tr>
            <w:tr w:rsidR="00600DEE" w:rsidRPr="007463B9" w14:paraId="65C73F38" w14:textId="77777777">
              <w:trPr>
                <w:trHeight w:val="325"/>
              </w:trPr>
              <w:tc>
                <w:tcPr>
                  <w:tcW w:w="2123" w:type="dxa"/>
                  <w:shd w:val="clear" w:color="auto" w:fill="DBE5F1"/>
                  <w:vAlign w:val="center"/>
                </w:tcPr>
                <w:p w14:paraId="124C3338" w14:textId="77777777" w:rsidR="00600DEE" w:rsidRPr="0045151D" w:rsidRDefault="00641FB5">
                  <w:pPr>
                    <w:ind w:right="-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Business trips</w:t>
                  </w:r>
                </w:p>
              </w:tc>
              <w:tc>
                <w:tcPr>
                  <w:tcW w:w="2123" w:type="dxa"/>
                  <w:shd w:val="clear" w:color="auto" w:fill="DBE5F1"/>
                  <w:vAlign w:val="center"/>
                </w:tcPr>
                <w:p w14:paraId="1055B261" w14:textId="13A0C33F" w:rsidR="00600DEE" w:rsidRPr="0045151D" w:rsidRDefault="00B10112">
                  <w:pPr>
                    <w:ind w:right="952"/>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27</w:t>
                  </w:r>
                </w:p>
              </w:tc>
              <w:tc>
                <w:tcPr>
                  <w:tcW w:w="2292" w:type="dxa"/>
                  <w:shd w:val="clear" w:color="auto" w:fill="DBE5F1"/>
                  <w:vAlign w:val="center"/>
                </w:tcPr>
                <w:p w14:paraId="42A8EE35" w14:textId="5D478F6A" w:rsidR="00600DEE" w:rsidRPr="0045151D" w:rsidRDefault="00B10112">
                  <w:pPr>
                    <w:ind w:right="904"/>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80</w:t>
                  </w:r>
                </w:p>
              </w:tc>
            </w:tr>
            <w:tr w:rsidR="00600DEE" w:rsidRPr="007463B9" w14:paraId="2C7C1311" w14:textId="77777777">
              <w:trPr>
                <w:trHeight w:val="325"/>
              </w:trPr>
              <w:tc>
                <w:tcPr>
                  <w:tcW w:w="2123" w:type="dxa"/>
                  <w:shd w:val="clear" w:color="auto" w:fill="DBE5F1"/>
                  <w:vAlign w:val="center"/>
                </w:tcPr>
                <w:p w14:paraId="27D12AA0" w14:textId="77777777" w:rsidR="00600DEE" w:rsidRPr="0045151D" w:rsidRDefault="00641FB5">
                  <w:pPr>
                    <w:ind w:right="-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 trips</w:t>
                  </w:r>
                </w:p>
              </w:tc>
              <w:tc>
                <w:tcPr>
                  <w:tcW w:w="2123" w:type="dxa"/>
                  <w:shd w:val="clear" w:color="auto" w:fill="DBE5F1"/>
                  <w:vAlign w:val="center"/>
                </w:tcPr>
                <w:p w14:paraId="1E5D0974" w14:textId="4D532871" w:rsidR="00600DEE" w:rsidRPr="0045151D" w:rsidRDefault="00B10112">
                  <w:pPr>
                    <w:ind w:right="952"/>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69</w:t>
                  </w:r>
                </w:p>
              </w:tc>
              <w:tc>
                <w:tcPr>
                  <w:tcW w:w="2292" w:type="dxa"/>
                  <w:shd w:val="clear" w:color="auto" w:fill="DBE5F1"/>
                  <w:vAlign w:val="center"/>
                </w:tcPr>
                <w:p w14:paraId="72406BFF" w14:textId="5A58DBF9" w:rsidR="00600DEE" w:rsidRPr="0045151D" w:rsidRDefault="00B10112">
                  <w:pPr>
                    <w:ind w:right="904"/>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2.</w:t>
                  </w:r>
                  <w:r w:rsidR="00641FB5" w:rsidRPr="0045151D">
                    <w:rPr>
                      <w:rFonts w:ascii="Calibri" w:eastAsia="Calibri" w:hAnsi="Calibri" w:cs="Calibri"/>
                      <w:color w:val="4F81BD"/>
                      <w:sz w:val="18"/>
                      <w:szCs w:val="18"/>
                      <w:lang w:val="en-GB"/>
                    </w:rPr>
                    <w:t>33</w:t>
                  </w:r>
                </w:p>
              </w:tc>
            </w:tr>
          </w:tbl>
          <w:p w14:paraId="6DA2DF77" w14:textId="3B17D51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IKMR.</w:t>
            </w:r>
            <w:r w:rsidRPr="0045151D">
              <w:rPr>
                <w:rFonts w:ascii="Calibri" w:eastAsia="Calibri" w:hAnsi="Calibri" w:cs="Calibri"/>
                <w:color w:val="000000"/>
                <w:sz w:val="20"/>
                <w:szCs w:val="20"/>
                <w:lang w:val="en-GB"/>
              </w:rPr>
              <w:t xml:space="preserve"> </w:t>
            </w:r>
          </w:p>
          <w:p w14:paraId="1C63DD1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occupancy for HGV category (alternatively, commercial vehicles, trucks and trucks with trailers when CBA is performed for more than the proposed two main vehicle categories) will be assumed as equal to 1. In case of absence of reliable data, occupancy of buses (only considered if CBA is performed for more than the two main vehicle categories) will be assumed as equal to 24 on non-urban roads (for urban roads with public transport please refer to ‘’Public Transport Blue Book’’).</w:t>
            </w:r>
          </w:p>
          <w:p w14:paraId="3E25240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investments using network/buffer approach, time costs of users are calculated on the basis of transport work obtained directly from the model in vehicle hours (transformed into passenger-hours considering the occupancy values above) or directly in passenger-hours for W0 and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The calculation formula is presented in the Table below.</w:t>
            </w:r>
          </w:p>
          <w:p w14:paraId="31E4F41F" w14:textId="6B878076" w:rsidR="00600DEE"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85830CB" w14:textId="77777777" w:rsidR="00B10112" w:rsidRPr="0045151D"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3776043B" w14:textId="1763DF29" w:rsidR="00600DEE" w:rsidRPr="0045151D" w:rsidRDefault="00641FB5">
            <w:pPr>
              <w:pBdr>
                <w:top w:val="nil"/>
                <w:left w:val="nil"/>
                <w:bottom w:val="nil"/>
                <w:right w:val="nil"/>
                <w:between w:val="nil"/>
              </w:pBdr>
              <w:spacing w:before="120" w:after="120"/>
              <w:ind w:left="990" w:hanging="990"/>
              <w:jc w:val="both"/>
              <w:rPr>
                <w:rFonts w:ascii="Calibri" w:eastAsia="Calibri" w:hAnsi="Calibri" w:cs="Calibri"/>
                <w:color w:val="4F81BD"/>
                <w:sz w:val="20"/>
                <w:szCs w:val="20"/>
                <w:lang w:val="en-GB"/>
              </w:rPr>
            </w:pPr>
            <w:r w:rsidRPr="0045151D">
              <w:rPr>
                <w:rFonts w:ascii="Calibri" w:eastAsia="Calibri" w:hAnsi="Calibri" w:cs="Calibri"/>
                <w:b/>
                <w:color w:val="4F81BD"/>
                <w:sz w:val="20"/>
                <w:szCs w:val="20"/>
                <w:lang w:val="en-GB"/>
              </w:rPr>
              <w:lastRenderedPageBreak/>
              <w:t>Table</w:t>
            </w:r>
            <w:r w:rsidR="00B10112">
              <w:rPr>
                <w:rFonts w:ascii="Calibri" w:eastAsia="Calibri" w:hAnsi="Calibri" w:cs="Calibri"/>
                <w:b/>
                <w:color w:val="4F81BD"/>
                <w:sz w:val="20"/>
                <w:szCs w:val="20"/>
                <w:lang w:val="en-GB"/>
              </w:rPr>
              <w:t xml:space="preserve"> 16</w:t>
            </w:r>
            <w:r w:rsidRPr="0045151D">
              <w:rPr>
                <w:rFonts w:ascii="Calibri" w:eastAsia="Calibri" w:hAnsi="Calibri" w:cs="Calibri"/>
                <w:b/>
                <w:color w:val="4F81BD"/>
                <w:sz w:val="20"/>
                <w:szCs w:val="20"/>
                <w:lang w:val="en-GB"/>
              </w:rPr>
              <w:t>. Formula for calculating travel time costs for road projects where transport work is calculated based on</w:t>
            </w:r>
            <w:r w:rsidR="00B10112">
              <w:rPr>
                <w:rFonts w:ascii="Calibri" w:eastAsia="Calibri" w:hAnsi="Calibri" w:cs="Calibri"/>
                <w:b/>
                <w:color w:val="4F81BD"/>
                <w:sz w:val="20"/>
                <w:szCs w:val="20"/>
                <w:lang w:val="en-GB"/>
              </w:rPr>
              <w:t xml:space="preserve"> </w:t>
            </w:r>
            <w:r w:rsidRPr="0045151D">
              <w:rPr>
                <w:rFonts w:ascii="Calibri" w:eastAsia="Calibri" w:hAnsi="Calibri" w:cs="Calibri"/>
                <w:b/>
                <w:color w:val="4F81BD"/>
                <w:sz w:val="20"/>
                <w:szCs w:val="20"/>
                <w:lang w:val="en-GB"/>
              </w:rPr>
              <w:t xml:space="preserve">buffer/network </w:t>
            </w:r>
          </w:p>
          <w:tbl>
            <w:tblPr>
              <w:tblStyle w:val="affff5"/>
              <w:tblW w:w="648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80"/>
            </w:tblGrid>
            <w:tr w:rsidR="00600DEE" w:rsidRPr="007463B9" w14:paraId="5185D480" w14:textId="77777777" w:rsidTr="00851559">
              <w:trPr>
                <w:trHeight w:hRule="exact" w:val="2835"/>
              </w:trPr>
              <w:tc>
                <w:tcPr>
                  <w:tcW w:w="6480" w:type="dxa"/>
                  <w:shd w:val="clear" w:color="auto" w:fill="DBE5F1"/>
                  <w:vAlign w:val="center"/>
                </w:tcPr>
                <w:p w14:paraId="458D2366" w14:textId="77777777" w:rsidR="00600DEE" w:rsidRDefault="00641FB5">
                  <w:pPr>
                    <w:pBdr>
                      <w:top w:val="nil"/>
                      <w:left w:val="nil"/>
                      <w:bottom w:val="nil"/>
                      <w:right w:val="nil"/>
                      <w:between w:val="nil"/>
                    </w:pBdr>
                    <w:spacing w:before="120"/>
                    <w:jc w:val="center"/>
                    <w:rPr>
                      <w:rFonts w:ascii="Calibri" w:eastAsia="Calibri" w:hAnsi="Calibri" w:cs="Calibri"/>
                      <w:b/>
                      <w:color w:val="333399"/>
                      <w:sz w:val="20"/>
                      <w:szCs w:val="20"/>
                    </w:rPr>
                  </w:pPr>
                  <w:r>
                    <w:rPr>
                      <w:rFonts w:ascii="Calibri" w:eastAsia="Calibri" w:hAnsi="Calibri" w:cs="Calibri"/>
                      <w:b/>
                      <w:color w:val="333399"/>
                      <w:sz w:val="36"/>
                      <w:szCs w:val="36"/>
                      <w:vertAlign w:val="subscript"/>
                    </w:rPr>
                    <w:object w:dxaOrig="2168" w:dyaOrig="728" w14:anchorId="4456BCBD">
                      <v:shape id="_x0000_i1031" type="#_x0000_t75" style="width:108.45pt;height:36.45pt" o:ole="" filled="t">
                        <v:fill color2="black"/>
                        <v:imagedata r:id="rId116" o:title=""/>
                      </v:shape>
                      <o:OLEObject Type="Embed" ProgID="Equation.3" ShapeID="_x0000_i1031" DrawAspect="Content" ObjectID="_1708947473" r:id="rId117"/>
                    </w:object>
                  </w:r>
                </w:p>
                <w:p w14:paraId="5293E35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0E852792"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254BD0E6"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perscript"/>
                      <w:lang w:val="en-GB"/>
                    </w:rPr>
                    <w:t>c</w:t>
                  </w:r>
                  <w:r w:rsidRPr="0045151D">
                    <w:rPr>
                      <w:rFonts w:ascii="Calibri" w:eastAsia="Calibri" w:hAnsi="Calibri" w:cs="Calibri"/>
                      <w:color w:val="4F81BD"/>
                      <w:sz w:val="18"/>
                      <w:szCs w:val="18"/>
                      <w:lang w:val="en-GB"/>
                    </w:rPr>
                    <w:tab/>
                    <w:t>–  annual cost of passengers’ and drivers’ travel time in PLN,</w:t>
                  </w:r>
                </w:p>
                <w:p w14:paraId="6899DE9F"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i</w:t>
                  </w:r>
                  <w:proofErr w:type="spellEnd"/>
                  <w:r w:rsidRPr="0045151D">
                    <w:rPr>
                      <w:rFonts w:ascii="Calibri" w:eastAsia="Calibri" w:hAnsi="Calibri" w:cs="Calibri"/>
                      <w:color w:val="4F81BD"/>
                      <w:sz w:val="18"/>
                      <w:szCs w:val="18"/>
                      <w:lang w:val="en-GB"/>
                    </w:rPr>
                    <w:tab/>
                    <w:t>–  number of user categories with different unit values of time,</w:t>
                  </w:r>
                </w:p>
                <w:p w14:paraId="71FE562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ci</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ab/>
                    <w:t>–  unit cost of time “</w:t>
                  </w:r>
                  <w:proofErr w:type="spellStart"/>
                  <w:r w:rsidRPr="0045151D">
                    <w:rPr>
                      <w:rFonts w:ascii="Calibri" w:eastAsia="Calibri" w:hAnsi="Calibri" w:cs="Calibri"/>
                      <w:color w:val="4F81BD"/>
                      <w:sz w:val="18"/>
                      <w:szCs w:val="18"/>
                      <w:lang w:val="en-GB"/>
                    </w:rPr>
                    <w:t>i</w:t>
                  </w:r>
                  <w:proofErr w:type="spellEnd"/>
                  <w:r w:rsidRPr="0045151D">
                    <w:rPr>
                      <w:rFonts w:ascii="Calibri" w:eastAsia="Calibri" w:hAnsi="Calibri" w:cs="Calibri"/>
                      <w:color w:val="4F81BD"/>
                      <w:sz w:val="18"/>
                      <w:szCs w:val="18"/>
                      <w:lang w:val="en-GB"/>
                    </w:rPr>
                    <w:t>” in PLN/h,</w:t>
                  </w:r>
                </w:p>
                <w:p w14:paraId="453BC83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h</w:t>
                  </w:r>
                  <w:r w:rsidRPr="0045151D">
                    <w:rPr>
                      <w:rFonts w:ascii="Calibri" w:eastAsia="Calibri" w:hAnsi="Calibri" w:cs="Calibri"/>
                      <w:color w:val="4F81BD"/>
                      <w:sz w:val="18"/>
                      <w:szCs w:val="18"/>
                      <w:vertAlign w:val="subscript"/>
                      <w:lang w:val="en-GB"/>
                    </w:rPr>
                    <w:t>i</w:t>
                  </w:r>
                  <w:proofErr w:type="spellEnd"/>
                  <w:r w:rsidRPr="0045151D">
                    <w:rPr>
                      <w:rFonts w:ascii="Calibri" w:eastAsia="Calibri" w:hAnsi="Calibri" w:cs="Calibri"/>
                      <w:color w:val="4F81BD"/>
                      <w:sz w:val="18"/>
                      <w:szCs w:val="18"/>
                      <w:lang w:val="en-GB"/>
                    </w:rPr>
                    <w:tab/>
                    <w:t>–  transport work of user categories “</w:t>
                  </w:r>
                  <w:proofErr w:type="spellStart"/>
                  <w:r w:rsidRPr="0045151D">
                    <w:rPr>
                      <w:rFonts w:ascii="Calibri" w:eastAsia="Calibri" w:hAnsi="Calibri" w:cs="Calibri"/>
                      <w:color w:val="4F81BD"/>
                      <w:sz w:val="18"/>
                      <w:szCs w:val="18"/>
                      <w:lang w:val="en-GB"/>
                    </w:rPr>
                    <w:t>i</w:t>
                  </w:r>
                  <w:proofErr w:type="spellEnd"/>
                  <w:r w:rsidRPr="0045151D">
                    <w:rPr>
                      <w:rFonts w:ascii="Calibri" w:eastAsia="Calibri" w:hAnsi="Calibri" w:cs="Calibri"/>
                      <w:color w:val="4F81BD"/>
                      <w:sz w:val="18"/>
                      <w:szCs w:val="18"/>
                      <w:lang w:val="en-GB"/>
                    </w:rPr>
                    <w:t>” in passenger-hours/day.</w:t>
                  </w:r>
                </w:p>
                <w:p w14:paraId="217CF313"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tc>
            </w:tr>
          </w:tbl>
          <w:p w14:paraId="16361FF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3575556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 of missing data on the travel motivations share, this share should be taken from traffic measurement survey (if surveys were carried within last GPR) or from earlier measurements or others (e.g. from KBRs (Comprehensive Traffic Surveys for urban areas, </w:t>
            </w:r>
            <w:proofErr w:type="spellStart"/>
            <w:r w:rsidRPr="0045151D">
              <w:rPr>
                <w:rFonts w:ascii="Calibri" w:eastAsia="Calibri" w:hAnsi="Calibri" w:cs="Calibri"/>
                <w:i/>
                <w:color w:val="000000"/>
                <w:sz w:val="20"/>
                <w:szCs w:val="20"/>
                <w:lang w:val="en-GB"/>
              </w:rPr>
              <w:t>Kompleksowe</w:t>
            </w:r>
            <w:proofErr w:type="spellEnd"/>
            <w:r w:rsidRPr="0045151D">
              <w:rPr>
                <w:rFonts w:ascii="Calibri" w:eastAsia="Calibri" w:hAnsi="Calibri" w:cs="Calibri"/>
                <w:i/>
                <w:color w:val="000000"/>
                <w:sz w:val="20"/>
                <w:szCs w:val="20"/>
                <w:lang w:val="en-GB"/>
              </w:rPr>
              <w:t xml:space="preserve"> </w:t>
            </w:r>
            <w:proofErr w:type="spellStart"/>
            <w:r w:rsidRPr="0045151D">
              <w:rPr>
                <w:rFonts w:ascii="Calibri" w:eastAsia="Calibri" w:hAnsi="Calibri" w:cs="Calibri"/>
                <w:i/>
                <w:color w:val="000000"/>
                <w:sz w:val="20"/>
                <w:szCs w:val="20"/>
                <w:lang w:val="en-GB"/>
              </w:rPr>
              <w:t>Badanie</w:t>
            </w:r>
            <w:proofErr w:type="spellEnd"/>
            <w:r w:rsidRPr="0045151D">
              <w:rPr>
                <w:rFonts w:ascii="Calibri" w:eastAsia="Calibri" w:hAnsi="Calibri" w:cs="Calibri"/>
                <w:i/>
                <w:color w:val="000000"/>
                <w:sz w:val="20"/>
                <w:szCs w:val="20"/>
                <w:lang w:val="en-GB"/>
              </w:rPr>
              <w:t xml:space="preserve"> </w:t>
            </w:r>
            <w:proofErr w:type="spellStart"/>
            <w:r w:rsidRPr="0045151D">
              <w:rPr>
                <w:rFonts w:ascii="Calibri" w:eastAsia="Calibri" w:hAnsi="Calibri" w:cs="Calibri"/>
                <w:i/>
                <w:color w:val="000000"/>
                <w:sz w:val="20"/>
                <w:szCs w:val="20"/>
                <w:lang w:val="en-GB"/>
              </w:rPr>
              <w:t>Ruchu</w:t>
            </w:r>
            <w:proofErr w:type="spellEnd"/>
            <w:r w:rsidRPr="0045151D">
              <w:rPr>
                <w:rFonts w:ascii="Calibri" w:eastAsia="Calibri" w:hAnsi="Calibri" w:cs="Calibri"/>
                <w:color w:val="000000"/>
                <w:sz w:val="20"/>
                <w:szCs w:val="20"/>
                <w:lang w:val="en-GB"/>
              </w:rPr>
              <w:t>)). Only if there is no such data, the proposed travel motivation shares below distinguishing urban and non-urban areas should be applied in the CBA.</w:t>
            </w:r>
          </w:p>
          <w:p w14:paraId="7159D789" w14:textId="2AB9128B" w:rsidR="00600DEE" w:rsidRPr="0045151D" w:rsidRDefault="00B10112" w:rsidP="00851559">
            <w:pPr>
              <w:pBdr>
                <w:top w:val="nil"/>
                <w:left w:val="nil"/>
                <w:bottom w:val="nil"/>
                <w:right w:val="nil"/>
                <w:between w:val="nil"/>
              </w:pBdr>
              <w:spacing w:before="240"/>
              <w:ind w:left="848" w:hanging="848"/>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17</w:t>
            </w:r>
            <w:r w:rsidR="00641FB5" w:rsidRPr="0045151D">
              <w:rPr>
                <w:rFonts w:ascii="Calibri" w:eastAsia="Calibri" w:hAnsi="Calibri" w:cs="Calibri"/>
                <w:b/>
                <w:color w:val="4F81BD"/>
                <w:sz w:val="20"/>
                <w:szCs w:val="20"/>
                <w:lang w:val="en-GB"/>
              </w:rPr>
              <w:t xml:space="preserve">. Share of travel motivations of passenger cars and bus users on different categories of roads </w:t>
            </w:r>
          </w:p>
          <w:p w14:paraId="1EAE866D"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000000"/>
                <w:sz w:val="20"/>
                <w:szCs w:val="20"/>
                <w:lang w:val="en-GB"/>
              </w:rPr>
              <w:t xml:space="preserve"> </w:t>
            </w:r>
            <w:r w:rsidRPr="0045151D">
              <w:rPr>
                <w:rFonts w:ascii="Calibri" w:eastAsia="Calibri" w:hAnsi="Calibri" w:cs="Calibri"/>
                <w:b/>
                <w:color w:val="4F81BD"/>
                <w:sz w:val="20"/>
                <w:szCs w:val="20"/>
                <w:lang w:val="en-GB"/>
              </w:rPr>
              <w:t xml:space="preserve">Passenger cars and buses on non-urban roads </w:t>
            </w:r>
          </w:p>
          <w:tbl>
            <w:tblPr>
              <w:tblStyle w:val="affff6"/>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rsidRPr="007463B9" w14:paraId="521D68FD" w14:textId="77777777">
              <w:trPr>
                <w:trHeight w:val="210"/>
              </w:trPr>
              <w:tc>
                <w:tcPr>
                  <w:tcW w:w="1597" w:type="dxa"/>
                  <w:vMerge w:val="restart"/>
                  <w:tcBorders>
                    <w:top w:val="nil"/>
                    <w:bottom w:val="single" w:sz="4" w:space="0" w:color="FFFFFF"/>
                  </w:tcBorders>
                  <w:shd w:val="clear" w:color="auto" w:fill="A6A6A6"/>
                  <w:vAlign w:val="center"/>
                </w:tcPr>
                <w:p w14:paraId="2867CD8E"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4799" w:type="dxa"/>
                  <w:gridSpan w:val="3"/>
                  <w:tcBorders>
                    <w:top w:val="nil"/>
                    <w:bottom w:val="single" w:sz="4" w:space="0" w:color="FFFFFF"/>
                  </w:tcBorders>
                  <w:shd w:val="clear" w:color="auto" w:fill="A6A6A6"/>
                  <w:vAlign w:val="center"/>
                </w:tcPr>
                <w:p w14:paraId="31457EC7"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Travel motivation</w:t>
                  </w:r>
                </w:p>
              </w:tc>
            </w:tr>
            <w:tr w:rsidR="00600DEE" w:rsidRPr="007463B9" w14:paraId="36CFB3E5" w14:textId="77777777">
              <w:trPr>
                <w:trHeight w:val="210"/>
              </w:trPr>
              <w:tc>
                <w:tcPr>
                  <w:tcW w:w="1597" w:type="dxa"/>
                  <w:vMerge/>
                  <w:tcBorders>
                    <w:top w:val="nil"/>
                    <w:bottom w:val="single" w:sz="4" w:space="0" w:color="FFFFFF"/>
                  </w:tcBorders>
                  <w:shd w:val="clear" w:color="auto" w:fill="A6A6A6"/>
                  <w:vAlign w:val="center"/>
                </w:tcPr>
                <w:p w14:paraId="4D51A3CD"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597" w:type="dxa"/>
                  <w:tcBorders>
                    <w:top w:val="single" w:sz="4" w:space="0" w:color="FFFFFF"/>
                    <w:bottom w:val="single" w:sz="4" w:space="0" w:color="FFFFFF"/>
                  </w:tcBorders>
                  <w:shd w:val="clear" w:color="auto" w:fill="A6A6A6"/>
                  <w:vAlign w:val="center"/>
                </w:tcPr>
                <w:p w14:paraId="5005CCE8"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Home-work-home</w:t>
                  </w:r>
                </w:p>
              </w:tc>
              <w:tc>
                <w:tcPr>
                  <w:tcW w:w="1601" w:type="dxa"/>
                  <w:tcBorders>
                    <w:top w:val="single" w:sz="4" w:space="0" w:color="FFFFFF"/>
                    <w:bottom w:val="single" w:sz="4" w:space="0" w:color="FFFFFF"/>
                  </w:tcBorders>
                  <w:shd w:val="clear" w:color="auto" w:fill="A6A6A6"/>
                  <w:vAlign w:val="center"/>
                </w:tcPr>
                <w:p w14:paraId="0992CD88"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Business</w:t>
                  </w:r>
                </w:p>
              </w:tc>
              <w:tc>
                <w:tcPr>
                  <w:tcW w:w="1601" w:type="dxa"/>
                  <w:tcBorders>
                    <w:top w:val="single" w:sz="4" w:space="0" w:color="FFFFFF"/>
                    <w:bottom w:val="single" w:sz="4" w:space="0" w:color="FFFFFF"/>
                  </w:tcBorders>
                  <w:shd w:val="clear" w:color="auto" w:fill="A6A6A6"/>
                  <w:vAlign w:val="center"/>
                </w:tcPr>
                <w:p w14:paraId="5FE38770"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Other</w:t>
                  </w:r>
                </w:p>
              </w:tc>
            </w:tr>
            <w:tr w:rsidR="00600DEE" w:rsidRPr="007463B9" w14:paraId="61C4F608" w14:textId="77777777">
              <w:trPr>
                <w:trHeight w:val="237"/>
              </w:trPr>
              <w:tc>
                <w:tcPr>
                  <w:tcW w:w="1597" w:type="dxa"/>
                  <w:tcBorders>
                    <w:top w:val="single" w:sz="4" w:space="0" w:color="FFFFFF"/>
                  </w:tcBorders>
                  <w:shd w:val="clear" w:color="auto" w:fill="DBE5F1"/>
                </w:tcPr>
                <w:p w14:paraId="59353AB9"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National</w:t>
                  </w:r>
                </w:p>
              </w:tc>
              <w:tc>
                <w:tcPr>
                  <w:tcW w:w="1597" w:type="dxa"/>
                  <w:tcBorders>
                    <w:top w:val="single" w:sz="4" w:space="0" w:color="FFFFFF"/>
                  </w:tcBorders>
                  <w:shd w:val="clear" w:color="auto" w:fill="DBE5F1"/>
                  <w:vAlign w:val="center"/>
                </w:tcPr>
                <w:p w14:paraId="6A1A9F93"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c>
                <w:tcPr>
                  <w:tcW w:w="1601" w:type="dxa"/>
                  <w:tcBorders>
                    <w:top w:val="single" w:sz="4" w:space="0" w:color="FFFFFF"/>
                  </w:tcBorders>
                  <w:shd w:val="clear" w:color="auto" w:fill="DBE5F1"/>
                  <w:vAlign w:val="center"/>
                </w:tcPr>
                <w:p w14:paraId="1A68B87A"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25%</w:t>
                  </w:r>
                </w:p>
              </w:tc>
              <w:tc>
                <w:tcPr>
                  <w:tcW w:w="1601" w:type="dxa"/>
                  <w:tcBorders>
                    <w:top w:val="single" w:sz="4" w:space="0" w:color="FFFFFF"/>
                  </w:tcBorders>
                  <w:shd w:val="clear" w:color="auto" w:fill="DBE5F1"/>
                  <w:vAlign w:val="center"/>
                </w:tcPr>
                <w:p w14:paraId="3E79CD47"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60%</w:t>
                  </w:r>
                </w:p>
              </w:tc>
            </w:tr>
            <w:tr w:rsidR="00600DEE" w:rsidRPr="007463B9" w14:paraId="06BD29BC" w14:textId="77777777">
              <w:trPr>
                <w:trHeight w:val="251"/>
              </w:trPr>
              <w:tc>
                <w:tcPr>
                  <w:tcW w:w="1597" w:type="dxa"/>
                  <w:shd w:val="clear" w:color="auto" w:fill="DBE5F1"/>
                </w:tcPr>
                <w:p w14:paraId="5C1F778E"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Voivodeship</w:t>
                  </w:r>
                </w:p>
              </w:tc>
              <w:tc>
                <w:tcPr>
                  <w:tcW w:w="1597" w:type="dxa"/>
                  <w:shd w:val="clear" w:color="auto" w:fill="DBE5F1"/>
                  <w:vAlign w:val="center"/>
                </w:tcPr>
                <w:p w14:paraId="3E3A7CF2"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32%</w:t>
                  </w:r>
                </w:p>
              </w:tc>
              <w:tc>
                <w:tcPr>
                  <w:tcW w:w="1601" w:type="dxa"/>
                  <w:shd w:val="clear" w:color="auto" w:fill="DBE5F1"/>
                  <w:vAlign w:val="center"/>
                </w:tcPr>
                <w:p w14:paraId="64D81B24"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w:t>
                  </w:r>
                </w:p>
              </w:tc>
              <w:tc>
                <w:tcPr>
                  <w:tcW w:w="1601" w:type="dxa"/>
                  <w:shd w:val="clear" w:color="auto" w:fill="DBE5F1"/>
                  <w:vAlign w:val="center"/>
                </w:tcPr>
                <w:p w14:paraId="51961C01"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47%</w:t>
                  </w:r>
                </w:p>
              </w:tc>
            </w:tr>
          </w:tbl>
          <w:p w14:paraId="21F6BCD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 based on available data and benchmarking</w:t>
            </w:r>
          </w:p>
          <w:p w14:paraId="11B6FF50" w14:textId="77777777" w:rsidR="00600DEE" w:rsidRPr="0045151D" w:rsidRDefault="00600DEE">
            <w:pPr>
              <w:pBdr>
                <w:top w:val="nil"/>
                <w:left w:val="nil"/>
                <w:bottom w:val="nil"/>
                <w:right w:val="nil"/>
                <w:between w:val="nil"/>
              </w:pBdr>
              <w:spacing w:after="120"/>
              <w:jc w:val="both"/>
              <w:rPr>
                <w:rFonts w:ascii="Calibri" w:eastAsia="Calibri" w:hAnsi="Calibri" w:cs="Calibri"/>
                <w:b/>
                <w:color w:val="4F81BD"/>
                <w:sz w:val="20"/>
                <w:szCs w:val="20"/>
                <w:lang w:val="en-GB"/>
              </w:rPr>
            </w:pPr>
          </w:p>
          <w:p w14:paraId="15F6289E" w14:textId="77777777" w:rsidR="00851559" w:rsidRPr="0045151D" w:rsidRDefault="00851559">
            <w:pPr>
              <w:pBdr>
                <w:top w:val="nil"/>
                <w:left w:val="nil"/>
                <w:bottom w:val="nil"/>
                <w:right w:val="nil"/>
                <w:between w:val="nil"/>
              </w:pBdr>
              <w:spacing w:after="120"/>
              <w:jc w:val="both"/>
              <w:rPr>
                <w:rFonts w:ascii="Calibri" w:eastAsia="Calibri" w:hAnsi="Calibri" w:cs="Calibri"/>
                <w:b/>
                <w:color w:val="4F81BD"/>
                <w:sz w:val="20"/>
                <w:szCs w:val="20"/>
                <w:lang w:val="en-GB"/>
              </w:rPr>
            </w:pPr>
          </w:p>
          <w:p w14:paraId="2EC632CF" w14:textId="77777777" w:rsidR="00851559" w:rsidRPr="0045151D" w:rsidRDefault="00851559">
            <w:pPr>
              <w:pBdr>
                <w:top w:val="nil"/>
                <w:left w:val="nil"/>
                <w:bottom w:val="nil"/>
                <w:right w:val="nil"/>
                <w:between w:val="nil"/>
              </w:pBdr>
              <w:spacing w:after="120"/>
              <w:jc w:val="both"/>
              <w:rPr>
                <w:rFonts w:ascii="Calibri" w:eastAsia="Calibri" w:hAnsi="Calibri" w:cs="Calibri"/>
                <w:b/>
                <w:color w:val="4F81BD"/>
                <w:sz w:val="20"/>
                <w:szCs w:val="20"/>
                <w:lang w:val="en-GB"/>
              </w:rPr>
            </w:pPr>
          </w:p>
          <w:p w14:paraId="346D61ED" w14:textId="1F80E461" w:rsidR="00600DEE" w:rsidRPr="0045151D" w:rsidRDefault="00641FB5">
            <w:pPr>
              <w:pBdr>
                <w:top w:val="nil"/>
                <w:left w:val="nil"/>
                <w:bottom w:val="nil"/>
                <w:right w:val="nil"/>
                <w:between w:val="nil"/>
              </w:pBdr>
              <w:spacing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Passenger cars on urban roads</w:t>
            </w:r>
          </w:p>
          <w:tbl>
            <w:tblPr>
              <w:tblStyle w:val="affff7"/>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rsidRPr="007463B9" w14:paraId="118DD43B" w14:textId="77777777" w:rsidTr="00CE37CC">
              <w:trPr>
                <w:trHeight w:hRule="exact" w:val="227"/>
              </w:trPr>
              <w:tc>
                <w:tcPr>
                  <w:tcW w:w="1597" w:type="dxa"/>
                  <w:vMerge w:val="restart"/>
                  <w:tcBorders>
                    <w:top w:val="nil"/>
                    <w:bottom w:val="single" w:sz="4" w:space="0" w:color="FFFFFF"/>
                  </w:tcBorders>
                  <w:shd w:val="clear" w:color="auto" w:fill="A6A6A6"/>
                  <w:vAlign w:val="center"/>
                </w:tcPr>
                <w:p w14:paraId="63528DF9"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4799" w:type="dxa"/>
                  <w:gridSpan w:val="3"/>
                  <w:tcBorders>
                    <w:top w:val="nil"/>
                    <w:bottom w:val="single" w:sz="4" w:space="0" w:color="FFFFFF"/>
                  </w:tcBorders>
                  <w:shd w:val="clear" w:color="auto" w:fill="A6A6A6"/>
                  <w:vAlign w:val="center"/>
                </w:tcPr>
                <w:p w14:paraId="711D713B"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Travel motivation</w:t>
                  </w:r>
                </w:p>
              </w:tc>
            </w:tr>
            <w:tr w:rsidR="00600DEE" w:rsidRPr="007463B9" w14:paraId="2BEF1766" w14:textId="77777777">
              <w:trPr>
                <w:trHeight w:val="210"/>
              </w:trPr>
              <w:tc>
                <w:tcPr>
                  <w:tcW w:w="1597" w:type="dxa"/>
                  <w:vMerge/>
                  <w:tcBorders>
                    <w:top w:val="nil"/>
                    <w:bottom w:val="single" w:sz="4" w:space="0" w:color="FFFFFF"/>
                  </w:tcBorders>
                  <w:shd w:val="clear" w:color="auto" w:fill="A6A6A6"/>
                  <w:vAlign w:val="center"/>
                </w:tcPr>
                <w:p w14:paraId="09138F3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597" w:type="dxa"/>
                  <w:tcBorders>
                    <w:top w:val="single" w:sz="4" w:space="0" w:color="FFFFFF"/>
                    <w:bottom w:val="single" w:sz="4" w:space="0" w:color="FFFFFF"/>
                  </w:tcBorders>
                  <w:shd w:val="clear" w:color="auto" w:fill="A6A6A6"/>
                  <w:vAlign w:val="center"/>
                </w:tcPr>
                <w:p w14:paraId="4E69D1CC"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Home-work-home</w:t>
                  </w:r>
                </w:p>
              </w:tc>
              <w:tc>
                <w:tcPr>
                  <w:tcW w:w="1601" w:type="dxa"/>
                  <w:tcBorders>
                    <w:top w:val="single" w:sz="4" w:space="0" w:color="FFFFFF"/>
                    <w:bottom w:val="single" w:sz="4" w:space="0" w:color="FFFFFF"/>
                  </w:tcBorders>
                  <w:shd w:val="clear" w:color="auto" w:fill="A6A6A6"/>
                  <w:vAlign w:val="center"/>
                </w:tcPr>
                <w:p w14:paraId="4CA26E61"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Business</w:t>
                  </w:r>
                </w:p>
              </w:tc>
              <w:tc>
                <w:tcPr>
                  <w:tcW w:w="1601" w:type="dxa"/>
                  <w:tcBorders>
                    <w:top w:val="single" w:sz="4" w:space="0" w:color="FFFFFF"/>
                    <w:bottom w:val="single" w:sz="4" w:space="0" w:color="FFFFFF"/>
                  </w:tcBorders>
                  <w:shd w:val="clear" w:color="auto" w:fill="A6A6A6"/>
                  <w:vAlign w:val="center"/>
                </w:tcPr>
                <w:p w14:paraId="0E714EF7"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Other</w:t>
                  </w:r>
                </w:p>
              </w:tc>
            </w:tr>
            <w:tr w:rsidR="00600DEE" w:rsidRPr="007463B9" w14:paraId="7CB7A658" w14:textId="77777777" w:rsidTr="008F79AD">
              <w:trPr>
                <w:trHeight w:hRule="exact" w:val="454"/>
              </w:trPr>
              <w:tc>
                <w:tcPr>
                  <w:tcW w:w="1597" w:type="dxa"/>
                  <w:tcBorders>
                    <w:top w:val="single" w:sz="4" w:space="0" w:color="FFFFFF"/>
                  </w:tcBorders>
                  <w:shd w:val="clear" w:color="auto" w:fill="DBE5F1"/>
                  <w:vAlign w:val="center"/>
                </w:tcPr>
                <w:p w14:paraId="0E616A57"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All road categories</w:t>
                  </w:r>
                </w:p>
              </w:tc>
              <w:tc>
                <w:tcPr>
                  <w:tcW w:w="1597" w:type="dxa"/>
                  <w:tcBorders>
                    <w:top w:val="single" w:sz="4" w:space="0" w:color="FFFFFF"/>
                  </w:tcBorders>
                  <w:shd w:val="clear" w:color="auto" w:fill="DBE5F1"/>
                  <w:vAlign w:val="center"/>
                </w:tcPr>
                <w:p w14:paraId="4A394D9E"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35%</w:t>
                  </w:r>
                </w:p>
              </w:tc>
              <w:tc>
                <w:tcPr>
                  <w:tcW w:w="1601" w:type="dxa"/>
                  <w:tcBorders>
                    <w:top w:val="single" w:sz="4" w:space="0" w:color="FFFFFF"/>
                  </w:tcBorders>
                  <w:shd w:val="clear" w:color="auto" w:fill="DBE5F1"/>
                  <w:vAlign w:val="center"/>
                </w:tcPr>
                <w:p w14:paraId="13638137"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c>
                <w:tcPr>
                  <w:tcW w:w="1601" w:type="dxa"/>
                  <w:tcBorders>
                    <w:top w:val="single" w:sz="4" w:space="0" w:color="FFFFFF"/>
                  </w:tcBorders>
                  <w:shd w:val="clear" w:color="auto" w:fill="DBE5F1"/>
                  <w:vAlign w:val="center"/>
                </w:tcPr>
                <w:p w14:paraId="6B60D426"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55%</w:t>
                  </w:r>
                </w:p>
              </w:tc>
            </w:tr>
          </w:tbl>
          <w:p w14:paraId="2C757794"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proprietary work based on available data and benchmarking.</w:t>
            </w:r>
          </w:p>
          <w:p w14:paraId="31793B1D" w14:textId="77777777" w:rsidR="00600DEE" w:rsidRPr="0045151D" w:rsidRDefault="00600DEE">
            <w:pPr>
              <w:pBdr>
                <w:top w:val="nil"/>
                <w:left w:val="nil"/>
                <w:bottom w:val="nil"/>
                <w:right w:val="nil"/>
                <w:between w:val="nil"/>
              </w:pBdr>
              <w:jc w:val="both"/>
              <w:rPr>
                <w:rFonts w:ascii="Calibri" w:eastAsia="Calibri" w:hAnsi="Calibri" w:cs="Calibri"/>
                <w:b/>
                <w:color w:val="4F81BD"/>
                <w:sz w:val="20"/>
                <w:szCs w:val="20"/>
                <w:lang w:val="en-GB"/>
              </w:rPr>
            </w:pPr>
          </w:p>
          <w:p w14:paraId="12DD92EB" w14:textId="77777777" w:rsidR="00600DEE" w:rsidRPr="0045151D" w:rsidRDefault="00641FB5" w:rsidP="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Buses on urban roads </w:t>
            </w:r>
          </w:p>
          <w:tbl>
            <w:tblPr>
              <w:tblStyle w:val="affff8"/>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rsidRPr="007463B9" w14:paraId="602BEB57" w14:textId="77777777">
              <w:trPr>
                <w:trHeight w:val="210"/>
              </w:trPr>
              <w:tc>
                <w:tcPr>
                  <w:tcW w:w="1597" w:type="dxa"/>
                  <w:vMerge w:val="restart"/>
                  <w:tcBorders>
                    <w:top w:val="nil"/>
                    <w:bottom w:val="single" w:sz="4" w:space="0" w:color="FFFFFF"/>
                  </w:tcBorders>
                  <w:shd w:val="clear" w:color="auto" w:fill="A6A6A6"/>
                  <w:vAlign w:val="center"/>
                </w:tcPr>
                <w:p w14:paraId="5959EA81"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4799" w:type="dxa"/>
                  <w:gridSpan w:val="3"/>
                  <w:tcBorders>
                    <w:top w:val="nil"/>
                    <w:bottom w:val="single" w:sz="4" w:space="0" w:color="FFFFFF"/>
                  </w:tcBorders>
                  <w:shd w:val="clear" w:color="auto" w:fill="A6A6A6"/>
                  <w:vAlign w:val="center"/>
                </w:tcPr>
                <w:p w14:paraId="69864C59"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Travel motivation</w:t>
                  </w:r>
                </w:p>
              </w:tc>
            </w:tr>
            <w:tr w:rsidR="00600DEE" w:rsidRPr="007463B9" w14:paraId="27ED02D2" w14:textId="77777777">
              <w:trPr>
                <w:trHeight w:val="210"/>
              </w:trPr>
              <w:tc>
                <w:tcPr>
                  <w:tcW w:w="1597" w:type="dxa"/>
                  <w:vMerge/>
                  <w:tcBorders>
                    <w:top w:val="nil"/>
                    <w:bottom w:val="single" w:sz="4" w:space="0" w:color="FFFFFF"/>
                  </w:tcBorders>
                  <w:shd w:val="clear" w:color="auto" w:fill="A6A6A6"/>
                  <w:vAlign w:val="center"/>
                </w:tcPr>
                <w:p w14:paraId="0FF04FDC"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597" w:type="dxa"/>
                  <w:tcBorders>
                    <w:top w:val="single" w:sz="4" w:space="0" w:color="FFFFFF"/>
                    <w:bottom w:val="single" w:sz="4" w:space="0" w:color="FFFFFF"/>
                  </w:tcBorders>
                  <w:shd w:val="clear" w:color="auto" w:fill="A6A6A6"/>
                  <w:vAlign w:val="center"/>
                </w:tcPr>
                <w:p w14:paraId="113469F1"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Home-work-home</w:t>
                  </w:r>
                </w:p>
              </w:tc>
              <w:tc>
                <w:tcPr>
                  <w:tcW w:w="1601" w:type="dxa"/>
                  <w:tcBorders>
                    <w:top w:val="single" w:sz="4" w:space="0" w:color="FFFFFF"/>
                    <w:bottom w:val="single" w:sz="4" w:space="0" w:color="FFFFFF"/>
                  </w:tcBorders>
                  <w:shd w:val="clear" w:color="auto" w:fill="A6A6A6"/>
                  <w:vAlign w:val="center"/>
                </w:tcPr>
                <w:p w14:paraId="22D0ECD0"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Business</w:t>
                  </w:r>
                </w:p>
              </w:tc>
              <w:tc>
                <w:tcPr>
                  <w:tcW w:w="1601" w:type="dxa"/>
                  <w:tcBorders>
                    <w:top w:val="single" w:sz="4" w:space="0" w:color="FFFFFF"/>
                    <w:bottom w:val="single" w:sz="4" w:space="0" w:color="FFFFFF"/>
                  </w:tcBorders>
                  <w:shd w:val="clear" w:color="auto" w:fill="A6A6A6"/>
                  <w:vAlign w:val="center"/>
                </w:tcPr>
                <w:p w14:paraId="4419AC1F"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Other</w:t>
                  </w:r>
                </w:p>
              </w:tc>
            </w:tr>
            <w:tr w:rsidR="00600DEE" w:rsidRPr="007463B9" w14:paraId="42F86F70" w14:textId="77777777" w:rsidTr="008F79AD">
              <w:trPr>
                <w:trHeight w:val="454"/>
              </w:trPr>
              <w:tc>
                <w:tcPr>
                  <w:tcW w:w="1597" w:type="dxa"/>
                  <w:tcBorders>
                    <w:top w:val="single" w:sz="4" w:space="0" w:color="FFFFFF"/>
                  </w:tcBorders>
                  <w:shd w:val="clear" w:color="auto" w:fill="DBE5F1"/>
                  <w:vAlign w:val="center"/>
                </w:tcPr>
                <w:p w14:paraId="4A91F8CC"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All</w:t>
                  </w:r>
                </w:p>
              </w:tc>
              <w:tc>
                <w:tcPr>
                  <w:tcW w:w="1597" w:type="dxa"/>
                  <w:tcBorders>
                    <w:top w:val="single" w:sz="4" w:space="0" w:color="FFFFFF"/>
                  </w:tcBorders>
                  <w:shd w:val="clear" w:color="auto" w:fill="DBE5F1"/>
                  <w:vAlign w:val="center"/>
                </w:tcPr>
                <w:p w14:paraId="5D028106"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35%</w:t>
                  </w:r>
                </w:p>
              </w:tc>
              <w:tc>
                <w:tcPr>
                  <w:tcW w:w="1601" w:type="dxa"/>
                  <w:tcBorders>
                    <w:top w:val="single" w:sz="4" w:space="0" w:color="FFFFFF"/>
                  </w:tcBorders>
                  <w:shd w:val="clear" w:color="auto" w:fill="DBE5F1"/>
                  <w:vAlign w:val="center"/>
                </w:tcPr>
                <w:p w14:paraId="441CB7FE"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w:t>
                  </w:r>
                </w:p>
              </w:tc>
              <w:tc>
                <w:tcPr>
                  <w:tcW w:w="1601" w:type="dxa"/>
                  <w:tcBorders>
                    <w:top w:val="single" w:sz="4" w:space="0" w:color="FFFFFF"/>
                  </w:tcBorders>
                  <w:shd w:val="clear" w:color="auto" w:fill="DBE5F1"/>
                  <w:vAlign w:val="center"/>
                </w:tcPr>
                <w:p w14:paraId="1CCB6BEF"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60%</w:t>
                  </w:r>
                </w:p>
              </w:tc>
            </w:tr>
          </w:tbl>
          <w:p w14:paraId="4FD7FDB1"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proprietary work based on available data and benchmarking.</w:t>
            </w:r>
          </w:p>
          <w:p w14:paraId="2C2C5F9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order to calculate the transport work (passenger-hours) when using section method, first of all it is necessary to estimate the driving speeds on the analysed section (these are already included in the models for network/buffer analysis). For this purpose, tables with section speeds included in the </w:t>
            </w:r>
            <w:r w:rsidRPr="0045151D">
              <w:rPr>
                <w:rFonts w:ascii="Calibri" w:eastAsia="Calibri" w:hAnsi="Calibri" w:cs="Calibri"/>
                <w:i/>
                <w:color w:val="000000"/>
                <w:sz w:val="20"/>
                <w:szCs w:val="20"/>
                <w:lang w:val="en-GB"/>
              </w:rPr>
              <w:t xml:space="preserve">internal CBA instruction (published by </w:t>
            </w:r>
            <w:proofErr w:type="spellStart"/>
            <w:r w:rsidRPr="0045151D">
              <w:rPr>
                <w:rFonts w:ascii="Calibri" w:eastAsia="Calibri" w:hAnsi="Calibri" w:cs="Calibri"/>
                <w:i/>
                <w:color w:val="000000"/>
                <w:sz w:val="20"/>
                <w:szCs w:val="20"/>
                <w:lang w:val="en-GB"/>
              </w:rPr>
              <w:t>GDDKiA</w:t>
            </w:r>
            <w:proofErr w:type="spellEnd"/>
            <w:r w:rsidRPr="0045151D">
              <w:rPr>
                <w:rFonts w:ascii="Calibri" w:eastAsia="Calibri" w:hAnsi="Calibri" w:cs="Calibri"/>
                <w:i/>
                <w:color w:val="000000"/>
                <w:sz w:val="20"/>
                <w:szCs w:val="20"/>
                <w:lang w:val="en-GB"/>
              </w:rPr>
              <w:t xml:space="preserve"> in 2021) substituting </w:t>
            </w:r>
            <w:proofErr w:type="spellStart"/>
            <w:r w:rsidRPr="0045151D">
              <w:rPr>
                <w:rFonts w:ascii="Calibri" w:eastAsia="Calibri" w:hAnsi="Calibri" w:cs="Calibri"/>
                <w:i/>
                <w:color w:val="000000"/>
                <w:sz w:val="20"/>
                <w:szCs w:val="20"/>
                <w:lang w:val="en-GB"/>
              </w:rPr>
              <w:t>IBDiM</w:t>
            </w:r>
            <w:proofErr w:type="spellEnd"/>
            <w:r w:rsidRPr="0045151D">
              <w:rPr>
                <w:rFonts w:ascii="Calibri" w:eastAsia="Calibri" w:hAnsi="Calibri" w:cs="Calibri"/>
                <w:i/>
                <w:color w:val="000000"/>
                <w:sz w:val="20"/>
                <w:szCs w:val="20"/>
                <w:lang w:val="en-GB"/>
              </w:rPr>
              <w:t xml:space="preserve"> instruction dated 2008,</w:t>
            </w:r>
            <w:r w:rsidRPr="0045151D">
              <w:rPr>
                <w:rFonts w:ascii="Calibri" w:eastAsia="Calibri" w:hAnsi="Calibri" w:cs="Calibri"/>
                <w:color w:val="000000"/>
                <w:sz w:val="20"/>
                <w:szCs w:val="20"/>
                <w:lang w:val="en-GB"/>
              </w:rPr>
              <w:t xml:space="preserve"> should be used. The costs of passengers’ and drivers’ time should be calculated for the “without-the-project” option and for all project investment options selected for the present CBA.</w:t>
            </w:r>
          </w:p>
          <w:p w14:paraId="3D5D14F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 of rail mode users, traffic analysis will usually provide pass-km for different options analysed. The travel motivation shares (if not provided by the model) might be applied the same as for roads with the same respective unit values of time. For the rail freight, recommended values of time are provided in the Rail Blue Book. </w:t>
            </w:r>
          </w:p>
          <w:p w14:paraId="36F9A55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table below presents the method for calculating costs of users’ time in case when the transport work (passenger-hours) is calculated using road section method.</w:t>
            </w:r>
          </w:p>
          <w:p w14:paraId="2248C623"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CE5E3C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A608343" w14:textId="65033B67" w:rsidR="00600DEE" w:rsidRPr="0045151D" w:rsidRDefault="00B10112" w:rsidP="006C2564">
            <w:pPr>
              <w:keepNext/>
              <w:pBdr>
                <w:top w:val="nil"/>
                <w:left w:val="nil"/>
                <w:bottom w:val="nil"/>
                <w:right w:val="nil"/>
                <w:between w:val="nil"/>
              </w:pBdr>
              <w:spacing w:before="120" w:after="360"/>
              <w:ind w:left="851" w:hanging="851"/>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lastRenderedPageBreak/>
              <w:t>Table 18</w:t>
            </w:r>
            <w:r w:rsidR="00641FB5" w:rsidRPr="0045151D">
              <w:rPr>
                <w:rFonts w:ascii="Calibri" w:eastAsia="Calibri" w:hAnsi="Calibri" w:cs="Calibri"/>
                <w:b/>
                <w:color w:val="4F81BD"/>
                <w:sz w:val="20"/>
                <w:szCs w:val="20"/>
                <w:lang w:val="en-GB"/>
              </w:rPr>
              <w:t>. Formula for calculating costs of travel time for projects where transport work is calculated by means of road section approach</w:t>
            </w:r>
          </w:p>
          <w:tbl>
            <w:tblPr>
              <w:tblStyle w:val="affff9"/>
              <w:tblW w:w="69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9"/>
            </w:tblGrid>
            <w:tr w:rsidR="00600DEE" w:rsidRPr="007463B9" w14:paraId="48415AFC" w14:textId="77777777" w:rsidTr="006C2564">
              <w:trPr>
                <w:trHeight w:hRule="exact" w:val="5103"/>
              </w:trPr>
              <w:tc>
                <w:tcPr>
                  <w:tcW w:w="6939" w:type="dxa"/>
                  <w:shd w:val="clear" w:color="auto" w:fill="DBE5F1"/>
                  <w:vAlign w:val="center"/>
                </w:tcPr>
                <w:p w14:paraId="7082EE5D" w14:textId="77777777" w:rsidR="00600DEE" w:rsidRPr="0045151D" w:rsidRDefault="00600DEE">
                  <w:pPr>
                    <w:pBdr>
                      <w:top w:val="nil"/>
                      <w:left w:val="nil"/>
                      <w:bottom w:val="nil"/>
                      <w:right w:val="nil"/>
                      <w:between w:val="nil"/>
                    </w:pBdr>
                    <w:spacing w:before="120" w:after="40"/>
                    <w:jc w:val="center"/>
                    <w:rPr>
                      <w:rFonts w:ascii="Calibri" w:eastAsia="Calibri" w:hAnsi="Calibri" w:cs="Calibri"/>
                      <w:color w:val="4F81BD"/>
                      <w:sz w:val="18"/>
                      <w:szCs w:val="18"/>
                      <w:lang w:val="en-GB"/>
                    </w:rPr>
                  </w:pPr>
                </w:p>
                <w:p w14:paraId="69FF4F48"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2985" w:dyaOrig="728" w14:anchorId="4E937EF1">
                      <v:shape id="_x0000_i1032" type="#_x0000_t75" style="width:149.6pt;height:36.45pt" o:ole="" filled="t">
                        <v:fill color2="black"/>
                        <v:imagedata r:id="rId118" o:title=""/>
                      </v:shape>
                      <o:OLEObject Type="Embed" ProgID="Equation.3" ShapeID="_x0000_i1032" DrawAspect="Content" ObjectID="_1708947474" r:id="rId119"/>
                    </w:object>
                  </w:r>
                </w:p>
                <w:p w14:paraId="029173C6"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211314A6"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740BF41A"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c</w:t>
                  </w:r>
                  <w:r w:rsidRPr="0045151D">
                    <w:rPr>
                      <w:rFonts w:ascii="Calibri" w:eastAsia="Calibri" w:hAnsi="Calibri" w:cs="Calibri"/>
                      <w:color w:val="4F81BD"/>
                      <w:sz w:val="18"/>
                      <w:szCs w:val="18"/>
                      <w:lang w:val="en-GB"/>
                    </w:rPr>
                    <w:tab/>
                    <w:t>–  annual costs of users’ travel time, in PLN,</w:t>
                  </w:r>
                </w:p>
                <w:p w14:paraId="09A08B73"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i</w:t>
                  </w:r>
                  <w:proofErr w:type="spellEnd"/>
                  <w:r w:rsidRPr="0045151D">
                    <w:rPr>
                      <w:rFonts w:ascii="Calibri" w:eastAsia="Calibri" w:hAnsi="Calibri" w:cs="Calibri"/>
                      <w:color w:val="4F81BD"/>
                      <w:sz w:val="18"/>
                      <w:szCs w:val="18"/>
                      <w:lang w:val="en-GB"/>
                    </w:rPr>
                    <w:tab/>
                    <w:t>–  annual average daily traffic by vehicle users category (AADT) “</w:t>
                  </w:r>
                  <w:proofErr w:type="spellStart"/>
                  <w:r w:rsidRPr="0045151D">
                    <w:rPr>
                      <w:rFonts w:ascii="Calibri" w:eastAsia="Calibri" w:hAnsi="Calibri" w:cs="Calibri"/>
                      <w:color w:val="4F81BD"/>
                      <w:sz w:val="18"/>
                      <w:szCs w:val="18"/>
                      <w:lang w:val="en-GB"/>
                    </w:rPr>
                    <w:t>i</w:t>
                  </w:r>
                  <w:proofErr w:type="spellEnd"/>
                  <w:r w:rsidRPr="0045151D">
                    <w:rPr>
                      <w:rFonts w:ascii="Calibri" w:eastAsia="Calibri" w:hAnsi="Calibri" w:cs="Calibri"/>
                      <w:color w:val="4F81BD"/>
                      <w:sz w:val="18"/>
                      <w:szCs w:val="18"/>
                      <w:lang w:val="en-GB"/>
                    </w:rPr>
                    <w:t>”</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(e.g. LV and HGV), in vehicles/day,</w:t>
                  </w:r>
                </w:p>
                <w:p w14:paraId="6F1273F2"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length of a road section in km,</w:t>
                  </w:r>
                </w:p>
                <w:p w14:paraId="31F6FB7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i</w:t>
                  </w:r>
                  <w:proofErr w:type="spellEnd"/>
                  <w:r w:rsidRPr="0045151D">
                    <w:rPr>
                      <w:rFonts w:ascii="Calibri" w:eastAsia="Calibri" w:hAnsi="Calibri" w:cs="Calibri"/>
                      <w:color w:val="4F81BD"/>
                      <w:sz w:val="18"/>
                      <w:szCs w:val="18"/>
                      <w:lang w:val="en-GB"/>
                    </w:rPr>
                    <w:tab/>
                    <w:t>–  number of user categories with different unit values of time (business,</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commuting, other, freight), </w:t>
                  </w:r>
                </w:p>
                <w:p w14:paraId="6B198ABF"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c,i</w:t>
                  </w:r>
                  <w:proofErr w:type="spellEnd"/>
                  <w:r w:rsidRPr="0045151D">
                    <w:rPr>
                      <w:rFonts w:ascii="Calibri" w:eastAsia="Calibri" w:hAnsi="Calibri" w:cs="Calibri"/>
                      <w:color w:val="4F81BD"/>
                      <w:sz w:val="18"/>
                      <w:szCs w:val="18"/>
                      <w:lang w:val="en-GB"/>
                    </w:rPr>
                    <w:tab/>
                    <w:t>–  unit time costs “</w:t>
                  </w:r>
                  <w:proofErr w:type="spellStart"/>
                  <w:r w:rsidRPr="0045151D">
                    <w:rPr>
                      <w:rFonts w:ascii="Calibri" w:eastAsia="Calibri" w:hAnsi="Calibri" w:cs="Calibri"/>
                      <w:color w:val="4F81BD"/>
                      <w:sz w:val="18"/>
                      <w:szCs w:val="18"/>
                      <w:lang w:val="en-GB"/>
                    </w:rPr>
                    <w:t>i</w:t>
                  </w:r>
                  <w:proofErr w:type="spellEnd"/>
                  <w:r w:rsidRPr="0045151D">
                    <w:rPr>
                      <w:rFonts w:ascii="Calibri" w:eastAsia="Calibri" w:hAnsi="Calibri" w:cs="Calibri"/>
                      <w:color w:val="4F81BD"/>
                      <w:sz w:val="18"/>
                      <w:szCs w:val="18"/>
                      <w:lang w:val="en-GB"/>
                    </w:rPr>
                    <w:t>” in PLN/h,</w:t>
                  </w:r>
                </w:p>
                <w:p w14:paraId="4DECBA0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lang w:val="en-GB"/>
                    </w:rPr>
                    <w:tab/>
                    <w:t>–  vehicle occupancy values,</w:t>
                  </w:r>
                </w:p>
                <w:p w14:paraId="0DA93CBE"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u</w:t>
                  </w:r>
                  <w:r w:rsidRPr="0045151D">
                    <w:rPr>
                      <w:rFonts w:ascii="Calibri" w:eastAsia="Calibri" w:hAnsi="Calibri" w:cs="Calibri"/>
                      <w:color w:val="4F81BD"/>
                      <w:sz w:val="18"/>
                      <w:szCs w:val="18"/>
                      <w:vertAlign w:val="subscript"/>
                      <w:lang w:val="en-GB"/>
                    </w:rPr>
                    <w:t>i</w:t>
                  </w:r>
                  <w:proofErr w:type="spellEnd"/>
                  <w:r w:rsidRPr="0045151D">
                    <w:rPr>
                      <w:rFonts w:ascii="Calibri" w:eastAsia="Calibri" w:hAnsi="Calibri" w:cs="Calibri"/>
                      <w:color w:val="4F81BD"/>
                      <w:sz w:val="18"/>
                      <w:szCs w:val="18"/>
                      <w:lang w:val="en-GB"/>
                    </w:rPr>
                    <w:tab/>
                    <w:t>–  share of motivation “</w:t>
                  </w:r>
                  <w:proofErr w:type="spellStart"/>
                  <w:r w:rsidRPr="0045151D">
                    <w:rPr>
                      <w:rFonts w:ascii="Calibri" w:eastAsia="Calibri" w:hAnsi="Calibri" w:cs="Calibri"/>
                      <w:color w:val="4F81BD"/>
                      <w:sz w:val="18"/>
                      <w:szCs w:val="18"/>
                      <w:lang w:val="en-GB"/>
                    </w:rPr>
                    <w:t>i</w:t>
                  </w:r>
                  <w:proofErr w:type="spellEnd"/>
                  <w:r w:rsidRPr="0045151D">
                    <w:rPr>
                      <w:rFonts w:ascii="Calibri" w:eastAsia="Calibri" w:hAnsi="Calibri" w:cs="Calibri"/>
                      <w:color w:val="4F81BD"/>
                      <w:sz w:val="18"/>
                      <w:szCs w:val="18"/>
                      <w:lang w:val="en-GB"/>
                    </w:rPr>
                    <w:t>” in trips of car users,</w:t>
                  </w:r>
                </w:p>
                <w:p w14:paraId="308C003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pdr</w:t>
                  </w:r>
                  <w:proofErr w:type="spellEnd"/>
                  <w:r w:rsidRPr="0045151D">
                    <w:rPr>
                      <w:rFonts w:ascii="Calibri" w:eastAsia="Calibri" w:hAnsi="Calibri" w:cs="Calibri"/>
                      <w:color w:val="4F81BD"/>
                      <w:sz w:val="18"/>
                      <w:szCs w:val="18"/>
                      <w:lang w:val="en-GB"/>
                    </w:rPr>
                    <w:tab/>
                    <w:t>–  travelling speed on the analysed section of road, in km/h,</w:t>
                  </w:r>
                </w:p>
                <w:p w14:paraId="05F12ADB"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h</w:t>
                  </w:r>
                  <w:proofErr w:type="spellEnd"/>
                  <w:r w:rsidRPr="0045151D">
                    <w:rPr>
                      <w:rFonts w:ascii="Calibri" w:eastAsia="Calibri" w:hAnsi="Calibri" w:cs="Calibri"/>
                      <w:color w:val="4F81BD"/>
                      <w:sz w:val="18"/>
                      <w:szCs w:val="18"/>
                      <w:lang w:val="en-GB"/>
                    </w:rPr>
                    <w:tab/>
                    <w:t xml:space="preserve">–  transport work of individual categories of vehicles/modes and users, in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vehicle hours,</w:t>
                  </w:r>
                </w:p>
                <w:p w14:paraId="1005C41E"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h</w:t>
                  </w:r>
                  <w:proofErr w:type="spellEnd"/>
                  <w:r w:rsidRPr="0045151D">
                    <w:rPr>
                      <w:rFonts w:ascii="Calibri" w:eastAsia="Calibri" w:hAnsi="Calibri" w:cs="Calibri"/>
                      <w:color w:val="4F81BD"/>
                      <w:sz w:val="18"/>
                      <w:szCs w:val="18"/>
                      <w:lang w:val="en-GB"/>
                    </w:rPr>
                    <w:t xml:space="preserve"> = L * </w:t>
                  </w: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i</w:t>
                  </w:r>
                  <w:proofErr w:type="spellEnd"/>
                  <w:r w:rsidRPr="0045151D">
                    <w:rPr>
                      <w:rFonts w:ascii="Calibri" w:eastAsia="Calibri" w:hAnsi="Calibri" w:cs="Calibri"/>
                      <w:color w:val="4F81BD"/>
                      <w:sz w:val="18"/>
                      <w:szCs w:val="18"/>
                      <w:lang w:val="en-GB"/>
                    </w:rPr>
                    <w:t xml:space="preserve"> / </w:t>
                  </w: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pdr</w:t>
                  </w:r>
                  <w:proofErr w:type="spellEnd"/>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(for road section approach)</w:t>
                  </w:r>
                </w:p>
              </w:tc>
            </w:tr>
          </w:tbl>
          <w:p w14:paraId="0E4C563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2193EED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NB: In case of cities, adequate attention should be paid to differentiation of the benefits during peak and </w:t>
            </w:r>
            <w:proofErr w:type="spellStart"/>
            <w:r w:rsidRPr="0045151D">
              <w:rPr>
                <w:rFonts w:ascii="Calibri" w:eastAsia="Calibri" w:hAnsi="Calibri" w:cs="Calibri"/>
                <w:color w:val="000000"/>
                <w:sz w:val="20"/>
                <w:szCs w:val="20"/>
                <w:lang w:val="en-GB"/>
              </w:rPr>
              <w:t>non peak</w:t>
            </w:r>
            <w:proofErr w:type="spellEnd"/>
            <w:r w:rsidRPr="0045151D">
              <w:rPr>
                <w:rFonts w:ascii="Calibri" w:eastAsia="Calibri" w:hAnsi="Calibri" w:cs="Calibri"/>
                <w:color w:val="000000"/>
                <w:sz w:val="20"/>
                <w:szCs w:val="20"/>
                <w:lang w:val="en-GB"/>
              </w:rPr>
              <w:t xml:space="preserve"> hours.</w:t>
            </w:r>
          </w:p>
          <w:p w14:paraId="433F9CA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19E821A" w14:textId="2BDE829D" w:rsidR="00600DEE" w:rsidRDefault="00641FB5" w:rsidP="00D5736B">
      <w:pPr>
        <w:pStyle w:val="Nagwek3"/>
        <w:numPr>
          <w:ilvl w:val="2"/>
          <w:numId w:val="17"/>
        </w:numPr>
        <w:ind w:left="0" w:firstLine="0"/>
        <w:rPr>
          <w:rFonts w:ascii="Calibri" w:eastAsia="Calibri" w:hAnsi="Calibri" w:cs="Calibri"/>
          <w:color w:val="4F81BD"/>
        </w:rPr>
      </w:pPr>
      <w:bookmarkStart w:id="67" w:name="_Toc95377988"/>
      <w:r>
        <w:rPr>
          <w:rFonts w:ascii="Calibri" w:eastAsia="Calibri" w:hAnsi="Calibri" w:cs="Calibri"/>
          <w:color w:val="4F81BD"/>
        </w:rPr>
        <w:lastRenderedPageBreak/>
        <w:t>Koszty wypadków drogowych</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 xml:space="preserve">2.1.3   </w:t>
      </w:r>
      <w:proofErr w:type="spellStart"/>
      <w:r>
        <w:rPr>
          <w:rFonts w:ascii="Calibri" w:eastAsia="Calibri" w:hAnsi="Calibri" w:cs="Calibri"/>
          <w:i/>
          <w:color w:val="4F81BD"/>
        </w:rPr>
        <w:t>Costs</w:t>
      </w:r>
      <w:proofErr w:type="spellEnd"/>
      <w:r>
        <w:rPr>
          <w:rFonts w:ascii="Calibri" w:eastAsia="Calibri" w:hAnsi="Calibri" w:cs="Calibri"/>
          <w:i/>
          <w:color w:val="4F81BD"/>
        </w:rPr>
        <w:t xml:space="preserve"> of </w:t>
      </w:r>
      <w:proofErr w:type="spellStart"/>
      <w:r>
        <w:rPr>
          <w:rFonts w:ascii="Calibri" w:eastAsia="Calibri" w:hAnsi="Calibri" w:cs="Calibri"/>
          <w:i/>
          <w:color w:val="4F81BD"/>
        </w:rPr>
        <w:t>accidents</w:t>
      </w:r>
      <w:bookmarkEnd w:id="67"/>
      <w:proofErr w:type="spellEnd"/>
    </w:p>
    <w:tbl>
      <w:tblPr>
        <w:tblStyle w:val="affffa"/>
        <w:tblW w:w="14571" w:type="dxa"/>
        <w:tblLayout w:type="fixed"/>
        <w:tblLook w:val="0400" w:firstRow="0" w:lastRow="0" w:firstColumn="0" w:lastColumn="0" w:noHBand="0" w:noVBand="1"/>
      </w:tblPr>
      <w:tblGrid>
        <w:gridCol w:w="7205"/>
        <w:gridCol w:w="7366"/>
      </w:tblGrid>
      <w:tr w:rsidR="00600DEE" w:rsidRPr="007463B9" w14:paraId="380BDCF2" w14:textId="77777777">
        <w:tc>
          <w:tcPr>
            <w:tcW w:w="7205" w:type="dxa"/>
            <w:tcBorders>
              <w:right w:val="single" w:sz="4" w:space="0" w:color="000000"/>
            </w:tcBorders>
            <w:tcMar>
              <w:left w:w="284" w:type="dxa"/>
              <w:right w:w="284" w:type="dxa"/>
            </w:tcMar>
          </w:tcPr>
          <w:p w14:paraId="78F1F04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wypadków drogowych dla obu wariantów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xml:space="preserve"> i W0) to koszty, jakie ponoszą wszyscy użytkownicy pojazdów w wyniku zdarzeń drogowych na drogach </w:t>
            </w:r>
            <w:r>
              <w:rPr>
                <w:rFonts w:ascii="Calibri" w:eastAsia="Calibri" w:hAnsi="Calibri" w:cs="Calibri"/>
                <w:color w:val="000000"/>
                <w:sz w:val="20"/>
                <w:szCs w:val="20"/>
              </w:rPr>
              <w:lastRenderedPageBreak/>
              <w:t>będących przedmiotem analizy jak również na tych, na których nastąpi zmiana wypadkowości wynikająca z realizacji analizowanej inwestycji.</w:t>
            </w:r>
          </w:p>
          <w:p w14:paraId="749C46B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wypadków w każdym wariancie obejmują:</w:t>
            </w:r>
          </w:p>
          <w:p w14:paraId="2A518976"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zabitych w wypadkach drogowych,</w:t>
            </w:r>
          </w:p>
          <w:p w14:paraId="15134983"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lekko rannych w wypadkach drogowych,</w:t>
            </w:r>
          </w:p>
          <w:p w14:paraId="1FF7F1AC"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ciężko rannych w wypadkach drogowych,</w:t>
            </w:r>
          </w:p>
          <w:p w14:paraId="05FF071D"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strat materialnych (ponoszonych w wypadkach z udziałem rannych i/lub ofiar).</w:t>
            </w:r>
          </w:p>
          <w:p w14:paraId="23C09CC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ujęte w analizie dotyczą poniższych aspektów: spadek produktywności, koszty administracyjne i sądowe, straty materialne, koszty pracodawców, koszty hospitalizacji, koszty pogrzebowe, koszty rekompensat i zadośćuczynienia. Niematerialne koszty związane z bólem i cierpieniem ludzkim nie są ujęte.</w:t>
            </w:r>
          </w:p>
          <w:p w14:paraId="2F4B75C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Korzyści ekonomiczne wynikające z oszczędności w kosztach wypadków (w rezultacie działań poprawiających BRD) wyliczane są jako różnica w łącznych kosztach skutków wypadków pomiędzy wariantem bezinwestycyjnym i inwestycyjnym.</w:t>
            </w:r>
          </w:p>
          <w:p w14:paraId="7CF32EC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857A64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59294A2"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35CF674"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0676D52"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AD9D0E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21313B44"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5769344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A089D87" w14:textId="17A74645"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73F71F4" w14:textId="475324D9" w:rsidR="00B10112" w:rsidRDefault="00B10112">
            <w:pPr>
              <w:pBdr>
                <w:top w:val="nil"/>
                <w:left w:val="nil"/>
                <w:bottom w:val="nil"/>
                <w:right w:val="nil"/>
                <w:between w:val="nil"/>
              </w:pBdr>
              <w:spacing w:before="120"/>
              <w:jc w:val="both"/>
              <w:rPr>
                <w:rFonts w:ascii="Calibri" w:eastAsia="Calibri" w:hAnsi="Calibri" w:cs="Calibri"/>
                <w:color w:val="000000"/>
                <w:sz w:val="20"/>
                <w:szCs w:val="20"/>
              </w:rPr>
            </w:pPr>
          </w:p>
          <w:p w14:paraId="5BB982DB" w14:textId="52BFB21A" w:rsidR="00B10112" w:rsidRDefault="00B10112">
            <w:pPr>
              <w:pBdr>
                <w:top w:val="nil"/>
                <w:left w:val="nil"/>
                <w:bottom w:val="nil"/>
                <w:right w:val="nil"/>
                <w:between w:val="nil"/>
              </w:pBdr>
              <w:spacing w:before="120"/>
              <w:jc w:val="both"/>
              <w:rPr>
                <w:rFonts w:ascii="Calibri" w:eastAsia="Calibri" w:hAnsi="Calibri" w:cs="Calibri"/>
                <w:color w:val="000000"/>
                <w:sz w:val="20"/>
                <w:szCs w:val="20"/>
              </w:rPr>
            </w:pPr>
          </w:p>
          <w:p w14:paraId="1F2063BE" w14:textId="77777777" w:rsidR="00B10112" w:rsidRDefault="00B10112">
            <w:pPr>
              <w:pBdr>
                <w:top w:val="nil"/>
                <w:left w:val="nil"/>
                <w:bottom w:val="nil"/>
                <w:right w:val="nil"/>
                <w:between w:val="nil"/>
              </w:pBdr>
              <w:spacing w:before="120"/>
              <w:jc w:val="both"/>
              <w:rPr>
                <w:rFonts w:ascii="Calibri" w:eastAsia="Calibri" w:hAnsi="Calibri" w:cs="Calibri"/>
                <w:color w:val="000000"/>
                <w:sz w:val="20"/>
                <w:szCs w:val="20"/>
              </w:rPr>
            </w:pPr>
          </w:p>
          <w:p w14:paraId="37903449" w14:textId="065B25CC" w:rsidR="00600DEE" w:rsidRDefault="00B10112">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19</w:t>
            </w:r>
            <w:r w:rsidR="00641FB5">
              <w:rPr>
                <w:rFonts w:ascii="Calibri" w:eastAsia="Calibri" w:hAnsi="Calibri" w:cs="Calibri"/>
                <w:b/>
                <w:color w:val="4F81BD"/>
                <w:sz w:val="20"/>
                <w:szCs w:val="20"/>
              </w:rPr>
              <w:t>. Wzór na obliczanie kosztów wypadków</w:t>
            </w:r>
          </w:p>
          <w:tbl>
            <w:tblPr>
              <w:tblStyle w:val="affffb"/>
              <w:tblW w:w="677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4"/>
            </w:tblGrid>
            <w:tr w:rsidR="00600DEE" w14:paraId="13081302" w14:textId="77777777" w:rsidTr="006C2564">
              <w:trPr>
                <w:trHeight w:hRule="exact" w:val="4706"/>
              </w:trPr>
              <w:tc>
                <w:tcPr>
                  <w:tcW w:w="6774" w:type="dxa"/>
                  <w:shd w:val="clear" w:color="auto" w:fill="DBE5F1"/>
                </w:tcPr>
                <w:p w14:paraId="3232B242" w14:textId="77777777" w:rsidR="00600DEE" w:rsidRDefault="00641FB5">
                  <w:pPr>
                    <w:shd w:val="clear" w:color="auto" w:fill="DBE5F1"/>
                    <w:spacing w:before="120" w:after="200" w:line="276" w:lineRule="auto"/>
                    <w:jc w:val="center"/>
                    <w:rPr>
                      <w:rFonts w:ascii="Calibri" w:eastAsia="Calibri" w:hAnsi="Calibri" w:cs="Calibri"/>
                      <w:color w:val="4F81BD"/>
                      <w:sz w:val="20"/>
                      <w:szCs w:val="20"/>
                    </w:rPr>
                  </w:pPr>
                  <w:r>
                    <w:rPr>
                      <w:rFonts w:ascii="Calibri" w:eastAsia="Calibri" w:hAnsi="Calibri" w:cs="Calibri"/>
                      <w:color w:val="4F81BD"/>
                      <w:sz w:val="36"/>
                      <w:szCs w:val="36"/>
                      <w:vertAlign w:val="subscript"/>
                    </w:rPr>
                    <w:object w:dxaOrig="5048" w:dyaOrig="728" w14:anchorId="0B79CD0E">
                      <v:shape id="_x0000_i1033" type="#_x0000_t75" style="width:252.45pt;height:36.45pt" o:ole="" filled="t">
                        <v:fill color2="black"/>
                        <v:imagedata r:id="rId120" o:title=""/>
                      </v:shape>
                      <o:OLEObject Type="Embed" ProgID="Equation.3" ShapeID="_x0000_i1033" DrawAspect="Content" ObjectID="_1708947475" r:id="rId121"/>
                    </w:object>
                  </w:r>
                </w:p>
                <w:p w14:paraId="5DED4A5E"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734AE16B" w14:textId="77777777" w:rsidR="00600DEE" w:rsidRDefault="00600DEE"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
                <w:p w14:paraId="1AB6CDF2"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i/>
                      <w:color w:val="4F81BD"/>
                      <w:sz w:val="18"/>
                      <w:szCs w:val="18"/>
                    </w:rPr>
                    <w:t>K</w:t>
                  </w:r>
                  <w:r>
                    <w:rPr>
                      <w:rFonts w:ascii="Calibri" w:eastAsia="Calibri" w:hAnsi="Calibri" w:cs="Calibri"/>
                      <w:i/>
                      <w:color w:val="4F81BD"/>
                      <w:sz w:val="18"/>
                      <w:szCs w:val="18"/>
                      <w:vertAlign w:val="subscript"/>
                    </w:rPr>
                    <w:t>W</w:t>
                  </w:r>
                  <w:r>
                    <w:rPr>
                      <w:rFonts w:ascii="Calibri" w:eastAsia="Calibri" w:hAnsi="Calibri" w:cs="Calibri"/>
                      <w:color w:val="4F81BD"/>
                      <w:sz w:val="18"/>
                      <w:szCs w:val="18"/>
                    </w:rPr>
                    <w:tab/>
                    <w:t xml:space="preserve">– koszty wypadków drogowych, rannych i ofiar poniesione w całym okresie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analizy, w PLN,</w:t>
                  </w:r>
                </w:p>
                <w:p w14:paraId="72076AFE"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zt</w:t>
                  </w:r>
                  <w:proofErr w:type="spellEnd"/>
                  <w:r>
                    <w:rPr>
                      <w:rFonts w:ascii="Calibri" w:eastAsia="Calibri" w:hAnsi="Calibri" w:cs="Calibri"/>
                      <w:color w:val="4F81BD"/>
                      <w:sz w:val="18"/>
                      <w:szCs w:val="18"/>
                    </w:rPr>
                    <w:tab/>
                    <w:t>– jednostkowe koszty zabitych w danym roku, w PLN,</w:t>
                  </w:r>
                </w:p>
                <w:p w14:paraId="21A08750"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rt</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rPr>
                    <w:tab/>
                    <w:t>– jednostkowe koszty lekko rannych w danym roku, w PLN,</w:t>
                  </w:r>
                </w:p>
                <w:p w14:paraId="2673D76A"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crt</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rPr>
                    <w:tab/>
                    <w:t>– jednostkowe koszty ciężko rannych w danym roku, w PLN,</w:t>
                  </w:r>
                </w:p>
                <w:p w14:paraId="451BBEB2"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mt</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rPr>
                    <w:tab/>
                    <w:t>– jednostkowe koszty strat materialnych w danym roku, w PLN,</w:t>
                  </w:r>
                </w:p>
                <w:p w14:paraId="546F8D8D"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a</w:t>
                  </w:r>
                  <w:r>
                    <w:rPr>
                      <w:rFonts w:ascii="Calibri" w:eastAsia="Calibri" w:hAnsi="Calibri" w:cs="Calibri"/>
                      <w:color w:val="4F81BD"/>
                      <w:sz w:val="18"/>
                      <w:szCs w:val="18"/>
                      <w:vertAlign w:val="subscript"/>
                    </w:rPr>
                    <w:t>zt</w:t>
                  </w:r>
                  <w:proofErr w:type="spellEnd"/>
                  <w:r>
                    <w:rPr>
                      <w:rFonts w:ascii="Calibri" w:eastAsia="Calibri" w:hAnsi="Calibri" w:cs="Calibri"/>
                      <w:color w:val="4F81BD"/>
                      <w:sz w:val="18"/>
                      <w:szCs w:val="18"/>
                    </w:rPr>
                    <w:tab/>
                    <w:t>– liczba zabitych w danym roku,</w:t>
                  </w:r>
                </w:p>
                <w:p w14:paraId="569640B9"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a</w:t>
                  </w:r>
                  <w:r>
                    <w:rPr>
                      <w:rFonts w:ascii="Calibri" w:eastAsia="Calibri" w:hAnsi="Calibri" w:cs="Calibri"/>
                      <w:color w:val="4F81BD"/>
                      <w:sz w:val="18"/>
                      <w:szCs w:val="18"/>
                      <w:vertAlign w:val="subscript"/>
                    </w:rPr>
                    <w:t>lrt</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rPr>
                    <w:tab/>
                    <w:t>– liczba lekko rannych w danym roku,</w:t>
                  </w:r>
                </w:p>
                <w:p w14:paraId="5D3DE5A0"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a</w:t>
                  </w:r>
                  <w:r>
                    <w:rPr>
                      <w:rFonts w:ascii="Calibri" w:eastAsia="Calibri" w:hAnsi="Calibri" w:cs="Calibri"/>
                      <w:color w:val="4F81BD"/>
                      <w:sz w:val="18"/>
                      <w:szCs w:val="18"/>
                      <w:vertAlign w:val="subscript"/>
                    </w:rPr>
                    <w:t>crt</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rPr>
                    <w:tab/>
                    <w:t>– liczba ciężko rannych w danym roku,</w:t>
                  </w:r>
                </w:p>
                <w:p w14:paraId="2A9F24F6"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a</w:t>
                  </w:r>
                  <w:r>
                    <w:rPr>
                      <w:rFonts w:ascii="Calibri" w:eastAsia="Calibri" w:hAnsi="Calibri" w:cs="Calibri"/>
                      <w:color w:val="4F81BD"/>
                      <w:sz w:val="18"/>
                      <w:szCs w:val="18"/>
                      <w:vertAlign w:val="subscript"/>
                    </w:rPr>
                    <w:t>mt</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rPr>
                    <w:tab/>
                    <w:t>– liczba wypadków drogowych ze stratami materialnymi w danym roku,</w:t>
                  </w:r>
                </w:p>
                <w:p w14:paraId="3659B22E" w14:textId="77777777" w:rsidR="00600DEE" w:rsidRDefault="00641FB5" w:rsidP="00B10112">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t</w:t>
                  </w:r>
                  <w:r>
                    <w:rPr>
                      <w:rFonts w:ascii="Calibri" w:eastAsia="Calibri" w:hAnsi="Calibri" w:cs="Calibri"/>
                      <w:color w:val="4F81BD"/>
                      <w:sz w:val="18"/>
                      <w:szCs w:val="18"/>
                      <w:vertAlign w:val="subscript"/>
                    </w:rPr>
                    <w:t xml:space="preserve">                        </w:t>
                  </w:r>
                  <w:r>
                    <w:rPr>
                      <w:rFonts w:ascii="Calibri" w:eastAsia="Calibri" w:hAnsi="Calibri" w:cs="Calibri"/>
                      <w:color w:val="4F81BD"/>
                      <w:sz w:val="18"/>
                      <w:szCs w:val="18"/>
                    </w:rPr>
                    <w:t>– kolejny rok analizy (okres analizy n=25).</w:t>
                  </w:r>
                </w:p>
                <w:p w14:paraId="2A156D1F" w14:textId="77777777" w:rsidR="00600DEE" w:rsidRDefault="00600DEE">
                  <w:pPr>
                    <w:pBdr>
                      <w:top w:val="nil"/>
                      <w:left w:val="nil"/>
                      <w:bottom w:val="nil"/>
                      <w:right w:val="nil"/>
                      <w:between w:val="nil"/>
                    </w:pBdr>
                    <w:spacing w:before="40" w:after="40"/>
                    <w:jc w:val="right"/>
                    <w:rPr>
                      <w:rFonts w:ascii="Calibri" w:eastAsia="Calibri" w:hAnsi="Calibri" w:cs="Calibri"/>
                      <w:color w:val="4F81BD"/>
                      <w:sz w:val="18"/>
                      <w:szCs w:val="18"/>
                    </w:rPr>
                  </w:pPr>
                </w:p>
              </w:tc>
            </w:tr>
          </w:tbl>
          <w:p w14:paraId="37CDF7E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highlight w:val="cyan"/>
              </w:rPr>
            </w:pPr>
            <w:r>
              <w:rPr>
                <w:rFonts w:ascii="Calibri" w:eastAsia="Calibri" w:hAnsi="Calibri" w:cs="Calibri"/>
                <w:b/>
                <w:i/>
                <w:color w:val="000000"/>
                <w:sz w:val="16"/>
                <w:szCs w:val="16"/>
              </w:rPr>
              <w:t>Źródło: opracowanie własne.</w:t>
            </w:r>
          </w:p>
          <w:p w14:paraId="73AC8AB8" w14:textId="77777777" w:rsidR="00600DEE" w:rsidRDefault="00641FB5">
            <w:pPr>
              <w:pBdr>
                <w:top w:val="nil"/>
                <w:left w:val="nil"/>
                <w:bottom w:val="nil"/>
                <w:right w:val="nil"/>
                <w:between w:val="nil"/>
              </w:pBdr>
              <w:spacing w:before="120"/>
              <w:jc w:val="both"/>
              <w:rPr>
                <w:rFonts w:ascii="Calibri" w:eastAsia="Calibri" w:hAnsi="Calibri" w:cs="Calibri"/>
                <w:color w:val="222222"/>
                <w:sz w:val="20"/>
                <w:szCs w:val="20"/>
              </w:rPr>
            </w:pPr>
            <w:r>
              <w:rPr>
                <w:rFonts w:ascii="Calibri" w:eastAsia="Calibri" w:hAnsi="Calibri" w:cs="Calibri"/>
                <w:color w:val="222222"/>
                <w:sz w:val="20"/>
                <w:szCs w:val="20"/>
              </w:rPr>
              <w:t xml:space="preserve">W załączniku E przedstawione są dwie uproszczone metody określania kosztów wypadków wraz z ich metodyką wyliczania. </w:t>
            </w:r>
            <w:r>
              <w:rPr>
                <w:rFonts w:ascii="Calibri" w:eastAsia="Calibri" w:hAnsi="Calibri" w:cs="Calibri"/>
                <w:b/>
                <w:color w:val="222222"/>
                <w:sz w:val="20"/>
                <w:szCs w:val="20"/>
              </w:rPr>
              <w:t>Obie metody powinny być stosowane wyłącznie dla celów AKK dla dróg zamiejskich</w:t>
            </w:r>
            <w:bookmarkStart w:id="68" w:name="_Ref91584565"/>
            <w:r>
              <w:rPr>
                <w:rFonts w:ascii="Calibri" w:eastAsia="Calibri" w:hAnsi="Calibri" w:cs="Calibri"/>
                <w:b/>
                <w:color w:val="222222"/>
                <w:sz w:val="20"/>
                <w:szCs w:val="20"/>
                <w:vertAlign w:val="superscript"/>
              </w:rPr>
              <w:footnoteReference w:id="10"/>
            </w:r>
            <w:bookmarkEnd w:id="68"/>
            <w:r>
              <w:rPr>
                <w:rFonts w:ascii="Calibri" w:eastAsia="Calibri" w:hAnsi="Calibri" w:cs="Calibri"/>
                <w:b/>
                <w:color w:val="222222"/>
                <w:sz w:val="20"/>
                <w:szCs w:val="20"/>
              </w:rPr>
              <w:t xml:space="preserve">, </w:t>
            </w:r>
            <w:r>
              <w:rPr>
                <w:rFonts w:ascii="Calibri" w:eastAsia="Calibri" w:hAnsi="Calibri" w:cs="Calibri"/>
                <w:color w:val="222222"/>
                <w:sz w:val="20"/>
                <w:szCs w:val="20"/>
              </w:rPr>
              <w:t xml:space="preserve">ciągów drogowych jedno- </w:t>
            </w:r>
            <w:r>
              <w:rPr>
                <w:rFonts w:ascii="Calibri" w:eastAsia="Calibri" w:hAnsi="Calibri" w:cs="Calibri"/>
                <w:color w:val="222222"/>
                <w:sz w:val="20"/>
                <w:szCs w:val="20"/>
              </w:rPr>
              <w:br/>
              <w:t xml:space="preserve">i dwujezdniowych o długości ok. 10 km lub większej oraz obwodnic. </w:t>
            </w:r>
            <w:r>
              <w:rPr>
                <w:rFonts w:ascii="Calibri" w:eastAsia="Calibri" w:hAnsi="Calibri" w:cs="Calibri"/>
                <w:color w:val="000000"/>
                <w:sz w:val="20"/>
                <w:szCs w:val="20"/>
              </w:rPr>
              <w:t xml:space="preserve">Dla dróg miejskich z transportem zbiorowym należy zapoznać się z </w:t>
            </w:r>
            <w:r>
              <w:rPr>
                <w:rFonts w:ascii="Calibri" w:eastAsia="Calibri" w:hAnsi="Calibri" w:cs="Calibri"/>
                <w:color w:val="222222"/>
                <w:sz w:val="20"/>
                <w:szCs w:val="20"/>
              </w:rPr>
              <w:t>‘’Niebieską Księgą dla Transportu Publicznego’’)</w:t>
            </w:r>
            <w:r>
              <w:rPr>
                <w:rFonts w:ascii="Calibri" w:eastAsia="Calibri" w:hAnsi="Calibri" w:cs="Calibri"/>
                <w:color w:val="000000"/>
                <w:sz w:val="20"/>
                <w:szCs w:val="20"/>
              </w:rPr>
              <w:t>.</w:t>
            </w:r>
          </w:p>
          <w:p w14:paraId="3D52B652" w14:textId="79228D4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222222"/>
                <w:sz w:val="20"/>
                <w:szCs w:val="20"/>
              </w:rPr>
              <w:t>Metody te opierają się o </w:t>
            </w:r>
            <w:r>
              <w:rPr>
                <w:rFonts w:ascii="Calibri" w:eastAsia="Calibri" w:hAnsi="Calibri" w:cs="Calibri"/>
                <w:color w:val="000000"/>
                <w:sz w:val="20"/>
                <w:szCs w:val="20"/>
              </w:rPr>
              <w:t xml:space="preserve">krajową metodę prognozowania wskaźników bezpieczeństwa ruchu drogowego (metoda wskaźników BRD), przygotowaną </w:t>
            </w:r>
            <w:r>
              <w:rPr>
                <w:rFonts w:ascii="Calibri" w:eastAsia="Calibri" w:hAnsi="Calibri" w:cs="Calibri"/>
                <w:color w:val="000000"/>
                <w:sz w:val="20"/>
                <w:szCs w:val="20"/>
              </w:rPr>
              <w:br/>
              <w:t xml:space="preserve">w ramach zleconej przez GDDKiA w 2012 r. pracy badawczej wykonanej przez konsorcjum Fundacji Rozwoju Inżynierii Lądowej w Gdańsku, Politechniki Gdańskiej oraz Politechniki Krakowskiej. </w:t>
            </w:r>
          </w:p>
          <w:p w14:paraId="29293CD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 pierwszej metodzie wykorzystana została metodyka oparta o prawdopodobieństwo wystąpienia wypadku (w odniesieniu do pracy przewozowej wyrażonej w </w:t>
            </w:r>
            <w:proofErr w:type="spellStart"/>
            <w:r>
              <w:rPr>
                <w:rFonts w:ascii="Calibri" w:eastAsia="Calibri" w:hAnsi="Calibri" w:cs="Calibri"/>
                <w:color w:val="000000"/>
                <w:sz w:val="20"/>
                <w:szCs w:val="20"/>
              </w:rPr>
              <w:t>poj</w:t>
            </w:r>
            <w:proofErr w:type="spellEnd"/>
            <w:r>
              <w:rPr>
                <w:rFonts w:ascii="Calibri" w:eastAsia="Calibri" w:hAnsi="Calibri" w:cs="Calibri"/>
                <w:color w:val="000000"/>
                <w:sz w:val="20"/>
                <w:szCs w:val="20"/>
              </w:rPr>
              <w:t>-km) oraz wskaźniki dotkliwości wypadków (ofiary śmiertelne, lekko ranni, ciężko ranni) dla danej kategorii drogi. W załączniku E zostały zamieszczone tabele ze względnymi wskaźnikami wypadkowości RAI, przygotowane na podstawie metody wskaźników BRD (opisanej poniżej) oraz wskaźniki dotkliwości wypadków wyliczone w oparciu o wyniki najnowszych badań.</w:t>
            </w:r>
          </w:p>
          <w:p w14:paraId="2E0F977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222222"/>
                <w:sz w:val="20"/>
                <w:szCs w:val="20"/>
              </w:rPr>
              <w:t>Druga metoda (wskaźników BRD) jest uproszczeniem wspomnianej powyżej metody przedstawionej w pracy badawczej wykonanej na zlecenie GDDKiA.</w:t>
            </w:r>
            <w:r>
              <w:rPr>
                <w:rFonts w:ascii="Calibri" w:eastAsia="Calibri" w:hAnsi="Calibri" w:cs="Calibri"/>
                <w:color w:val="000000"/>
                <w:sz w:val="20"/>
                <w:szCs w:val="20"/>
              </w:rPr>
              <w:t xml:space="preserve"> W metodzie tej wprowadzono pojęcie miar BRD, które są miarami wielkości strat społecznych (liczba wypadków, liczba lekko rannych, liczba ciężko rannych, liczba ofiar śmiertelnych). Szczegóły dotyczące tej metody oraz uproszczone tabele ze współczynnikami dla tej metody znajdują się w załączniku E.</w:t>
            </w:r>
          </w:p>
          <w:p w14:paraId="2731784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Wszystkie jednostkowe koszty ekonomiczne wypadków, lekko rannych, ciężko rannych, zabitych i strat materialnych zamieszczone są w załączniku A - Jednostkowe koszty, ekonomiczne i finansowe. Wartości kosztów jednostkowych prognozowane w kolejnych latach także zawarto w tym załączniku.</w:t>
            </w:r>
          </w:p>
          <w:p w14:paraId="2FE03EC5" w14:textId="55C194BF" w:rsidR="00600DEE" w:rsidRDefault="00641FB5">
            <w:pPr>
              <w:pBdr>
                <w:top w:val="nil"/>
                <w:left w:val="nil"/>
                <w:bottom w:val="nil"/>
                <w:right w:val="nil"/>
                <w:between w:val="nil"/>
              </w:pBdr>
              <w:spacing w:before="120"/>
              <w:jc w:val="both"/>
              <w:rPr>
                <w:rFonts w:ascii="Calibri" w:eastAsia="Calibri" w:hAnsi="Calibri" w:cs="Calibri"/>
                <w:color w:val="0000FF"/>
                <w:sz w:val="20"/>
                <w:szCs w:val="20"/>
                <w:u w:val="single"/>
              </w:rPr>
            </w:pPr>
            <w:r>
              <w:rPr>
                <w:rFonts w:ascii="Calibri" w:eastAsia="Calibri" w:hAnsi="Calibri" w:cs="Calibri"/>
                <w:color w:val="000000"/>
                <w:sz w:val="20"/>
                <w:szCs w:val="20"/>
              </w:rPr>
              <w:t xml:space="preserve">Niektóre źródła danych (np. statystyki GUS) nie rozróżniają lekko i ciężko rannych. W takim przypadku należałoby odpowiednie koszty jednostkowe podane w Załączniku A uśrednić na podstawie danych policyjnych dotyczących udziału ciężkich i lekkich obrażeń w wypadkach drogowych. Takie dane są również dostępne w rocznych raportach Krajowej Rady Bezpieczeństwa Ruchu Drogowego, </w:t>
            </w:r>
            <w:hyperlink r:id="rId122">
              <w:r>
                <w:rPr>
                  <w:rFonts w:ascii="Calibri" w:eastAsia="Calibri" w:hAnsi="Calibri" w:cs="Calibri"/>
                  <w:color w:val="0000FF"/>
                  <w:sz w:val="20"/>
                  <w:szCs w:val="20"/>
                  <w:u w:val="single"/>
                </w:rPr>
                <w:t>https://www.krbrd.gov.pl/baza-wiedzy/raporty-o-stanie-brd/</w:t>
              </w:r>
            </w:hyperlink>
          </w:p>
          <w:p w14:paraId="4F7E41D7" w14:textId="39B0A68E" w:rsidR="006C2564" w:rsidRDefault="006C2564">
            <w:pPr>
              <w:pBdr>
                <w:top w:val="nil"/>
                <w:left w:val="nil"/>
                <w:bottom w:val="nil"/>
                <w:right w:val="nil"/>
                <w:between w:val="nil"/>
              </w:pBdr>
              <w:spacing w:before="120"/>
              <w:jc w:val="both"/>
              <w:rPr>
                <w:rFonts w:ascii="Calibri" w:eastAsia="Calibri" w:hAnsi="Calibri" w:cs="Calibri"/>
                <w:color w:val="0000FF"/>
                <w:sz w:val="20"/>
                <w:szCs w:val="20"/>
                <w:u w:val="single"/>
              </w:rPr>
            </w:pPr>
          </w:p>
          <w:p w14:paraId="48F25A12" w14:textId="14763F21" w:rsidR="006C2564" w:rsidRDefault="006C2564">
            <w:pPr>
              <w:pBdr>
                <w:top w:val="nil"/>
                <w:left w:val="nil"/>
                <w:bottom w:val="nil"/>
                <w:right w:val="nil"/>
                <w:between w:val="nil"/>
              </w:pBdr>
              <w:spacing w:before="120"/>
              <w:jc w:val="both"/>
              <w:rPr>
                <w:rFonts w:ascii="Calibri" w:eastAsia="Calibri" w:hAnsi="Calibri" w:cs="Calibri"/>
                <w:color w:val="0000FF"/>
                <w:sz w:val="20"/>
                <w:szCs w:val="20"/>
                <w:u w:val="single"/>
              </w:rPr>
            </w:pPr>
          </w:p>
          <w:p w14:paraId="17609F9F" w14:textId="70D846F0" w:rsidR="006C2564" w:rsidRDefault="006C2564">
            <w:pPr>
              <w:pBdr>
                <w:top w:val="nil"/>
                <w:left w:val="nil"/>
                <w:bottom w:val="nil"/>
                <w:right w:val="nil"/>
                <w:between w:val="nil"/>
              </w:pBdr>
              <w:spacing w:before="120"/>
              <w:jc w:val="both"/>
              <w:rPr>
                <w:rFonts w:ascii="Calibri" w:eastAsia="Calibri" w:hAnsi="Calibri" w:cs="Calibri"/>
                <w:color w:val="0000FF"/>
                <w:sz w:val="20"/>
                <w:szCs w:val="20"/>
                <w:u w:val="single"/>
              </w:rPr>
            </w:pPr>
          </w:p>
          <w:p w14:paraId="34265D86" w14:textId="77777777" w:rsidR="006C2564" w:rsidRDefault="006C2564">
            <w:pPr>
              <w:pBdr>
                <w:top w:val="nil"/>
                <w:left w:val="nil"/>
                <w:bottom w:val="nil"/>
                <w:right w:val="nil"/>
                <w:between w:val="nil"/>
              </w:pBdr>
              <w:spacing w:before="120"/>
              <w:jc w:val="both"/>
              <w:rPr>
                <w:rFonts w:ascii="Calibri" w:eastAsia="Calibri" w:hAnsi="Calibri" w:cs="Calibri"/>
                <w:color w:val="000000"/>
                <w:sz w:val="20"/>
                <w:szCs w:val="20"/>
                <w:highlight w:val="yellow"/>
              </w:rPr>
            </w:pPr>
          </w:p>
          <w:p w14:paraId="48D4D28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c>
          <w:tcPr>
            <w:tcW w:w="7366" w:type="dxa"/>
            <w:tcBorders>
              <w:left w:val="single" w:sz="4" w:space="0" w:color="000000"/>
            </w:tcBorders>
            <w:tcMar>
              <w:left w:w="284" w:type="dxa"/>
              <w:right w:w="284" w:type="dxa"/>
            </w:tcMar>
          </w:tcPr>
          <w:p w14:paraId="279D390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costs of road accidents for all analysed options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and W0) include the costs incurred by all vehicle occupants and related vehicle damages resulting from any </w:t>
            </w:r>
            <w:r w:rsidRPr="0045151D">
              <w:rPr>
                <w:rFonts w:ascii="Calibri" w:eastAsia="Calibri" w:hAnsi="Calibri" w:cs="Calibri"/>
                <w:color w:val="000000"/>
                <w:sz w:val="20"/>
                <w:szCs w:val="20"/>
                <w:lang w:val="en-GB"/>
              </w:rPr>
              <w:lastRenderedPageBreak/>
              <w:t>accident on roads under analysis, including those roads outside the project where the number of accidents changes as a result of the analysed project.</w:t>
            </w:r>
          </w:p>
          <w:p w14:paraId="55A2371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of accidents under each scenario distinguish:</w:t>
            </w:r>
          </w:p>
          <w:p w14:paraId="4B280389"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fatalities in road accidents,</w:t>
            </w:r>
          </w:p>
          <w:p w14:paraId="591C6F9E"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slightly injured in road accidents,</w:t>
            </w:r>
          </w:p>
          <w:p w14:paraId="32F2D9DD"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seriously injured in road accidents, and</w:t>
            </w:r>
          </w:p>
          <w:p w14:paraId="299CC87B"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material damage costs (incurred in accidents involving injuries and/or fatalities).</w:t>
            </w:r>
          </w:p>
          <w:p w14:paraId="7EC3DE5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costs considered in the analysis include the following aspects: loss of productivity; administrative and court costs; material losses; employers’ losses; costs of hospitalization; funeral costs, costs compensations and redress. The intangible costs of pain and human suffering are not included.  </w:t>
            </w:r>
          </w:p>
          <w:p w14:paraId="3B3495C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Economic benefits of accident savings (resulting from road safety conditions improvements) are calculated as the difference between the total cost of accident consequences in the “without-the-project” option and the “with-the-project” option.</w:t>
            </w:r>
          </w:p>
          <w:p w14:paraId="6B62D0B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8EE5CD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B6B917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8B896BC"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C7BAB1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F5FC12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7813A8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EE1002F"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8D0E8A9" w14:textId="2F2FE721" w:rsidR="00600DEE"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C2B88D" w14:textId="0FC0829E" w:rsidR="00B10112"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675FAFC7" w14:textId="7B31B355" w:rsidR="00B10112"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3CB9CB0D" w14:textId="77777777" w:rsidR="00B10112" w:rsidRPr="0045151D"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717A7036" w14:textId="6EAE6720" w:rsidR="00600DEE" w:rsidRPr="0045151D" w:rsidRDefault="00B10112">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lastRenderedPageBreak/>
              <w:t>Table 19</w:t>
            </w:r>
            <w:r w:rsidR="00641FB5" w:rsidRPr="0045151D">
              <w:rPr>
                <w:rFonts w:ascii="Calibri" w:eastAsia="Calibri" w:hAnsi="Calibri" w:cs="Calibri"/>
                <w:b/>
                <w:color w:val="4F81BD"/>
                <w:sz w:val="20"/>
                <w:szCs w:val="20"/>
                <w:lang w:val="en-GB"/>
              </w:rPr>
              <w:t>. Formula for calculating accident costs</w:t>
            </w:r>
          </w:p>
          <w:tbl>
            <w:tblPr>
              <w:tblStyle w:val="affffc"/>
              <w:tblW w:w="69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9"/>
            </w:tblGrid>
            <w:tr w:rsidR="00600DEE" w:rsidRPr="007463B9" w14:paraId="1B145CA8" w14:textId="77777777" w:rsidTr="006C2564">
              <w:trPr>
                <w:trHeight w:hRule="exact" w:val="4706"/>
              </w:trPr>
              <w:tc>
                <w:tcPr>
                  <w:tcW w:w="6939" w:type="dxa"/>
                  <w:shd w:val="clear" w:color="auto" w:fill="DBE5F1"/>
                </w:tcPr>
                <w:p w14:paraId="012FB923" w14:textId="77777777" w:rsidR="00600DEE" w:rsidRDefault="00641FB5">
                  <w:pPr>
                    <w:shd w:val="clear" w:color="auto" w:fill="DBE5F1"/>
                    <w:spacing w:before="120" w:after="200" w:line="276" w:lineRule="auto"/>
                    <w:jc w:val="center"/>
                    <w:rPr>
                      <w:rFonts w:ascii="Calibri" w:eastAsia="Calibri" w:hAnsi="Calibri" w:cs="Calibri"/>
                      <w:color w:val="4F81BD"/>
                    </w:rPr>
                  </w:pPr>
                  <w:r>
                    <w:rPr>
                      <w:rFonts w:ascii="Calibri" w:eastAsia="Calibri" w:hAnsi="Calibri" w:cs="Calibri"/>
                      <w:color w:val="4F81BD"/>
                      <w:sz w:val="36"/>
                      <w:szCs w:val="36"/>
                      <w:vertAlign w:val="subscript"/>
                    </w:rPr>
                    <w:object w:dxaOrig="5048" w:dyaOrig="728" w14:anchorId="5ABC3BF8">
                      <v:shape id="_x0000_i1034" type="#_x0000_t75" style="width:252.45pt;height:36.45pt" o:ole="" filled="t">
                        <v:fill color2="black"/>
                        <v:imagedata r:id="rId123" o:title=""/>
                      </v:shape>
                      <o:OLEObject Type="Embed" ProgID="Equation.3" ShapeID="_x0000_i1034" DrawAspect="Content" ObjectID="_1708947476" r:id="rId124"/>
                    </w:object>
                  </w:r>
                </w:p>
                <w:p w14:paraId="1EDE2E63"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4CA6480F" w14:textId="77777777" w:rsidR="00600DEE" w:rsidRPr="0045151D" w:rsidRDefault="00600DEE"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
                <w:p w14:paraId="2227405B"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i/>
                      <w:color w:val="4F81BD"/>
                      <w:sz w:val="18"/>
                      <w:szCs w:val="18"/>
                      <w:lang w:val="en-GB"/>
                    </w:rPr>
                    <w:t>K</w:t>
                  </w:r>
                  <w:r w:rsidRPr="0045151D">
                    <w:rPr>
                      <w:rFonts w:ascii="Calibri" w:eastAsia="Calibri" w:hAnsi="Calibri" w:cs="Calibri"/>
                      <w:i/>
                      <w:color w:val="4F81BD"/>
                      <w:sz w:val="18"/>
                      <w:szCs w:val="18"/>
                      <w:vertAlign w:val="subscript"/>
                      <w:lang w:val="en-GB"/>
                    </w:rPr>
                    <w:t xml:space="preserve">W                    </w:t>
                  </w:r>
                  <w:r w:rsidRPr="0045151D">
                    <w:rPr>
                      <w:rFonts w:ascii="Calibri" w:eastAsia="Calibri" w:hAnsi="Calibri" w:cs="Calibri"/>
                      <w:color w:val="4F81BD"/>
                      <w:sz w:val="18"/>
                      <w:szCs w:val="18"/>
                      <w:lang w:val="en-GB"/>
                    </w:rPr>
                    <w:t>–</w:t>
                  </w:r>
                  <w:r w:rsidRPr="0045151D">
                    <w:rPr>
                      <w:rFonts w:ascii="Calibri" w:eastAsia="Calibri" w:hAnsi="Calibri" w:cs="Calibri"/>
                      <w:i/>
                      <w:color w:val="4F81BD"/>
                      <w:sz w:val="18"/>
                      <w:szCs w:val="18"/>
                      <w:lang w:val="en-GB"/>
                    </w:rPr>
                    <w:t xml:space="preserve"> </w:t>
                  </w:r>
                  <w:r w:rsidRPr="0045151D">
                    <w:rPr>
                      <w:rFonts w:ascii="Calibri" w:eastAsia="Calibri" w:hAnsi="Calibri" w:cs="Calibri"/>
                      <w:color w:val="4F81BD"/>
                      <w:sz w:val="18"/>
                      <w:szCs w:val="18"/>
                      <w:lang w:val="en-GB"/>
                    </w:rPr>
                    <w:t xml:space="preserve">costs of road accidents, injuries and fatalities incurred over the whole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analysis period, in PLN,</w:t>
                  </w:r>
                </w:p>
                <w:p w14:paraId="56DC9735"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zt</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unit costs of fatalities in the year, in PLN.</w:t>
                  </w:r>
                </w:p>
                <w:p w14:paraId="67A1B646"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i/>
                      <w:color w:val="4F81BD"/>
                      <w:sz w:val="18"/>
                      <w:szCs w:val="18"/>
                      <w:vertAlign w:val="subscript"/>
                      <w:lang w:val="en-GB"/>
                    </w:rPr>
                    <w:t>rt</w:t>
                  </w:r>
                  <w:proofErr w:type="spellEnd"/>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unit costs of slightly injured in the year, in PLN,</w:t>
                  </w:r>
                </w:p>
                <w:p w14:paraId="41DA9C75"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crt</w:t>
                  </w:r>
                  <w:proofErr w:type="spellEnd"/>
                  <w:r w:rsidRPr="0045151D">
                    <w:rPr>
                      <w:rFonts w:ascii="Calibri" w:eastAsia="Calibri" w:hAnsi="Calibri" w:cs="Calibri"/>
                      <w:color w:val="4F81BD"/>
                      <w:sz w:val="18"/>
                      <w:szCs w:val="18"/>
                      <w:lang w:val="en-GB"/>
                    </w:rPr>
                    <w:t xml:space="preserve">             – unit costs of seriously injured in the year, in PLN,</w:t>
                  </w:r>
                </w:p>
                <w:p w14:paraId="7AB10619"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mt</w:t>
                  </w:r>
                  <w:proofErr w:type="spellEnd"/>
                  <w:r w:rsidRPr="0045151D">
                    <w:rPr>
                      <w:rFonts w:ascii="Calibri" w:eastAsia="Calibri" w:hAnsi="Calibri" w:cs="Calibri"/>
                      <w:color w:val="4F81BD"/>
                      <w:sz w:val="18"/>
                      <w:szCs w:val="18"/>
                      <w:lang w:val="en-GB"/>
                    </w:rPr>
                    <w:t xml:space="preserve">             – unit cost of material losses in the year, in PLN,</w:t>
                  </w:r>
                </w:p>
                <w:p w14:paraId="7443E5DD"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a</w:t>
                  </w:r>
                  <w:r w:rsidRPr="0045151D">
                    <w:rPr>
                      <w:rFonts w:ascii="Calibri" w:eastAsia="Calibri" w:hAnsi="Calibri" w:cs="Calibri"/>
                      <w:color w:val="4F81BD"/>
                      <w:sz w:val="18"/>
                      <w:szCs w:val="18"/>
                      <w:vertAlign w:val="subscript"/>
                      <w:lang w:val="en-GB"/>
                    </w:rPr>
                    <w:t>zt</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number of fatalities in the year,</w:t>
                  </w:r>
                </w:p>
                <w:p w14:paraId="6BD647FE"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a</w:t>
                  </w:r>
                  <w:r w:rsidRPr="0045151D">
                    <w:rPr>
                      <w:rFonts w:ascii="Calibri" w:eastAsia="Calibri" w:hAnsi="Calibri" w:cs="Calibri"/>
                      <w:color w:val="4F81BD"/>
                      <w:sz w:val="18"/>
                      <w:szCs w:val="18"/>
                      <w:vertAlign w:val="subscript"/>
                      <w:lang w:val="en-GB"/>
                    </w:rPr>
                    <w:t>lrt</w:t>
                  </w:r>
                  <w:proofErr w:type="spellEnd"/>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number of slightly injured in the year,</w:t>
                  </w:r>
                </w:p>
                <w:p w14:paraId="1694CD18"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a</w:t>
                  </w:r>
                  <w:r w:rsidRPr="0045151D">
                    <w:rPr>
                      <w:rFonts w:ascii="Calibri" w:eastAsia="Calibri" w:hAnsi="Calibri" w:cs="Calibri"/>
                      <w:color w:val="4F81BD"/>
                      <w:sz w:val="18"/>
                      <w:szCs w:val="18"/>
                      <w:vertAlign w:val="subscript"/>
                      <w:lang w:val="en-GB"/>
                    </w:rPr>
                    <w:t>crt</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number of seriously injured in the year,</w:t>
                  </w:r>
                </w:p>
                <w:p w14:paraId="658CC1E5"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w:t>
                  </w:r>
                  <w:r w:rsidRPr="0045151D">
                    <w:rPr>
                      <w:rFonts w:ascii="Calibri" w:eastAsia="Calibri" w:hAnsi="Calibri" w:cs="Calibri"/>
                      <w:i/>
                      <w:color w:val="4F81BD"/>
                      <w:sz w:val="18"/>
                      <w:szCs w:val="18"/>
                      <w:vertAlign w:val="subscript"/>
                      <w:lang w:val="en-GB"/>
                    </w:rPr>
                    <w:t>mt</w:t>
                  </w:r>
                  <w:r w:rsidRPr="0045151D">
                    <w:rPr>
                      <w:rFonts w:ascii="Calibri" w:eastAsia="Calibri" w:hAnsi="Calibri" w:cs="Calibri"/>
                      <w:i/>
                      <w:color w:val="4F81BD"/>
                      <w:sz w:val="18"/>
                      <w:szCs w:val="18"/>
                      <w:lang w:val="en-GB"/>
                    </w:rPr>
                    <w:t xml:space="preserve">            </w:t>
                  </w:r>
                  <w:r w:rsidRPr="0045151D">
                    <w:rPr>
                      <w:rFonts w:ascii="Calibri" w:eastAsia="Calibri" w:hAnsi="Calibri" w:cs="Calibri"/>
                      <w:i/>
                      <w:color w:val="4F81BD"/>
                      <w:sz w:val="18"/>
                      <w:szCs w:val="18"/>
                      <w:vertAlign w:val="superscript"/>
                      <w:lang w:val="en-GB"/>
                    </w:rPr>
                    <w:t xml:space="preserve"> </w:t>
                  </w:r>
                  <w:r w:rsidRPr="0045151D">
                    <w:rPr>
                      <w:rFonts w:ascii="Calibri" w:eastAsia="Calibri" w:hAnsi="Calibri" w:cs="Calibri"/>
                      <w:i/>
                      <w:color w:val="4F81BD"/>
                      <w:sz w:val="18"/>
                      <w:szCs w:val="18"/>
                      <w:lang w:val="en-GB"/>
                    </w:rPr>
                    <w:t xml:space="preserve"> </w:t>
                  </w:r>
                  <w:r w:rsidRPr="0045151D">
                    <w:rPr>
                      <w:rFonts w:ascii="Calibri" w:eastAsia="Calibri" w:hAnsi="Calibri" w:cs="Calibri"/>
                      <w:color w:val="4F81BD"/>
                      <w:sz w:val="18"/>
                      <w:szCs w:val="18"/>
                      <w:lang w:val="en-GB"/>
                    </w:rPr>
                    <w:t>– number of traffic accidents with material damage in the year,</w:t>
                  </w:r>
                </w:p>
                <w:p w14:paraId="63F76686"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w:t>
                  </w:r>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xml:space="preserve">– number of the year of the analysis period (being n=25). </w:t>
                  </w:r>
                </w:p>
                <w:p w14:paraId="252517F2" w14:textId="77777777" w:rsidR="00600DEE" w:rsidRPr="0045151D" w:rsidRDefault="00600DEE">
                  <w:pPr>
                    <w:pBdr>
                      <w:top w:val="nil"/>
                      <w:left w:val="nil"/>
                      <w:bottom w:val="nil"/>
                      <w:right w:val="nil"/>
                      <w:between w:val="nil"/>
                    </w:pBdr>
                    <w:spacing w:before="40" w:after="40"/>
                    <w:jc w:val="right"/>
                    <w:rPr>
                      <w:rFonts w:ascii="Calibri" w:eastAsia="Calibri" w:hAnsi="Calibri" w:cs="Calibri"/>
                      <w:color w:val="4F81BD"/>
                      <w:sz w:val="18"/>
                      <w:szCs w:val="18"/>
                      <w:lang w:val="en-GB"/>
                    </w:rPr>
                  </w:pPr>
                </w:p>
              </w:tc>
            </w:tr>
          </w:tbl>
          <w:p w14:paraId="7733664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09E7BC6A" w14:textId="0BF5AF42"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Two simplified methods for accident costs estimations are proposed together with their respective calculation method described in Appendix E. </w:t>
            </w:r>
            <w:r w:rsidRPr="0045151D">
              <w:rPr>
                <w:rFonts w:ascii="Calibri" w:eastAsia="Calibri" w:hAnsi="Calibri" w:cs="Calibri"/>
                <w:b/>
                <w:color w:val="000000"/>
                <w:sz w:val="20"/>
                <w:szCs w:val="20"/>
                <w:lang w:val="en-GB"/>
              </w:rPr>
              <w:t>Both methods should be used only for CBA purposes for non-urban roads</w:t>
            </w:r>
            <w:r w:rsidR="00CB25CC" w:rsidRPr="00CB25CC">
              <w:rPr>
                <w:rFonts w:ascii="Calibri" w:eastAsia="Calibri" w:hAnsi="Calibri" w:cs="Calibri"/>
                <w:b/>
                <w:color w:val="000000"/>
                <w:sz w:val="20"/>
                <w:szCs w:val="20"/>
                <w:vertAlign w:val="superscript"/>
                <w:lang w:val="en-US"/>
              </w:rPr>
              <w:t>10</w:t>
            </w:r>
            <w:r w:rsidRPr="0045151D">
              <w:rPr>
                <w:rFonts w:ascii="Calibri" w:eastAsia="Calibri" w:hAnsi="Calibri" w:cs="Calibri"/>
                <w:color w:val="000000"/>
                <w:sz w:val="20"/>
                <w:szCs w:val="20"/>
                <w:lang w:val="en-GB"/>
              </w:rPr>
              <w:t>, single and dual carriageways of a length of about 10 km or more and by-passes. For urban roads with public t</w:t>
            </w:r>
            <w:r w:rsidR="00CB25CC">
              <w:rPr>
                <w:rFonts w:ascii="Calibri" w:eastAsia="Calibri" w:hAnsi="Calibri" w:cs="Calibri"/>
                <w:color w:val="000000"/>
                <w:sz w:val="20"/>
                <w:szCs w:val="20"/>
                <w:lang w:val="en-GB"/>
              </w:rPr>
              <w:t>ransport</w:t>
            </w:r>
            <w:r w:rsidRPr="0045151D">
              <w:rPr>
                <w:rFonts w:ascii="Calibri" w:eastAsia="Calibri" w:hAnsi="Calibri" w:cs="Calibri"/>
                <w:color w:val="000000"/>
                <w:sz w:val="20"/>
                <w:szCs w:val="20"/>
                <w:lang w:val="en-GB"/>
              </w:rPr>
              <w:t xml:space="preserve"> please refer to ‘’Public Transport Blue Book’’.</w:t>
            </w:r>
          </w:p>
          <w:p w14:paraId="1A33E37C" w14:textId="2596B2B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Both methods are based on the national Road Safety indicators forecasting method (RS indicat</w:t>
            </w:r>
            <w:r w:rsidR="00CB25CC">
              <w:rPr>
                <w:rFonts w:ascii="Calibri" w:eastAsia="Calibri" w:hAnsi="Calibri" w:cs="Calibri"/>
                <w:color w:val="000000"/>
                <w:sz w:val="20"/>
                <w:szCs w:val="20"/>
                <w:lang w:val="en-GB"/>
              </w:rPr>
              <w:t>ors method) developed under the</w:t>
            </w:r>
            <w:r w:rsidRPr="0045151D">
              <w:rPr>
                <w:rFonts w:ascii="Calibri" w:eastAsia="Calibri" w:hAnsi="Calibri" w:cs="Calibri"/>
                <w:color w:val="000000"/>
                <w:sz w:val="20"/>
                <w:szCs w:val="20"/>
                <w:lang w:val="en-GB"/>
              </w:rPr>
              <w:t xml:space="preserve"> 2012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-commissioned research project carried out by a consortium of the Foundation for Development of Civil Engineering in Gdansk, Gdansk University of Technology and Cracow University of Technology.</w:t>
            </w:r>
          </w:p>
          <w:p w14:paraId="53AACFA2" w14:textId="6095D11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first proposed method is based on calculation of probability parameters (i.e. accidents per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-km) and accident severity factors per type of event (fatalities, slightly injured, seriously injured), all depending on the type of road. Appendix E</w:t>
            </w:r>
            <w:r w:rsidRPr="0045151D">
              <w:rPr>
                <w:rFonts w:ascii="Calibri" w:eastAsia="Calibri" w:hAnsi="Calibri" w:cs="Calibri"/>
                <w:color w:val="222222"/>
                <w:sz w:val="20"/>
                <w:szCs w:val="20"/>
                <w:lang w:val="en-GB"/>
              </w:rPr>
              <w:t xml:space="preserve">  describes the method application and presents (</w:t>
            </w:r>
            <w:proofErr w:type="spellStart"/>
            <w:r w:rsidRPr="0045151D">
              <w:rPr>
                <w:rFonts w:ascii="Calibri" w:eastAsia="Calibri" w:hAnsi="Calibri" w:cs="Calibri"/>
                <w:color w:val="222222"/>
                <w:sz w:val="20"/>
                <w:szCs w:val="20"/>
                <w:lang w:val="en-GB"/>
              </w:rPr>
              <w:t>i</w:t>
            </w:r>
            <w:proofErr w:type="spellEnd"/>
            <w:r w:rsidRPr="0045151D">
              <w:rPr>
                <w:rFonts w:ascii="Calibri" w:eastAsia="Calibri" w:hAnsi="Calibri" w:cs="Calibri"/>
                <w:color w:val="222222"/>
                <w:sz w:val="20"/>
                <w:szCs w:val="20"/>
                <w:lang w:val="en-GB"/>
              </w:rPr>
              <w:t>) the tables with Rel</w:t>
            </w:r>
            <w:r w:rsidR="00CB25CC">
              <w:rPr>
                <w:rFonts w:ascii="Calibri" w:eastAsia="Calibri" w:hAnsi="Calibri" w:cs="Calibri"/>
                <w:color w:val="222222"/>
                <w:sz w:val="20"/>
                <w:szCs w:val="20"/>
                <w:lang w:val="en-GB"/>
              </w:rPr>
              <w:t>ative Accident Indicators (RAI)</w:t>
            </w:r>
            <w:r w:rsidRPr="0045151D">
              <w:rPr>
                <w:rFonts w:ascii="Calibri" w:eastAsia="Calibri" w:hAnsi="Calibri" w:cs="Calibri"/>
                <w:color w:val="222222"/>
                <w:sz w:val="20"/>
                <w:szCs w:val="20"/>
                <w:lang w:val="en-GB"/>
              </w:rPr>
              <w:t>, based on RS indicators meth</w:t>
            </w:r>
            <w:r w:rsidR="00CB25CC">
              <w:rPr>
                <w:rFonts w:ascii="Calibri" w:eastAsia="Calibri" w:hAnsi="Calibri" w:cs="Calibri"/>
                <w:color w:val="222222"/>
                <w:sz w:val="20"/>
                <w:szCs w:val="20"/>
                <w:lang w:val="en-GB"/>
              </w:rPr>
              <w:t>od (see below);</w:t>
            </w:r>
            <w:r w:rsidRPr="0045151D">
              <w:rPr>
                <w:rFonts w:ascii="Calibri" w:eastAsia="Calibri" w:hAnsi="Calibri" w:cs="Calibri"/>
                <w:color w:val="222222"/>
                <w:sz w:val="20"/>
                <w:szCs w:val="20"/>
                <w:lang w:val="en-GB"/>
              </w:rPr>
              <w:t xml:space="preserve"> and (ii) accident severity factors calculated based on the latest research results.</w:t>
            </w:r>
          </w:p>
          <w:p w14:paraId="5AEC4D8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222222"/>
                <w:sz w:val="20"/>
                <w:szCs w:val="20"/>
                <w:lang w:val="en-GB"/>
              </w:rPr>
              <w:t>The second method (RS indicators), is a direct simplification of the</w:t>
            </w:r>
            <w:r w:rsidRPr="0045151D">
              <w:rPr>
                <w:rFonts w:ascii="Calibri" w:eastAsia="Calibri" w:hAnsi="Calibri" w:cs="Calibri"/>
                <w:color w:val="000000"/>
                <w:sz w:val="20"/>
                <w:szCs w:val="20"/>
                <w:lang w:val="en-GB"/>
              </w:rPr>
              <w:t xml:space="preserve"> Road Safety indicators forecasting method </w:t>
            </w:r>
            <w:r w:rsidRPr="0045151D">
              <w:rPr>
                <w:rFonts w:ascii="Calibri" w:eastAsia="Calibri" w:hAnsi="Calibri" w:cs="Calibri"/>
                <w:color w:val="222222"/>
                <w:sz w:val="20"/>
                <w:szCs w:val="20"/>
                <w:lang w:val="en-GB"/>
              </w:rPr>
              <w:t xml:space="preserve">developed under the </w:t>
            </w:r>
            <w:proofErr w:type="spellStart"/>
            <w:r w:rsidRPr="0045151D">
              <w:rPr>
                <w:rFonts w:ascii="Calibri" w:eastAsia="Calibri" w:hAnsi="Calibri" w:cs="Calibri"/>
                <w:color w:val="222222"/>
                <w:sz w:val="20"/>
                <w:szCs w:val="20"/>
                <w:lang w:val="en-GB"/>
              </w:rPr>
              <w:t>GDDKiA</w:t>
            </w:r>
            <w:proofErr w:type="spellEnd"/>
            <w:r w:rsidRPr="0045151D">
              <w:rPr>
                <w:rFonts w:ascii="Calibri" w:eastAsia="Calibri" w:hAnsi="Calibri" w:cs="Calibri"/>
                <w:color w:val="222222"/>
                <w:sz w:val="20"/>
                <w:szCs w:val="20"/>
                <w:lang w:val="en-GB"/>
              </w:rPr>
              <w:t xml:space="preserve"> </w:t>
            </w:r>
            <w:proofErr w:type="spellStart"/>
            <w:r w:rsidRPr="0045151D">
              <w:rPr>
                <w:rFonts w:ascii="Calibri" w:eastAsia="Calibri" w:hAnsi="Calibri" w:cs="Calibri"/>
                <w:color w:val="222222"/>
                <w:sz w:val="20"/>
                <w:szCs w:val="20"/>
                <w:lang w:val="en-GB"/>
              </w:rPr>
              <w:t>comissionned</w:t>
            </w:r>
            <w:proofErr w:type="spellEnd"/>
            <w:r w:rsidRPr="0045151D">
              <w:rPr>
                <w:rFonts w:ascii="Calibri" w:eastAsia="Calibri" w:hAnsi="Calibri" w:cs="Calibri"/>
                <w:color w:val="222222"/>
                <w:sz w:val="20"/>
                <w:szCs w:val="20"/>
                <w:lang w:val="en-GB"/>
              </w:rPr>
              <w:t xml:space="preserve"> research referred above. In this method, the concept of RS indicators was introduced which refers to the social losses (the number of accidents, the number of</w:t>
            </w:r>
            <w:r w:rsidRPr="0045151D">
              <w:rPr>
                <w:rFonts w:ascii="Calibri" w:eastAsia="Calibri" w:hAnsi="Calibri" w:cs="Calibri"/>
                <w:color w:val="000000"/>
                <w:sz w:val="20"/>
                <w:szCs w:val="20"/>
                <w:lang w:val="en-GB"/>
              </w:rPr>
              <w:t xml:space="preserve"> slightly </w:t>
            </w:r>
            <w:r w:rsidRPr="0045151D">
              <w:rPr>
                <w:rFonts w:ascii="Calibri" w:eastAsia="Calibri" w:hAnsi="Calibri" w:cs="Calibri"/>
                <w:color w:val="222222"/>
                <w:sz w:val="20"/>
                <w:szCs w:val="20"/>
                <w:lang w:val="en-GB"/>
              </w:rPr>
              <w:t>injured, the number of seriously injured, the number of fatalities). Details of the method and simplified tables with the respective indicators for calculations are also included in Appendix E.</w:t>
            </w:r>
          </w:p>
          <w:p w14:paraId="3667C99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 individual economic unit costs of accidents (slightly injured, seriously injured, fatalities and material losses) are provided in Appendix A - Economic and financial unit costs. The forecasted evolution of these unit costs is also presented in this Appendix.</w:t>
            </w:r>
          </w:p>
          <w:p w14:paraId="46AD04D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Some data sources (e.g. GUS statistics) do not distinguish between slightly and seriously injured. In this case, the respective unit costs provided in Appendix A could be averaged, based on police data concerning the shares of heavy and slight injuries in road accidents.</w:t>
            </w:r>
            <w:r w:rsidRPr="0045151D">
              <w:rPr>
                <w:rFonts w:ascii="Arial" w:eastAsia="Arial" w:hAnsi="Arial" w:cs="Arial"/>
                <w:color w:val="000000"/>
                <w:sz w:val="20"/>
                <w:szCs w:val="20"/>
                <w:lang w:val="en-GB"/>
              </w:rPr>
              <w:t xml:space="preserve"> </w:t>
            </w:r>
            <w:r w:rsidRPr="0045151D">
              <w:rPr>
                <w:rFonts w:ascii="Calibri" w:eastAsia="Calibri" w:hAnsi="Calibri" w:cs="Calibri"/>
                <w:color w:val="000000"/>
                <w:sz w:val="20"/>
                <w:szCs w:val="20"/>
                <w:lang w:val="en-GB"/>
              </w:rPr>
              <w:t xml:space="preserve">Such data is also available on the website of National Road Safety council, </w:t>
            </w:r>
            <w:hyperlink r:id="rId125">
              <w:r w:rsidRPr="0045151D">
                <w:rPr>
                  <w:rFonts w:ascii="Calibri" w:eastAsia="Calibri" w:hAnsi="Calibri" w:cs="Calibri"/>
                  <w:color w:val="0000FF"/>
                  <w:sz w:val="20"/>
                  <w:szCs w:val="20"/>
                  <w:u w:val="single"/>
                  <w:lang w:val="en-GB"/>
                </w:rPr>
                <w:t>https://www.krbrd.gov.pl/baza-wiedzy/raporty-o-stanie-brd/</w:t>
              </w:r>
            </w:hyperlink>
          </w:p>
          <w:p w14:paraId="769E756D"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3A27FD9E" w14:textId="20156EA2" w:rsidR="00600DEE" w:rsidRDefault="00641FB5" w:rsidP="00D5736B">
      <w:pPr>
        <w:pStyle w:val="Nagwek3"/>
        <w:numPr>
          <w:ilvl w:val="2"/>
          <w:numId w:val="17"/>
        </w:numPr>
        <w:ind w:left="0" w:firstLine="0"/>
        <w:rPr>
          <w:rFonts w:ascii="Calibri" w:eastAsia="Calibri" w:hAnsi="Calibri" w:cs="Calibri"/>
          <w:color w:val="4F81BD"/>
        </w:rPr>
      </w:pPr>
      <w:bookmarkStart w:id="69" w:name="_Toc95377989"/>
      <w:r>
        <w:rPr>
          <w:rFonts w:ascii="Calibri" w:eastAsia="Calibri" w:hAnsi="Calibri" w:cs="Calibri"/>
          <w:color w:val="4F81BD"/>
        </w:rPr>
        <w:lastRenderedPageBreak/>
        <w:t>Koszty zanieczyszczenia powietrza</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2.1.4</w:t>
      </w:r>
      <w:r>
        <w:rPr>
          <w:rFonts w:ascii="Calibri" w:eastAsia="Calibri" w:hAnsi="Calibri" w:cs="Calibri"/>
          <w:color w:val="4F81BD"/>
        </w:rPr>
        <w:t xml:space="preserve">   </w:t>
      </w:r>
      <w:proofErr w:type="spellStart"/>
      <w:r>
        <w:rPr>
          <w:rFonts w:ascii="Calibri" w:eastAsia="Calibri" w:hAnsi="Calibri" w:cs="Calibri"/>
          <w:i/>
          <w:color w:val="4F81BD"/>
        </w:rPr>
        <w:t>Air</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pollution</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costs</w:t>
      </w:r>
      <w:bookmarkEnd w:id="69"/>
      <w:proofErr w:type="spellEnd"/>
      <w:r>
        <w:rPr>
          <w:rFonts w:ascii="Calibri" w:eastAsia="Calibri" w:hAnsi="Calibri" w:cs="Calibri"/>
          <w:color w:val="4F81BD"/>
        </w:rPr>
        <w:t xml:space="preserve"> </w:t>
      </w:r>
    </w:p>
    <w:tbl>
      <w:tblPr>
        <w:tblStyle w:val="affffd"/>
        <w:tblW w:w="14571" w:type="dxa"/>
        <w:tblLayout w:type="fixed"/>
        <w:tblLook w:val="0400" w:firstRow="0" w:lastRow="0" w:firstColumn="0" w:lastColumn="0" w:noHBand="0" w:noVBand="1"/>
      </w:tblPr>
      <w:tblGrid>
        <w:gridCol w:w="7096"/>
        <w:gridCol w:w="7475"/>
      </w:tblGrid>
      <w:tr w:rsidR="00600DEE" w14:paraId="3F30450F" w14:textId="77777777">
        <w:tc>
          <w:tcPr>
            <w:tcW w:w="7096" w:type="dxa"/>
            <w:tcBorders>
              <w:right w:val="single" w:sz="4" w:space="0" w:color="000000"/>
            </w:tcBorders>
            <w:tcMar>
              <w:left w:w="284" w:type="dxa"/>
              <w:right w:w="284" w:type="dxa"/>
            </w:tcMar>
          </w:tcPr>
          <w:p w14:paraId="2B3957BD" w14:textId="1401D98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zanieczyszczenia powietrza dla wszystkich wariantów (W0 i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to łączne koszty generowane przez wszystkie pojazdy poruszające się po drogach będących przedmiotem analizy. Na koszty zanieczyszczenia powietrza składają się koszty związane z oddziaływaniem transportu na środowisko naturalne, obejmujące</w:t>
            </w:r>
            <w:r w:rsidR="00CB25CC">
              <w:rPr>
                <w:rFonts w:ascii="Calibri" w:eastAsia="Calibri" w:hAnsi="Calibri" w:cs="Calibri"/>
                <w:color w:val="000000"/>
                <w:sz w:val="20"/>
                <w:szCs w:val="20"/>
                <w:vertAlign w:val="superscript"/>
              </w:rPr>
              <w:t>11</w:t>
            </w:r>
            <w:r>
              <w:rPr>
                <w:rFonts w:ascii="Calibri" w:eastAsia="Calibri" w:hAnsi="Calibri" w:cs="Calibri"/>
                <w:color w:val="000000"/>
                <w:sz w:val="20"/>
                <w:szCs w:val="20"/>
              </w:rPr>
              <w:t>:</w:t>
            </w:r>
          </w:p>
          <w:p w14:paraId="51E7B01F"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przede wszystkim ujemny wpływ na zdrowie ludzkie (schorzenia układu sercowo-naczyniowego oraz układu oddechowego),</w:t>
            </w:r>
          </w:p>
          <w:p w14:paraId="405C7386"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bookmarkStart w:id="70" w:name="_heading=h.2zbgiuw" w:colFirst="0" w:colLast="0"/>
            <w:bookmarkEnd w:id="70"/>
            <w:r>
              <w:rPr>
                <w:rFonts w:ascii="Calibri" w:eastAsia="Calibri" w:hAnsi="Calibri" w:cs="Calibri"/>
                <w:color w:val="000000"/>
                <w:sz w:val="20"/>
                <w:szCs w:val="20"/>
              </w:rPr>
              <w:t>straty w uprawach, negatywny wpływ na uprawy rolnicze prowadzące do obniżenia plonów,</w:t>
            </w:r>
          </w:p>
          <w:p w14:paraId="35C8A27D"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straty materialne (uszkodzenia budynków i obiektów),</w:t>
            </w:r>
          </w:p>
          <w:p w14:paraId="6D0E61D6"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szkody środowiskowe (negatywny wpływ na bioróżnorodność i ekosystemy).</w:t>
            </w:r>
          </w:p>
          <w:p w14:paraId="5BCC331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Do najistotniejszych zanieczyszczeń powietrza związanych z transportem zalicza się pyły (PM10, PM2.5), tlenki azotu (</w:t>
            </w:r>
            <w:proofErr w:type="spellStart"/>
            <w:r>
              <w:rPr>
                <w:rFonts w:ascii="Calibri" w:eastAsia="Calibri" w:hAnsi="Calibri" w:cs="Calibri"/>
                <w:color w:val="000000"/>
                <w:sz w:val="20"/>
                <w:szCs w:val="20"/>
              </w:rPr>
              <w:t>NOx</w:t>
            </w:r>
            <w:proofErr w:type="spellEnd"/>
            <w:r>
              <w:rPr>
                <w:rFonts w:ascii="Calibri" w:eastAsia="Calibri" w:hAnsi="Calibri" w:cs="Calibri"/>
                <w:color w:val="000000"/>
                <w:sz w:val="20"/>
                <w:szCs w:val="20"/>
              </w:rPr>
              <w:t>), dwutlenek siarki (SO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niemetanowe</w:t>
            </w:r>
            <w:proofErr w:type="spellEnd"/>
            <w:r>
              <w:rPr>
                <w:rFonts w:ascii="Calibri" w:eastAsia="Calibri" w:hAnsi="Calibri" w:cs="Calibri"/>
                <w:color w:val="000000"/>
                <w:sz w:val="20"/>
                <w:szCs w:val="20"/>
              </w:rPr>
              <w:t xml:space="preserve"> lotne związki organiczne (NMVOC). Gazy cieplarniane (GHG) nie są uwzględniane w grupie kosztów związanych z zanieczyszczeniami powietrza, gdyż nie mają właściwości toksycznych. Wszystkie natomiast zostały uwzględnione w kosztach związanych ze zmianami klimatu opisanymi poniżej.</w:t>
            </w:r>
          </w:p>
          <w:p w14:paraId="43D01BC5" w14:textId="515C784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1" w:name="_heading=h.1egqt2p" w:colFirst="0" w:colLast="0"/>
            <w:bookmarkEnd w:id="71"/>
            <w:r>
              <w:rPr>
                <w:rFonts w:ascii="Calibri" w:eastAsia="Calibri" w:hAnsi="Calibri" w:cs="Calibri"/>
                <w:color w:val="000000"/>
                <w:sz w:val="20"/>
                <w:szCs w:val="20"/>
              </w:rPr>
              <w:t>Podstawą obliczenia kosztów zanieczyszczenia powietrza są jednostkowe koszty ekonomiczne zanieczyszczenia powietrza. Koszty te są bezpośrednio związane z eksploatacją pojazdów (głównie o napędzie spalinowym)</w:t>
            </w:r>
            <w:r w:rsidR="00CB25CC" w:rsidRPr="00CB25CC">
              <w:rPr>
                <w:rFonts w:ascii="Calibri" w:eastAsia="Calibri" w:hAnsi="Calibri" w:cs="Calibri"/>
                <w:color w:val="000000"/>
                <w:sz w:val="20"/>
                <w:szCs w:val="20"/>
                <w:vertAlign w:val="superscript"/>
              </w:rPr>
              <w:t>12</w:t>
            </w:r>
            <w:r>
              <w:rPr>
                <w:rFonts w:ascii="Calibri" w:eastAsia="Calibri" w:hAnsi="Calibri" w:cs="Calibri"/>
                <w:color w:val="000000"/>
                <w:sz w:val="20"/>
                <w:szCs w:val="20"/>
                <w:vertAlign w:val="superscript"/>
              </w:rPr>
              <w:t xml:space="preserve"> </w:t>
            </w:r>
            <w:r>
              <w:rPr>
                <w:rFonts w:ascii="Calibri" w:eastAsia="Calibri" w:hAnsi="Calibri" w:cs="Calibri"/>
                <w:color w:val="000000"/>
                <w:sz w:val="20"/>
                <w:szCs w:val="20"/>
              </w:rPr>
              <w:t xml:space="preserve">i zależą od typów pojazdów, stanu drogi, nachylenia podłużnego drogi oraz jej lokalizacji (droga miejska lub zamiejska). Jednostkowe koszty ekonomiczne zanieczyszczenia powietrza (w podziale na takie same kategorie pojazdów, jak w przypadku kosztów eksploatacji) są podane w załączniku A – Jednostkowe koszty finansowe i ekonomiczne, wyliczone w oparciu o Podręcznik zewnętrznych kosztów transportu, wersja 2019. Dla uproszczenia nie rozróżnia się ich ze względu na </w:t>
            </w:r>
            <w:r>
              <w:rPr>
                <w:rFonts w:ascii="Calibri" w:eastAsia="Calibri" w:hAnsi="Calibri" w:cs="Calibri"/>
                <w:color w:val="000000"/>
                <w:sz w:val="20"/>
                <w:szCs w:val="20"/>
              </w:rPr>
              <w:lastRenderedPageBreak/>
              <w:t>zakresy prędkości. W rozdziale poświęconym kosztom eksploatacji pojazdów opisano założenia dla aktualnego składu floty pojazdów drogowych z uwzględnieniem jego spodziewanej ewolucji. Założenia te w całości mają również zastosowanie do obliczeń w zakresie zanieczyszczenia powietrza. W załączniku A podano właściwe koszty jednostkowe zanieczyszczenia powietrza wraz z zasadami ich obliczania.</w:t>
            </w:r>
          </w:p>
          <w:p w14:paraId="21C6336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te podlegają indeksacji. Zmienność kosztów jednostkowych zanieczyszczenia powietrza w czasie przedstawiono w załączniku A.</w:t>
            </w:r>
          </w:p>
          <w:p w14:paraId="4BAFB4C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2" w:name="_heading=h.3ygebqi" w:colFirst="0" w:colLast="0"/>
            <w:bookmarkEnd w:id="72"/>
            <w:r>
              <w:rPr>
                <w:rFonts w:ascii="Calibri" w:eastAsia="Calibri" w:hAnsi="Calibri" w:cs="Calibri"/>
                <w:color w:val="000000"/>
                <w:sz w:val="20"/>
                <w:szCs w:val="20"/>
              </w:rPr>
              <w:t>Koszty ekonomiczne zanieczyszczenia powietrza oblicza się z uwzględnieniem poszczególnych kategorii pojazdów, oddzielnie dla każdego wariantu i każdego roku analizy ekonomicznej zgodnie z prognozami ruchu dla wszystkich kategorii oddziaływań ekonomicznych.</w:t>
            </w:r>
          </w:p>
          <w:p w14:paraId="2EB77B35" w14:textId="77777777" w:rsidR="00600DEE" w:rsidRDefault="00600DEE">
            <w:pPr>
              <w:pBdr>
                <w:top w:val="nil"/>
                <w:left w:val="nil"/>
                <w:bottom w:val="nil"/>
                <w:right w:val="nil"/>
                <w:between w:val="nil"/>
              </w:pBdr>
              <w:spacing w:before="120"/>
              <w:jc w:val="both"/>
              <w:rPr>
                <w:rFonts w:ascii="Calibri" w:eastAsia="Calibri" w:hAnsi="Calibri" w:cs="Calibri"/>
                <w:b/>
                <w:color w:val="333399"/>
                <w:sz w:val="20"/>
                <w:szCs w:val="20"/>
              </w:rPr>
            </w:pPr>
          </w:p>
          <w:p w14:paraId="4FFE6137" w14:textId="5B6A3245" w:rsidR="00600DEE" w:rsidRDefault="00B10112">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20</w:t>
            </w:r>
            <w:r w:rsidR="00641FB5">
              <w:rPr>
                <w:rFonts w:ascii="Calibri" w:eastAsia="Calibri" w:hAnsi="Calibri" w:cs="Calibri"/>
                <w:b/>
                <w:color w:val="4F81BD"/>
                <w:sz w:val="20"/>
                <w:szCs w:val="20"/>
              </w:rPr>
              <w:t>. Wzory do obliczania kosztów zanieczyszczeń powietrza</w:t>
            </w:r>
          </w:p>
          <w:tbl>
            <w:tblPr>
              <w:tblStyle w:val="affffe"/>
              <w:tblW w:w="655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57"/>
            </w:tblGrid>
            <w:tr w:rsidR="00600DEE" w14:paraId="35A9BFE5" w14:textId="77777777" w:rsidTr="00CE2D79">
              <w:trPr>
                <w:trHeight w:hRule="exact" w:val="4536"/>
              </w:trPr>
              <w:tc>
                <w:tcPr>
                  <w:tcW w:w="6557" w:type="dxa"/>
                  <w:shd w:val="clear" w:color="auto" w:fill="D3E3F4"/>
                </w:tcPr>
                <w:p w14:paraId="6CE46753" w14:textId="77777777" w:rsidR="00600DEE" w:rsidRDefault="00600DEE">
                  <w:pPr>
                    <w:pBdr>
                      <w:top w:val="nil"/>
                      <w:left w:val="nil"/>
                      <w:bottom w:val="nil"/>
                      <w:right w:val="nil"/>
                      <w:between w:val="nil"/>
                    </w:pBdr>
                    <w:shd w:val="clear" w:color="auto" w:fill="DBE5F1"/>
                    <w:spacing w:before="120" w:after="40"/>
                    <w:jc w:val="center"/>
                    <w:rPr>
                      <w:rFonts w:ascii="Calibri" w:eastAsia="Calibri" w:hAnsi="Calibri" w:cs="Calibri"/>
                      <w:color w:val="4F81BD"/>
                      <w:sz w:val="18"/>
                      <w:szCs w:val="18"/>
                    </w:rPr>
                  </w:pPr>
                </w:p>
                <w:p w14:paraId="7D46650F" w14:textId="77777777" w:rsidR="00FF6918" w:rsidRPr="00A97395" w:rsidRDefault="00967F6B" w:rsidP="00FF6918">
                  <w:pPr>
                    <w:pStyle w:val="TableBullet1a"/>
                    <w:shd w:val="clear" w:color="auto" w:fill="DBE5F1" w:themeFill="accent1" w:themeFillTint="33"/>
                    <w:snapToGrid w:val="0"/>
                    <w:spacing w:before="40" w:after="40"/>
                    <w:jc w:val="center"/>
                    <w:rPr>
                      <w:rFonts w:asciiTheme="minorHAnsi" w:hAnsiTheme="minorHAnsi"/>
                      <w:color w:val="4F81BD" w:themeColor="accent1"/>
                      <w:szCs w:val="18"/>
                      <w:lang w:val="pl-PL"/>
                    </w:rPr>
                  </w:pPr>
                  <m:oMathPara>
                    <m:oMath>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Z</m:t>
                          </m:r>
                        </m:sub>
                      </m:sSub>
                      <m:r>
                        <w:rPr>
                          <w:rFonts w:ascii="Cambria Math" w:hAnsi="Cambria Math"/>
                          <w:color w:val="4F81BD" w:themeColor="accent1"/>
                          <w:sz w:val="20"/>
                          <w:lang w:val="en-GB"/>
                        </w:rPr>
                        <m:t>=365∙</m:t>
                      </m:r>
                      <m:nary>
                        <m:naryPr>
                          <m:chr m:val="∑"/>
                          <m:limLoc m:val="undOvr"/>
                          <m:ctrlPr>
                            <w:rPr>
                              <w:rFonts w:ascii="Cambria Math" w:hAnsi="Cambria Math"/>
                              <w:i/>
                              <w:color w:val="4F81BD" w:themeColor="accent1"/>
                              <w:sz w:val="20"/>
                              <w:lang w:val="en-GB"/>
                            </w:rPr>
                          </m:ctrlPr>
                        </m:naryPr>
                        <m:sub>
                          <m:r>
                            <w:rPr>
                              <w:rFonts w:ascii="Cambria Math" w:hAnsi="Cambria Math"/>
                              <w:color w:val="4F81BD" w:themeColor="accent1"/>
                              <w:sz w:val="20"/>
                              <w:lang w:val="en-GB"/>
                            </w:rPr>
                            <m:t>j=1</m:t>
                          </m:r>
                        </m:sub>
                        <m:sup>
                          <m:r>
                            <w:rPr>
                              <w:rFonts w:ascii="Cambria Math" w:hAnsi="Cambria Math"/>
                              <w:color w:val="4F81BD" w:themeColor="accent1"/>
                              <w:sz w:val="20"/>
                              <w:lang w:val="en-GB"/>
                            </w:rPr>
                            <m:t>2</m:t>
                          </m:r>
                        </m:sup>
                        <m:e>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s,j</m:t>
                              </m:r>
                            </m:sub>
                          </m:sSub>
                          <m:d>
                            <m:dPr>
                              <m:ctrlPr>
                                <w:rPr>
                                  <w:rFonts w:ascii="Cambria Math" w:hAnsi="Cambria Math"/>
                                  <w:i/>
                                  <w:color w:val="4F81BD" w:themeColor="accent1"/>
                                  <w:sz w:val="20"/>
                                  <w:lang w:val="en-GB"/>
                                </w:rPr>
                              </m:ctrlPr>
                            </m:dPr>
                            <m:e>
                              <m:r>
                                <w:rPr>
                                  <w:rFonts w:ascii="Cambria Math" w:hAnsi="Cambria Math"/>
                                  <w:color w:val="4F81BD" w:themeColor="accent1"/>
                                  <w:sz w:val="20"/>
                                  <w:lang w:val="en-GB"/>
                                </w:rPr>
                                <m:t>T,S</m:t>
                              </m:r>
                            </m:e>
                          </m:d>
                          <m:r>
                            <w:rPr>
                              <w:rFonts w:ascii="Cambria Math" w:hAnsi="Cambria Math"/>
                              <w:color w:val="4F81BD" w:themeColor="accent1"/>
                              <w:sz w:val="20"/>
                              <w:lang w:val="en-GB"/>
                            </w:rPr>
                            <m:t>∙</m:t>
                          </m:r>
                          <m:sSubSup>
                            <m:sSubSupPr>
                              <m:ctrlPr>
                                <w:rPr>
                                  <w:rFonts w:ascii="Cambria Math" w:hAnsi="Cambria Math"/>
                                  <w:i/>
                                  <w:color w:val="4F81BD" w:themeColor="accent1"/>
                                  <w:sz w:val="20"/>
                                  <w:lang w:val="en-GB"/>
                                </w:rPr>
                              </m:ctrlPr>
                            </m:sSubSupPr>
                            <m:e>
                              <m:r>
                                <w:rPr>
                                  <w:rFonts w:ascii="Cambria Math" w:hAnsi="Cambria Math"/>
                                  <w:color w:val="4F81BD" w:themeColor="accent1"/>
                                  <w:sz w:val="20"/>
                                  <w:lang w:val="en-GB"/>
                                </w:rPr>
                                <m:t>W</m:t>
                              </m:r>
                            </m:e>
                            <m:sub>
                              <m:r>
                                <w:rPr>
                                  <w:rFonts w:ascii="Cambria Math" w:hAnsi="Cambria Math"/>
                                  <w:color w:val="4F81BD" w:themeColor="accent1"/>
                                  <w:sz w:val="20"/>
                                  <w:lang w:val="en-GB"/>
                                </w:rPr>
                                <m:t>j</m:t>
                              </m:r>
                            </m:sub>
                            <m:sup>
                              <m:r>
                                <w:rPr>
                                  <w:rFonts w:ascii="Cambria Math" w:hAnsi="Cambria Math"/>
                                  <w:color w:val="4F81BD" w:themeColor="accent1"/>
                                  <w:sz w:val="20"/>
                                  <w:lang w:val="en-GB"/>
                                </w:rPr>
                                <m:t>km</m:t>
                              </m:r>
                            </m:sup>
                          </m:sSubSup>
                        </m:e>
                      </m:nary>
                    </m:oMath>
                  </m:oMathPara>
                </w:p>
                <w:p w14:paraId="30585AD4"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48A135A8"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Z</w:t>
                  </w:r>
                  <w:r>
                    <w:rPr>
                      <w:rFonts w:ascii="Calibri" w:eastAsia="Calibri" w:hAnsi="Calibri" w:cs="Calibri"/>
                      <w:color w:val="4F81BD"/>
                      <w:sz w:val="18"/>
                      <w:szCs w:val="18"/>
                    </w:rPr>
                    <w:tab/>
                    <w:t xml:space="preserve">          – roczne koszty zanieczyszczeń powietrza, w PLN,</w:t>
                  </w:r>
                </w:p>
                <w:p w14:paraId="6B94422C"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j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liczba kategorii pojazdów,</w:t>
                  </w:r>
                </w:p>
                <w:p w14:paraId="31BB9183"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s,j</w:t>
                  </w:r>
                  <w:proofErr w:type="spellEnd"/>
                  <w:r>
                    <w:rPr>
                      <w:rFonts w:ascii="Calibri" w:eastAsia="Calibri" w:hAnsi="Calibri" w:cs="Calibri"/>
                      <w:color w:val="4F81BD"/>
                      <w:sz w:val="18"/>
                      <w:szCs w:val="18"/>
                    </w:rPr>
                    <w:t>(,T,S)              – jednostkowe koszty  zanieczyszczeń powietrza dla kategorii pojazdów</w:t>
                  </w:r>
                  <w:r>
                    <w:rPr>
                      <w:rFonts w:ascii="Calibri" w:eastAsia="Calibri" w:hAnsi="Calibri" w:cs="Calibri"/>
                      <w:color w:val="4F81BD"/>
                      <w:sz w:val="18"/>
                      <w:szCs w:val="18"/>
                    </w:rPr>
                    <w:br/>
                    <w:t xml:space="preserve">                               samochodowych „j” w funkcji ukształtowania </w:t>
                  </w:r>
                  <w:r>
                    <w:rPr>
                      <w:rFonts w:ascii="Calibri" w:eastAsia="Calibri" w:hAnsi="Calibri" w:cs="Calibri"/>
                      <w:color w:val="4F81BD"/>
                      <w:sz w:val="18"/>
                      <w:szCs w:val="18"/>
                    </w:rPr>
                    <w:br/>
                    <w:t xml:space="preserve">                               terenu T i stanu technicznego nawierzchni S, w PLN/</w:t>
                  </w:r>
                  <w:proofErr w:type="spellStart"/>
                  <w:r>
                    <w:rPr>
                      <w:rFonts w:ascii="Calibri" w:eastAsia="Calibri" w:hAnsi="Calibri" w:cs="Calibri"/>
                      <w:color w:val="4F81BD"/>
                      <w:sz w:val="18"/>
                      <w:szCs w:val="18"/>
                    </w:rPr>
                    <w:t>poj</w:t>
                  </w:r>
                  <w:proofErr w:type="spellEnd"/>
                  <w:r>
                    <w:rPr>
                      <w:rFonts w:ascii="Calibri" w:eastAsia="Calibri" w:hAnsi="Calibri" w:cs="Calibri"/>
                      <w:color w:val="4F81BD"/>
                      <w:sz w:val="18"/>
                      <w:szCs w:val="18"/>
                    </w:rPr>
                    <w:t>-km,</w:t>
                  </w:r>
                </w:p>
                <w:p w14:paraId="03CA2E6D"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średnioroczne dobowe natężenie ruchu dla kategorii pojazdów „j”, w</w:t>
                  </w:r>
                  <w:r>
                    <w:rPr>
                      <w:rFonts w:ascii="Calibri" w:eastAsia="Calibri" w:hAnsi="Calibri" w:cs="Calibri"/>
                      <w:color w:val="4F81BD"/>
                      <w:sz w:val="18"/>
                      <w:szCs w:val="18"/>
                    </w:rPr>
                    <w:br/>
                    <w:t xml:space="preserve">                               pojazdach/dobę,</w:t>
                  </w:r>
                </w:p>
                <w:p w14:paraId="7E63CB49"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L                          – długość odcinka drogi, w km,</w:t>
                  </w:r>
                </w:p>
                <w:p w14:paraId="557A987E"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praca przewozowa  dla pojazdów kategorii „j” w zależności od  </w:t>
                  </w:r>
                </w:p>
                <w:p w14:paraId="5B39060B" w14:textId="2095ACC2"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                               długości odcinka drogi w </w:t>
                  </w:r>
                  <w:proofErr w:type="spellStart"/>
                  <w:r>
                    <w:rPr>
                      <w:rFonts w:ascii="Calibri" w:eastAsia="Calibri" w:hAnsi="Calibri" w:cs="Calibri"/>
                      <w:color w:val="4F81BD"/>
                      <w:sz w:val="18"/>
                      <w:szCs w:val="18"/>
                    </w:rPr>
                    <w:t>pojazdo</w:t>
                  </w:r>
                  <w:proofErr w:type="spellEnd"/>
                  <w:r w:rsidR="00B10112">
                    <w:rPr>
                      <w:rFonts w:ascii="Calibri" w:eastAsia="Calibri" w:hAnsi="Calibri" w:cs="Calibri"/>
                      <w:color w:val="4F81BD"/>
                      <w:sz w:val="18"/>
                      <w:szCs w:val="18"/>
                    </w:rPr>
                    <w:t>-</w:t>
                  </w:r>
                  <w:r>
                    <w:rPr>
                      <w:rFonts w:ascii="Calibri" w:eastAsia="Calibri" w:hAnsi="Calibri" w:cs="Calibri"/>
                      <w:color w:val="4F81BD"/>
                      <w:sz w:val="18"/>
                      <w:szCs w:val="18"/>
                    </w:rPr>
                    <w:t xml:space="preserve">kilometrach/dobę, </w:t>
                  </w: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L* </w:t>
                  </w: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w:t>
                  </w:r>
                </w:p>
              </w:tc>
            </w:tr>
          </w:tbl>
          <w:p w14:paraId="4C337D3F"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475" w:type="dxa"/>
            <w:tcBorders>
              <w:left w:val="single" w:sz="4" w:space="0" w:color="000000"/>
            </w:tcBorders>
            <w:tcMar>
              <w:left w:w="284" w:type="dxa"/>
              <w:right w:w="284" w:type="dxa"/>
            </w:tcMar>
          </w:tcPr>
          <w:p w14:paraId="6E58B78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air pollution costs for all scenarios (without-the-project scenario W0 and project investment options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are represented by the total costs generated by all vehicles on the analysed roads. Costs of air pollution are made up by costs related to the effects of transport on the natural environment, including</w:t>
            </w:r>
            <w:bookmarkStart w:id="73" w:name="_Ref91584607"/>
            <w:r>
              <w:rPr>
                <w:rFonts w:ascii="Calibri" w:eastAsia="Calibri" w:hAnsi="Calibri" w:cs="Calibri"/>
                <w:color w:val="000000"/>
                <w:sz w:val="20"/>
                <w:szCs w:val="20"/>
                <w:vertAlign w:val="superscript"/>
              </w:rPr>
              <w:footnoteReference w:id="11"/>
            </w:r>
            <w:bookmarkEnd w:id="73"/>
            <w:r w:rsidRPr="0045151D">
              <w:rPr>
                <w:rFonts w:ascii="Calibri" w:eastAsia="Calibri" w:hAnsi="Calibri" w:cs="Calibri"/>
                <w:color w:val="000000"/>
                <w:sz w:val="20"/>
                <w:szCs w:val="20"/>
                <w:lang w:val="en-GB"/>
              </w:rPr>
              <w:t>:</w:t>
            </w:r>
          </w:p>
          <w:p w14:paraId="5C8651A5"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mainly, negative influence on human health (cardiovascular and respiratory diseases),</w:t>
            </w:r>
          </w:p>
          <w:p w14:paraId="27F7146A"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crop losses, negative influence on agricultural crops leading to lower crop yields,</w:t>
            </w:r>
          </w:p>
          <w:p w14:paraId="4CD6E872"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material losses (building and material damages),</w:t>
            </w:r>
          </w:p>
          <w:p w14:paraId="6BA03142"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environmental damages (impacts on biodiversity and ecosystems).</w:t>
            </w:r>
          </w:p>
          <w:p w14:paraId="7B8E94A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most important transport-related air pollutants are: particulate matter (PM10, PM2.5), nitrogen oxides (NOx), sulphur dioxide (SO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non-methane volatile organic compounds (NMVOC). Greenhouse gases (GHG) are not included in the air pollution costs since they do not have any toxic effects. They are covered by the climate change cost category detailed below.</w:t>
            </w:r>
          </w:p>
          <w:p w14:paraId="27E8D4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air pollution are calculated based on economic unit costs of air pollution. Those are related to direct vehicles operation (mainly engine combustion)</w:t>
            </w:r>
            <w:bookmarkStart w:id="75" w:name="_Ref91584591"/>
            <w:r>
              <w:rPr>
                <w:rFonts w:ascii="Calibri" w:eastAsia="Calibri" w:hAnsi="Calibri" w:cs="Calibri"/>
                <w:color w:val="000000"/>
                <w:sz w:val="20"/>
                <w:szCs w:val="20"/>
                <w:vertAlign w:val="superscript"/>
              </w:rPr>
              <w:footnoteReference w:id="12"/>
            </w:r>
            <w:bookmarkEnd w:id="75"/>
            <w:r w:rsidRPr="0045151D">
              <w:rPr>
                <w:rFonts w:ascii="Calibri" w:eastAsia="Calibri" w:hAnsi="Calibri" w:cs="Calibri"/>
                <w:color w:val="000000"/>
                <w:sz w:val="20"/>
                <w:szCs w:val="20"/>
                <w:lang w:val="en-GB"/>
              </w:rPr>
              <w:t xml:space="preserve"> and depend on vehicles types, road condition and gradient as well as road location (urban or non-urban area). Economic unit costs of air pollution (distinguishing same road vehicles categories as for VOC) are presented in Appendix A – Economic and Financial Unit Costs, based on Handbook on the external costs of transport, version 2019. For simplification purposes, those do not distinguish speed ranges. VOC chapter describes assumptions related to current road vehicle fleet composition and its expected evolution; those are as well of full applicability for air pollution calculations. Appendix A provides respective air pollution unit costs and calculation principles.</w:t>
            </w:r>
          </w:p>
          <w:p w14:paraId="2A38C77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222222"/>
                <w:sz w:val="20"/>
                <w:szCs w:val="20"/>
                <w:lang w:val="en-GB"/>
              </w:rPr>
              <w:lastRenderedPageBreak/>
              <w:t xml:space="preserve">These costs are subject to indexation. </w:t>
            </w:r>
            <w:r w:rsidRPr="0045151D">
              <w:rPr>
                <w:rFonts w:ascii="Calibri" w:eastAsia="Calibri" w:hAnsi="Calibri" w:cs="Calibri"/>
                <w:color w:val="000000"/>
                <w:sz w:val="20"/>
                <w:szCs w:val="20"/>
                <w:lang w:val="en-GB"/>
              </w:rPr>
              <w:t>The unit cost evolution over time is also presented in this Appendix A.</w:t>
            </w:r>
          </w:p>
          <w:p w14:paraId="5F48F7E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Economic costs of air pollution are calculated for individual categories of vehicles and ought to be determined separately for each of the options, and separately for each year of economic analysis, as per traffic forecasts for all economic impacts categories. </w:t>
            </w:r>
          </w:p>
          <w:p w14:paraId="0D5AF9F7" w14:textId="3EDEACBB" w:rsidR="00600DEE" w:rsidRPr="0045151D" w:rsidRDefault="00600DEE">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7F954D9C" w14:textId="1DCF450C"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33989C13" w14:textId="00A86005"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56784E7F" w14:textId="60683E32"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A26E43A" w14:textId="77777777" w:rsidR="006C2564" w:rsidRPr="0045151D" w:rsidRDefault="006C2564" w:rsidP="006C2564">
            <w:pPr>
              <w:pBdr>
                <w:top w:val="nil"/>
                <w:left w:val="nil"/>
                <w:bottom w:val="nil"/>
                <w:right w:val="nil"/>
                <w:between w:val="nil"/>
              </w:pBdr>
              <w:spacing w:before="120"/>
              <w:jc w:val="both"/>
              <w:rPr>
                <w:rFonts w:ascii="Calibri" w:eastAsia="Calibri" w:hAnsi="Calibri" w:cs="Calibri"/>
                <w:b/>
                <w:color w:val="4F81BD"/>
                <w:sz w:val="20"/>
                <w:szCs w:val="20"/>
                <w:lang w:val="en-GB"/>
              </w:rPr>
            </w:pPr>
          </w:p>
          <w:p w14:paraId="7634302D" w14:textId="77777777" w:rsidR="00600DEE" w:rsidRPr="0045151D" w:rsidRDefault="00600DEE" w:rsidP="006C2564">
            <w:pPr>
              <w:pBdr>
                <w:top w:val="nil"/>
                <w:left w:val="nil"/>
                <w:bottom w:val="nil"/>
                <w:right w:val="nil"/>
                <w:between w:val="nil"/>
              </w:pBdr>
              <w:jc w:val="both"/>
              <w:rPr>
                <w:rFonts w:ascii="Calibri" w:eastAsia="Calibri" w:hAnsi="Calibri" w:cs="Calibri"/>
                <w:b/>
                <w:color w:val="4F81BD"/>
                <w:sz w:val="20"/>
                <w:szCs w:val="20"/>
                <w:lang w:val="en-GB"/>
              </w:rPr>
            </w:pPr>
          </w:p>
          <w:p w14:paraId="028D4FC5" w14:textId="2CAA3F22" w:rsidR="00600DEE" w:rsidRPr="0045151D" w:rsidRDefault="00B10112" w:rsidP="006C2564">
            <w:pPr>
              <w:pBdr>
                <w:top w:val="nil"/>
                <w:left w:val="nil"/>
                <w:bottom w:val="nil"/>
                <w:right w:val="nil"/>
                <w:between w:val="nil"/>
              </w:pBdr>
              <w:spacing w:after="120"/>
              <w:jc w:val="both"/>
              <w:rPr>
                <w:rFonts w:ascii="Calibri" w:eastAsia="Calibri" w:hAnsi="Calibri" w:cs="Calibri"/>
                <w:color w:val="4F81BD"/>
                <w:sz w:val="20"/>
                <w:szCs w:val="20"/>
                <w:lang w:val="en-GB"/>
              </w:rPr>
            </w:pPr>
            <w:r>
              <w:rPr>
                <w:rFonts w:ascii="Calibri" w:eastAsia="Calibri" w:hAnsi="Calibri" w:cs="Calibri"/>
                <w:b/>
                <w:color w:val="4F81BD"/>
                <w:sz w:val="20"/>
                <w:szCs w:val="20"/>
                <w:lang w:val="en-GB"/>
              </w:rPr>
              <w:t>Table 20</w:t>
            </w:r>
            <w:r w:rsidR="00641FB5" w:rsidRPr="0045151D">
              <w:rPr>
                <w:rFonts w:ascii="Calibri" w:eastAsia="Calibri" w:hAnsi="Calibri" w:cs="Calibri"/>
                <w:b/>
                <w:color w:val="4F81BD"/>
                <w:sz w:val="20"/>
                <w:szCs w:val="20"/>
                <w:lang w:val="en-GB"/>
              </w:rPr>
              <w:t>. Formulas for the calculation of air pollution costs</w:t>
            </w:r>
          </w:p>
          <w:tbl>
            <w:tblPr>
              <w:tblStyle w:val="afffff"/>
              <w:tblW w:w="69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9"/>
            </w:tblGrid>
            <w:tr w:rsidR="00600DEE" w:rsidRPr="007463B9" w14:paraId="0C7953A2" w14:textId="77777777" w:rsidTr="00CE2D79">
              <w:trPr>
                <w:trHeight w:hRule="exact" w:val="4536"/>
              </w:trPr>
              <w:tc>
                <w:tcPr>
                  <w:tcW w:w="6939" w:type="dxa"/>
                  <w:shd w:val="clear" w:color="auto" w:fill="D3E3F4"/>
                </w:tcPr>
                <w:p w14:paraId="0239FB42" w14:textId="77777777" w:rsidR="00600DEE" w:rsidRPr="0045151D" w:rsidRDefault="00600DEE">
                  <w:pPr>
                    <w:pBdr>
                      <w:top w:val="nil"/>
                      <w:left w:val="nil"/>
                      <w:bottom w:val="nil"/>
                      <w:right w:val="nil"/>
                      <w:between w:val="nil"/>
                    </w:pBdr>
                    <w:shd w:val="clear" w:color="auto" w:fill="DBE5F1"/>
                    <w:spacing w:before="120" w:after="40"/>
                    <w:jc w:val="center"/>
                    <w:rPr>
                      <w:rFonts w:ascii="Calibri" w:eastAsia="Calibri" w:hAnsi="Calibri" w:cs="Calibri"/>
                      <w:color w:val="4F81BD"/>
                      <w:sz w:val="18"/>
                      <w:szCs w:val="18"/>
                      <w:lang w:val="en-GB"/>
                    </w:rPr>
                  </w:pPr>
                </w:p>
                <w:p w14:paraId="4C06CBA7" w14:textId="77777777" w:rsidR="00FF6918" w:rsidRPr="00A97395" w:rsidRDefault="00967F6B" w:rsidP="00FF6918">
                  <w:pPr>
                    <w:pStyle w:val="TableBullet1a"/>
                    <w:shd w:val="clear" w:color="auto" w:fill="DBE5F1" w:themeFill="accent1" w:themeFillTint="33"/>
                    <w:snapToGrid w:val="0"/>
                    <w:spacing w:before="40" w:after="40"/>
                    <w:jc w:val="center"/>
                    <w:rPr>
                      <w:rFonts w:asciiTheme="minorHAnsi" w:hAnsiTheme="minorHAnsi"/>
                      <w:color w:val="4F81BD" w:themeColor="accent1"/>
                      <w:szCs w:val="18"/>
                      <w:lang w:val="pl-PL"/>
                    </w:rPr>
                  </w:pPr>
                  <m:oMathPara>
                    <m:oMath>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Z</m:t>
                          </m:r>
                        </m:sub>
                      </m:sSub>
                      <m:r>
                        <w:rPr>
                          <w:rFonts w:ascii="Cambria Math" w:hAnsi="Cambria Math"/>
                          <w:color w:val="4F81BD" w:themeColor="accent1"/>
                          <w:sz w:val="20"/>
                          <w:lang w:val="en-GB"/>
                        </w:rPr>
                        <m:t>=365∙</m:t>
                      </m:r>
                      <m:nary>
                        <m:naryPr>
                          <m:chr m:val="∑"/>
                          <m:limLoc m:val="undOvr"/>
                          <m:ctrlPr>
                            <w:rPr>
                              <w:rFonts w:ascii="Cambria Math" w:hAnsi="Cambria Math"/>
                              <w:i/>
                              <w:color w:val="4F81BD" w:themeColor="accent1"/>
                              <w:sz w:val="20"/>
                              <w:lang w:val="en-GB"/>
                            </w:rPr>
                          </m:ctrlPr>
                        </m:naryPr>
                        <m:sub>
                          <m:r>
                            <w:rPr>
                              <w:rFonts w:ascii="Cambria Math" w:hAnsi="Cambria Math"/>
                              <w:color w:val="4F81BD" w:themeColor="accent1"/>
                              <w:sz w:val="20"/>
                              <w:lang w:val="en-GB"/>
                            </w:rPr>
                            <m:t>j=1</m:t>
                          </m:r>
                        </m:sub>
                        <m:sup>
                          <m:r>
                            <w:rPr>
                              <w:rFonts w:ascii="Cambria Math" w:hAnsi="Cambria Math"/>
                              <w:color w:val="4F81BD" w:themeColor="accent1"/>
                              <w:sz w:val="20"/>
                              <w:lang w:val="en-GB"/>
                            </w:rPr>
                            <m:t>2</m:t>
                          </m:r>
                        </m:sup>
                        <m:e>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s,j</m:t>
                              </m:r>
                            </m:sub>
                          </m:sSub>
                          <m:d>
                            <m:dPr>
                              <m:ctrlPr>
                                <w:rPr>
                                  <w:rFonts w:ascii="Cambria Math" w:hAnsi="Cambria Math"/>
                                  <w:i/>
                                  <w:color w:val="4F81BD" w:themeColor="accent1"/>
                                  <w:sz w:val="20"/>
                                  <w:lang w:val="en-GB"/>
                                </w:rPr>
                              </m:ctrlPr>
                            </m:dPr>
                            <m:e>
                              <m:r>
                                <w:rPr>
                                  <w:rFonts w:ascii="Cambria Math" w:hAnsi="Cambria Math"/>
                                  <w:color w:val="4F81BD" w:themeColor="accent1"/>
                                  <w:sz w:val="20"/>
                                  <w:lang w:val="en-GB"/>
                                </w:rPr>
                                <m:t>T,S</m:t>
                              </m:r>
                            </m:e>
                          </m:d>
                          <m:r>
                            <w:rPr>
                              <w:rFonts w:ascii="Cambria Math" w:hAnsi="Cambria Math"/>
                              <w:color w:val="4F81BD" w:themeColor="accent1"/>
                              <w:sz w:val="20"/>
                              <w:lang w:val="en-GB"/>
                            </w:rPr>
                            <m:t>∙</m:t>
                          </m:r>
                          <m:sSubSup>
                            <m:sSubSupPr>
                              <m:ctrlPr>
                                <w:rPr>
                                  <w:rFonts w:ascii="Cambria Math" w:hAnsi="Cambria Math"/>
                                  <w:i/>
                                  <w:color w:val="4F81BD" w:themeColor="accent1"/>
                                  <w:sz w:val="20"/>
                                  <w:lang w:val="en-GB"/>
                                </w:rPr>
                              </m:ctrlPr>
                            </m:sSubSupPr>
                            <m:e>
                              <m:r>
                                <w:rPr>
                                  <w:rFonts w:ascii="Cambria Math" w:hAnsi="Cambria Math"/>
                                  <w:color w:val="4F81BD" w:themeColor="accent1"/>
                                  <w:sz w:val="20"/>
                                  <w:lang w:val="en-GB"/>
                                </w:rPr>
                                <m:t>W</m:t>
                              </m:r>
                            </m:e>
                            <m:sub>
                              <m:r>
                                <w:rPr>
                                  <w:rFonts w:ascii="Cambria Math" w:hAnsi="Cambria Math"/>
                                  <w:color w:val="4F81BD" w:themeColor="accent1"/>
                                  <w:sz w:val="20"/>
                                  <w:lang w:val="en-GB"/>
                                </w:rPr>
                                <m:t>j</m:t>
                              </m:r>
                            </m:sub>
                            <m:sup>
                              <m:r>
                                <w:rPr>
                                  <w:rFonts w:ascii="Cambria Math" w:hAnsi="Cambria Math"/>
                                  <w:color w:val="4F81BD" w:themeColor="accent1"/>
                                  <w:sz w:val="20"/>
                                  <w:lang w:val="en-GB"/>
                                </w:rPr>
                                <m:t>km</m:t>
                              </m:r>
                            </m:sup>
                          </m:sSubSup>
                        </m:e>
                      </m:nary>
                    </m:oMath>
                  </m:oMathPara>
                </w:p>
                <w:p w14:paraId="1D9E0F51"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53BE5348"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Z</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annual air pollution costs, in PLN,</w:t>
                  </w:r>
                </w:p>
                <w:p w14:paraId="478DCE68"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j                            – number of categories of vehicles,</w:t>
                  </w:r>
                </w:p>
                <w:p w14:paraId="26343477"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s,j</w:t>
                  </w:r>
                  <w:proofErr w:type="spellEnd"/>
                  <w:r w:rsidRPr="0045151D">
                    <w:rPr>
                      <w:rFonts w:ascii="Calibri" w:eastAsia="Calibri" w:hAnsi="Calibri" w:cs="Calibri"/>
                      <w:color w:val="4F81BD"/>
                      <w:sz w:val="18"/>
                      <w:szCs w:val="18"/>
                      <w:lang w:val="en-GB"/>
                    </w:rPr>
                    <w:t xml:space="preserve">(T,S)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unit costs of the air pollution of vehicles category “j” in the function of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slope of terrain T and technical condition of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pavement S, in PLN/</w:t>
                  </w:r>
                  <w:proofErr w:type="spellStart"/>
                  <w:r w:rsidRPr="0045151D">
                    <w:rPr>
                      <w:rFonts w:ascii="Calibri" w:eastAsia="Calibri" w:hAnsi="Calibri" w:cs="Calibri"/>
                      <w:color w:val="4F81BD"/>
                      <w:sz w:val="18"/>
                      <w:szCs w:val="18"/>
                      <w:lang w:val="en-GB"/>
                    </w:rPr>
                    <w:t>veh</w:t>
                  </w:r>
                  <w:proofErr w:type="spellEnd"/>
                  <w:r w:rsidRPr="0045151D">
                    <w:rPr>
                      <w:rFonts w:ascii="Calibri" w:eastAsia="Calibri" w:hAnsi="Calibri" w:cs="Calibri"/>
                      <w:color w:val="4F81BD"/>
                      <w:sz w:val="18"/>
                      <w:szCs w:val="18"/>
                      <w:lang w:val="en-GB"/>
                    </w:rPr>
                    <w:t xml:space="preserve">-km, </w:t>
                  </w:r>
                </w:p>
                <w:p w14:paraId="3BCD740D"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average daily traffic of vehicles category “j”, in vehicles/day (AADT),</w:t>
                  </w:r>
                </w:p>
                <w:p w14:paraId="53E9E0C0"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length of road section, in km,</w:t>
                  </w:r>
                </w:p>
                <w:p w14:paraId="4E601146"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transport work depending on the road section length, vehicle category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“j”, in vehicles-kilometres/</w:t>
                  </w:r>
                  <w:proofErr w:type="spellStart"/>
                  <w:r w:rsidRPr="0045151D">
                    <w:rPr>
                      <w:rFonts w:ascii="Calibri" w:eastAsia="Calibri" w:hAnsi="Calibri" w:cs="Calibri"/>
                      <w:color w:val="4F81BD"/>
                      <w:sz w:val="18"/>
                      <w:szCs w:val="18"/>
                      <w:lang w:val="en-GB"/>
                    </w:rPr>
                    <w:t>day,W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 L* </w:t>
                  </w: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 </w:t>
                  </w:r>
                </w:p>
                <w:p w14:paraId="56837701" w14:textId="6E0239CD" w:rsidR="00C57C6B" w:rsidRPr="0045151D" w:rsidRDefault="00C57C6B">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
              </w:tc>
            </w:tr>
          </w:tbl>
          <w:p w14:paraId="258A216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 xml:space="preserve">Source: </w:t>
            </w:r>
            <w:proofErr w:type="spellStart"/>
            <w:r>
              <w:rPr>
                <w:rFonts w:ascii="Calibri" w:eastAsia="Calibri" w:hAnsi="Calibri" w:cs="Calibri"/>
                <w:b/>
                <w:i/>
                <w:color w:val="000000"/>
                <w:sz w:val="16"/>
                <w:szCs w:val="16"/>
              </w:rPr>
              <w:t>proprietary</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work</w:t>
            </w:r>
            <w:proofErr w:type="spellEnd"/>
            <w:r>
              <w:rPr>
                <w:rFonts w:ascii="Calibri" w:eastAsia="Calibri" w:hAnsi="Calibri" w:cs="Calibri"/>
                <w:b/>
                <w:i/>
                <w:color w:val="000000"/>
                <w:sz w:val="16"/>
                <w:szCs w:val="16"/>
              </w:rPr>
              <w:t>.</w:t>
            </w:r>
          </w:p>
        </w:tc>
      </w:tr>
    </w:tbl>
    <w:p w14:paraId="39D625B8" w14:textId="2CEF9891" w:rsidR="00600DEE" w:rsidRPr="00E301CF" w:rsidRDefault="00641FB5" w:rsidP="00D5736B">
      <w:pPr>
        <w:pStyle w:val="Nagwek3"/>
        <w:numPr>
          <w:ilvl w:val="2"/>
          <w:numId w:val="17"/>
        </w:numPr>
        <w:ind w:left="0" w:firstLine="0"/>
        <w:rPr>
          <w:rFonts w:ascii="Calibri" w:eastAsia="Calibri" w:hAnsi="Calibri" w:cs="Calibri"/>
          <w:color w:val="4F81BD"/>
          <w:lang w:val="en-US"/>
        </w:rPr>
      </w:pPr>
      <w:bookmarkStart w:id="76" w:name="_Toc95377990"/>
      <w:proofErr w:type="spellStart"/>
      <w:r w:rsidRPr="00E301CF">
        <w:rPr>
          <w:rFonts w:ascii="Calibri" w:eastAsia="Calibri" w:hAnsi="Calibri" w:cs="Calibri"/>
          <w:color w:val="4F81BD"/>
          <w:lang w:val="en-US"/>
        </w:rPr>
        <w:lastRenderedPageBreak/>
        <w:t>Koszty</w:t>
      </w:r>
      <w:proofErr w:type="spellEnd"/>
      <w:r w:rsidRPr="00E301CF">
        <w:rPr>
          <w:rFonts w:ascii="Calibri" w:eastAsia="Calibri" w:hAnsi="Calibri" w:cs="Calibri"/>
          <w:color w:val="4F81BD"/>
          <w:lang w:val="en-US"/>
        </w:rPr>
        <w:t xml:space="preserve"> </w:t>
      </w:r>
      <w:proofErr w:type="spellStart"/>
      <w:r w:rsidRPr="00E301CF">
        <w:rPr>
          <w:rFonts w:ascii="Calibri" w:eastAsia="Calibri" w:hAnsi="Calibri" w:cs="Calibri"/>
          <w:color w:val="4F81BD"/>
          <w:lang w:val="en-US"/>
        </w:rPr>
        <w:t>zmian</w:t>
      </w:r>
      <w:proofErr w:type="spellEnd"/>
      <w:r w:rsidRPr="00E301CF">
        <w:rPr>
          <w:rFonts w:ascii="Calibri" w:eastAsia="Calibri" w:hAnsi="Calibri" w:cs="Calibri"/>
          <w:color w:val="4F81BD"/>
          <w:lang w:val="en-US"/>
        </w:rPr>
        <w:t xml:space="preserve"> </w:t>
      </w:r>
      <w:proofErr w:type="spellStart"/>
      <w:r w:rsidRPr="00E301CF">
        <w:rPr>
          <w:rFonts w:ascii="Calibri" w:eastAsia="Calibri" w:hAnsi="Calibri" w:cs="Calibri"/>
          <w:color w:val="4F81BD"/>
          <w:lang w:val="en-US"/>
        </w:rPr>
        <w:t>klimatu</w:t>
      </w:r>
      <w:proofErr w:type="spellEnd"/>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i/>
          <w:color w:val="4F81BD"/>
          <w:lang w:val="en-US"/>
        </w:rPr>
        <w:t xml:space="preserve">          2.1.5</w:t>
      </w:r>
      <w:r w:rsidRPr="00E301CF">
        <w:rPr>
          <w:rFonts w:ascii="Calibri" w:eastAsia="Calibri" w:hAnsi="Calibri" w:cs="Calibri"/>
          <w:i/>
          <w:color w:val="4F81BD"/>
          <w:lang w:val="en-US"/>
        </w:rPr>
        <w:tab/>
        <w:t>Climate change costs</w:t>
      </w:r>
      <w:bookmarkEnd w:id="76"/>
    </w:p>
    <w:tbl>
      <w:tblPr>
        <w:tblStyle w:val="afffff0"/>
        <w:tblW w:w="14571" w:type="dxa"/>
        <w:jc w:val="center"/>
        <w:tblLayout w:type="fixed"/>
        <w:tblLook w:val="0400" w:firstRow="0" w:lastRow="0" w:firstColumn="0" w:lastColumn="0" w:noHBand="0" w:noVBand="1"/>
      </w:tblPr>
      <w:tblGrid>
        <w:gridCol w:w="7356"/>
        <w:gridCol w:w="7215"/>
      </w:tblGrid>
      <w:tr w:rsidR="00600DEE" w:rsidRPr="007463B9" w14:paraId="448DC4D0" w14:textId="77777777">
        <w:trPr>
          <w:jc w:val="center"/>
        </w:trPr>
        <w:tc>
          <w:tcPr>
            <w:tcW w:w="7356" w:type="dxa"/>
            <w:tcBorders>
              <w:right w:val="single" w:sz="4" w:space="0" w:color="000000"/>
            </w:tcBorders>
            <w:tcMar>
              <w:left w:w="284" w:type="dxa"/>
              <w:right w:w="284" w:type="dxa"/>
            </w:tcMar>
          </w:tcPr>
          <w:p w14:paraId="6771D271" w14:textId="7ADD0DBB"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zmian klimatu, wpływu emisji gazów cieplarnianych (GHG) dla wszystk</w:t>
            </w:r>
            <w:r w:rsidR="00B10112">
              <w:rPr>
                <w:rFonts w:ascii="Calibri" w:eastAsia="Calibri" w:hAnsi="Calibri" w:cs="Calibri"/>
                <w:color w:val="000000"/>
                <w:sz w:val="20"/>
                <w:szCs w:val="20"/>
              </w:rPr>
              <w:t>ich wariantów (W0 i </w:t>
            </w:r>
            <w:proofErr w:type="spellStart"/>
            <w:r w:rsidR="00B10112">
              <w:rPr>
                <w:rFonts w:ascii="Calibri" w:eastAsia="Calibri" w:hAnsi="Calibri" w:cs="Calibri"/>
                <w:color w:val="000000"/>
                <w:sz w:val="20"/>
                <w:szCs w:val="20"/>
              </w:rPr>
              <w:t>W</w:t>
            </w:r>
            <w:r>
              <w:rPr>
                <w:rFonts w:ascii="Calibri" w:eastAsia="Calibri" w:hAnsi="Calibri" w:cs="Calibri"/>
                <w:color w:val="000000"/>
                <w:sz w:val="20"/>
                <w:szCs w:val="20"/>
              </w:rPr>
              <w:t>n</w:t>
            </w:r>
            <w:proofErr w:type="spellEnd"/>
            <w:r>
              <w:rPr>
                <w:rFonts w:ascii="Calibri" w:eastAsia="Calibri" w:hAnsi="Calibri" w:cs="Calibri"/>
                <w:color w:val="000000"/>
                <w:sz w:val="20"/>
                <w:szCs w:val="20"/>
              </w:rPr>
              <w:t xml:space="preserve">) to łączne koszty generowane przez wszystkich użytkowników poruszających się po sieciach transportowych będących przedmiotem analizy. </w:t>
            </w:r>
          </w:p>
          <w:p w14:paraId="14A327A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Na koszty zmian klimatu (wyrażonych jako ekwiwalent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składa się całkowita ekwiwalentna emisja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pomnożona przez koszt jednostkowy. </w:t>
            </w:r>
          </w:p>
          <w:p w14:paraId="5234C2AD" w14:textId="224BC1D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7" w:name="_heading=h.sqyw64" w:colFirst="0" w:colLast="0"/>
            <w:bookmarkEnd w:id="77"/>
            <w:r>
              <w:rPr>
                <w:rFonts w:ascii="Calibri" w:eastAsia="Calibri" w:hAnsi="Calibri" w:cs="Calibri"/>
                <w:color w:val="000000"/>
                <w:sz w:val="20"/>
                <w:szCs w:val="20"/>
              </w:rPr>
              <w:t>Zaproponowana metodologia jest zgodna z Metodologią Kalkulacji Śladu Węglowego Projektu stosowaną przez EBI, wersja 11.1, Lipiec 2020, która polega na ocenie oddziaływania emisji gazów cieplarnianych z projektów infrastruktury drogowej wynikającego  głównie z fazy eksploatacyjnej projektu (ruchu pojazdów</w:t>
            </w:r>
            <w:r w:rsidR="0010419F">
              <w:rPr>
                <w:rFonts w:ascii="Calibri" w:eastAsia="Calibri" w:hAnsi="Calibri" w:cs="Calibri"/>
                <w:color w:val="000000"/>
                <w:sz w:val="20"/>
                <w:szCs w:val="20"/>
              </w:rPr>
              <w:t xml:space="preserve"> na różnych sieciach, drogowych</w:t>
            </w:r>
            <w:r>
              <w:rPr>
                <w:rFonts w:ascii="Calibri" w:eastAsia="Calibri" w:hAnsi="Calibri" w:cs="Calibri"/>
                <w:color w:val="000000"/>
                <w:sz w:val="20"/>
                <w:szCs w:val="20"/>
              </w:rPr>
              <w:t xml:space="preserve"> i kolejowych). </w:t>
            </w:r>
          </w:p>
          <w:p w14:paraId="4D1D499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8" w:name="_heading=h.3cqmetx" w:colFirst="0" w:colLast="0"/>
            <w:bookmarkEnd w:id="78"/>
            <w:r>
              <w:rPr>
                <w:rFonts w:ascii="Calibri" w:eastAsia="Calibri" w:hAnsi="Calibri" w:cs="Calibri"/>
                <w:color w:val="000000"/>
                <w:sz w:val="20"/>
                <w:szCs w:val="20"/>
              </w:rPr>
              <w:t>Zgodnie z powyższą metodologią, emisje gazów cieplarnianych innych niż dwutlenek węgla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(tj. metan CH</w:t>
            </w:r>
            <w:r>
              <w:rPr>
                <w:rFonts w:ascii="Calibri" w:eastAsia="Calibri" w:hAnsi="Calibri" w:cs="Calibri"/>
                <w:color w:val="000000"/>
                <w:sz w:val="20"/>
                <w:szCs w:val="20"/>
                <w:vertAlign w:val="subscript"/>
              </w:rPr>
              <w:t>4</w:t>
            </w:r>
            <w:r>
              <w:rPr>
                <w:rFonts w:ascii="Calibri" w:eastAsia="Calibri" w:hAnsi="Calibri" w:cs="Calibri"/>
                <w:color w:val="000000"/>
                <w:sz w:val="20"/>
                <w:szCs w:val="20"/>
              </w:rPr>
              <w:t xml:space="preserve"> i podtlenek azotu N</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O) nie są uwzględnione, ponieważ ich wpływ uznaje się za pomijalny. Do celów obliczeniowych współczynniki emisji GHG można uznać jako dotyczące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e.</w:t>
            </w:r>
          </w:p>
          <w:p w14:paraId="779D823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Szacowanie emisji gazów cieplarnianych dla projektów według metodologii, o której mowa powyżej wymaga oceny i przedstawienia informacji na temat:</w:t>
            </w:r>
          </w:p>
          <w:p w14:paraId="7099800C" w14:textId="5CD85811" w:rsidR="00600DEE" w:rsidRDefault="00641FB5" w:rsidP="00D5736B">
            <w:pPr>
              <w:numPr>
                <w:ilvl w:val="0"/>
                <w:numId w:val="64"/>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Emisji bezwzględnych</w:t>
            </w:r>
            <w:r>
              <w:rPr>
                <w:rFonts w:ascii="Calibri" w:eastAsia="Calibri" w:hAnsi="Calibri" w:cs="Calibri"/>
                <w:color w:val="000000"/>
                <w:sz w:val="20"/>
                <w:szCs w:val="20"/>
              </w:rPr>
              <w:t>: całkowi</w:t>
            </w:r>
            <w:r w:rsidR="0010419F">
              <w:rPr>
                <w:rFonts w:ascii="Calibri" w:eastAsia="Calibri" w:hAnsi="Calibri" w:cs="Calibri"/>
                <w:color w:val="000000"/>
                <w:sz w:val="20"/>
                <w:szCs w:val="20"/>
              </w:rPr>
              <w:t>t</w:t>
            </w:r>
            <w:r>
              <w:rPr>
                <w:rFonts w:ascii="Calibri" w:eastAsia="Calibri" w:hAnsi="Calibri" w:cs="Calibri"/>
                <w:color w:val="000000"/>
                <w:sz w:val="20"/>
                <w:szCs w:val="20"/>
              </w:rPr>
              <w:t>ej emisji wytworzonej przez projekt w typowym roku eksploatacji</w:t>
            </w:r>
            <w:r w:rsidR="00784B01">
              <w:rPr>
                <w:rFonts w:ascii="Calibri" w:eastAsia="Calibri" w:hAnsi="Calibri" w:cs="Calibri"/>
                <w:color w:val="000000"/>
                <w:sz w:val="20"/>
                <w:szCs w:val="20"/>
                <w:vertAlign w:val="superscript"/>
              </w:rPr>
              <w:t>13</w:t>
            </w:r>
            <w:r>
              <w:rPr>
                <w:rFonts w:ascii="Calibri" w:eastAsia="Calibri" w:hAnsi="Calibri" w:cs="Calibri"/>
                <w:color w:val="000000"/>
                <w:sz w:val="20"/>
                <w:szCs w:val="20"/>
              </w:rPr>
              <w:t xml:space="preserve"> (tCO</w:t>
            </w:r>
            <w:r w:rsidRPr="0010419F">
              <w:rPr>
                <w:rFonts w:ascii="Calibri" w:eastAsia="Calibri" w:hAnsi="Calibri" w:cs="Calibri"/>
                <w:color w:val="000000"/>
                <w:sz w:val="20"/>
                <w:szCs w:val="20"/>
                <w:vertAlign w:val="subscript"/>
              </w:rPr>
              <w:t>2</w:t>
            </w:r>
            <w:r>
              <w:rPr>
                <w:rFonts w:ascii="Calibri" w:eastAsia="Calibri" w:hAnsi="Calibri" w:cs="Calibri"/>
                <w:color w:val="000000"/>
                <w:sz w:val="20"/>
                <w:szCs w:val="20"/>
              </w:rPr>
              <w:t>e);</w:t>
            </w:r>
          </w:p>
          <w:p w14:paraId="4BD2472B" w14:textId="3FBC52A1" w:rsidR="00600DEE" w:rsidRDefault="00641FB5" w:rsidP="00D5736B">
            <w:pPr>
              <w:numPr>
                <w:ilvl w:val="0"/>
                <w:numId w:val="64"/>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Emisji względnych</w:t>
            </w:r>
            <w:r>
              <w:rPr>
                <w:rFonts w:ascii="Calibri" w:eastAsia="Calibri" w:hAnsi="Calibri" w:cs="Calibri"/>
                <w:color w:val="000000"/>
                <w:sz w:val="20"/>
                <w:szCs w:val="20"/>
              </w:rPr>
              <w:t>: podanej w ujęciu przyrostowym (zwiększenia/zmniejszenia) różnicy w emisjach pomi</w:t>
            </w:r>
            <w:r w:rsidR="0010419F">
              <w:rPr>
                <w:rFonts w:ascii="Calibri" w:eastAsia="Calibri" w:hAnsi="Calibri" w:cs="Calibri"/>
                <w:color w:val="000000"/>
                <w:sz w:val="20"/>
                <w:szCs w:val="20"/>
              </w:rPr>
              <w:t>ędzy wariantem inwestycyjnym (</w:t>
            </w:r>
            <w:proofErr w:type="spellStart"/>
            <w:r w:rsidR="0010419F">
              <w:rPr>
                <w:rFonts w:ascii="Calibri" w:eastAsia="Calibri" w:hAnsi="Calibri" w:cs="Calibri"/>
                <w:color w:val="000000"/>
                <w:sz w:val="20"/>
                <w:szCs w:val="20"/>
              </w:rPr>
              <w:t>W</w:t>
            </w:r>
            <w:r>
              <w:rPr>
                <w:rFonts w:ascii="Calibri" w:eastAsia="Calibri" w:hAnsi="Calibri" w:cs="Calibri"/>
                <w:color w:val="000000"/>
                <w:sz w:val="20"/>
                <w:szCs w:val="20"/>
              </w:rPr>
              <w:t>n</w:t>
            </w:r>
            <w:proofErr w:type="spellEnd"/>
            <w:r>
              <w:rPr>
                <w:rFonts w:ascii="Calibri" w:eastAsia="Calibri" w:hAnsi="Calibri" w:cs="Calibri"/>
                <w:color w:val="000000"/>
                <w:sz w:val="20"/>
                <w:szCs w:val="20"/>
              </w:rPr>
              <w:t>) i bezinwestycyjnym (W0) opisanym w AKK w typowym roku eksploatacji (tCO</w:t>
            </w:r>
            <w:r w:rsidRPr="0010419F">
              <w:rPr>
                <w:rFonts w:ascii="Calibri" w:eastAsia="Calibri" w:hAnsi="Calibri" w:cs="Calibri"/>
                <w:color w:val="000000"/>
                <w:sz w:val="20"/>
                <w:szCs w:val="20"/>
                <w:vertAlign w:val="subscript"/>
              </w:rPr>
              <w:t>2</w:t>
            </w:r>
            <w:r>
              <w:rPr>
                <w:rFonts w:ascii="Calibri" w:eastAsia="Calibri" w:hAnsi="Calibri" w:cs="Calibri"/>
                <w:color w:val="000000"/>
                <w:sz w:val="20"/>
                <w:szCs w:val="20"/>
              </w:rPr>
              <w:t>e).</w:t>
            </w:r>
          </w:p>
          <w:p w14:paraId="5D010B5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Jak przedstawiono powyżej, koszty emisji gazów cieplarnianych, tzn. CO</w:t>
            </w:r>
            <w:r>
              <w:rPr>
                <w:rFonts w:ascii="Calibri" w:eastAsia="Calibri" w:hAnsi="Calibri" w:cs="Calibri"/>
                <w:color w:val="000000"/>
                <w:sz w:val="20"/>
                <w:szCs w:val="20"/>
                <w:vertAlign w:val="subscript"/>
              </w:rPr>
              <w:t xml:space="preserve">2, </w:t>
            </w:r>
            <w:r>
              <w:rPr>
                <w:rFonts w:ascii="Calibri" w:eastAsia="Calibri" w:hAnsi="Calibri" w:cs="Calibri"/>
                <w:color w:val="000000"/>
                <w:sz w:val="20"/>
                <w:szCs w:val="20"/>
              </w:rPr>
              <w:t xml:space="preserve">będą wynikiem pomnożenia rocznych względnych emisji projektu przez koszty jednostkowe. Szacowanie rocznych względnych emisji uzależnione będzie od emisji wytworzonych przez użytkowników różnych pojazdów (i środków transportu) na danej sieci (analogicznie, jak w przypadku kosztów eksploatacji). W tym przypadku </w:t>
            </w:r>
            <w:r>
              <w:rPr>
                <w:rFonts w:ascii="Calibri" w:eastAsia="Calibri" w:hAnsi="Calibri" w:cs="Calibri"/>
                <w:color w:val="000000"/>
                <w:sz w:val="20"/>
                <w:szCs w:val="20"/>
              </w:rPr>
              <w:lastRenderedPageBreak/>
              <w:t>mowa jest o „współczynnikach emisji gazów cieplarnianych”, które mnoży się przez odpowiednią pracę przewozową (jak podano w poniższych wzorach).</w:t>
            </w:r>
          </w:p>
          <w:p w14:paraId="0C1E11AF" w14:textId="50ADDD92"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Współczynniki emisji uzależnione są od pojazdów (i środków transportu) użytkowników, w zakresie zużycia paliwa/</w:t>
            </w:r>
            <w:r w:rsidR="00784B01">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energii. W przypadku pojazdów drogowych, zgodnie z opisem rozdziału o kosztach eksploatacji pojazdu, zużycie paliwa zależy przede wszystkim od prędkości, kategorii pojazdu, jak również stanu nawierzchni i geometrii drogi. W rozdziale na temat kosztów eksploatacji opisano założenia dla aktualnego składu floty pojazdów drogowych i jego spodziewaną ewolucję – założenia te mają również w pełni zastosowanie do współczynników emisji gazów cieplarnianych (ponieważ są ściśle uzależnione od zużycia paliwa/energii). W załączniku A znaleźć można wartości współczynników emisji gazów cieplarnianych wraz z zasadami obliczeń. </w:t>
            </w:r>
          </w:p>
          <w:p w14:paraId="01C31FEA" w14:textId="77777777" w:rsidR="00FF6918" w:rsidRPr="00371A33" w:rsidRDefault="00FF6918" w:rsidP="00FF6918">
            <w:pPr>
              <w:pStyle w:val="anxnormal"/>
              <w:ind w:left="0"/>
              <w:rPr>
                <w:rFonts w:asciiTheme="minorHAnsi" w:hAnsiTheme="minorHAnsi"/>
              </w:rPr>
            </w:pPr>
            <w:r w:rsidRPr="00EA6879">
              <w:rPr>
                <w:rFonts w:asciiTheme="minorHAnsi" w:hAnsiTheme="minorHAnsi"/>
              </w:rPr>
              <w:t>W przypadku ruchu drogowego metodologia obliczania kosztów emisji gazów cieplarnianych opiera się na oszacowaniu konsekwencji fazy operacyjnej projektu dla pojazdów z silnikiem spalinowym (LV i HGV) oraz pojazdów elektrycznych (tylko LV). W przypadku pojazdów z silniki</w:t>
            </w:r>
            <w:r w:rsidRPr="00371A33">
              <w:rPr>
                <w:rFonts w:asciiTheme="minorHAnsi" w:hAnsiTheme="minorHAnsi"/>
              </w:rPr>
              <w:t xml:space="preserve">em spalinowym uwzględnia się bezpośrednie emisje związane z fazą eksploatacji, natomiast w przypadku pojazdów elektrycznych uwzględnia się pośrednie emisje gazów cieplarnianych związane z wytwarzaniem i dostarczaniem energii służącej eksploatacji pojazdów elektrycznych (tj. współczynnik sieci). </w:t>
            </w:r>
          </w:p>
          <w:p w14:paraId="35ABF846" w14:textId="77777777" w:rsidR="00FF6918" w:rsidRPr="00755C01" w:rsidRDefault="00FF6918" w:rsidP="00FF6918">
            <w:pPr>
              <w:pStyle w:val="anxnormal"/>
              <w:ind w:left="0"/>
              <w:rPr>
                <w:rFonts w:asciiTheme="minorHAnsi" w:hAnsiTheme="minorHAnsi"/>
              </w:rPr>
            </w:pPr>
            <w:r w:rsidRPr="00371A33">
              <w:rPr>
                <w:rFonts w:asciiTheme="minorHAnsi" w:hAnsiTheme="minorHAnsi"/>
              </w:rPr>
              <w:t>W przypadku transportu kolejowego stosuje się analogiczne zasady, odpowiednio dla spalinowych i elektrycznych pojazdów trakcyjnych. Właściwe współczynniki emisji gazów cieplarnianych dla transportu kolejowego również podano w załączniku A.</w:t>
            </w:r>
          </w:p>
          <w:p w14:paraId="22F1BA18" w14:textId="519FA21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Roczne wartości emisji gazów cieplarnianych należy pomnożyć przez jednostkowe koszty ekonomiczne ekwiwalentu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podany w tym samym załączniku, a oparty na Mapie Drogowej na lata 2021-2025 grupy ds. klimatu EBI (listopad 2020 r.), tzn.: 80 EUR/t CO</w:t>
            </w:r>
            <w:r>
              <w:rPr>
                <w:rFonts w:ascii="Calibri" w:eastAsia="Calibri" w:hAnsi="Calibri" w:cs="Calibri"/>
                <w:color w:val="000000"/>
                <w:sz w:val="20"/>
                <w:szCs w:val="20"/>
                <w:vertAlign w:val="subscript"/>
              </w:rPr>
              <w:t>2</w:t>
            </w:r>
            <w:r w:rsidRPr="00FF6918">
              <w:rPr>
                <w:rFonts w:ascii="Calibri" w:eastAsia="Calibri" w:hAnsi="Calibri" w:cs="Calibri"/>
                <w:color w:val="000000"/>
                <w:sz w:val="20"/>
                <w:szCs w:val="20"/>
              </w:rPr>
              <w:t>e</w:t>
            </w:r>
            <w:r>
              <w:rPr>
                <w:rFonts w:ascii="Calibri" w:eastAsia="Calibri" w:hAnsi="Calibri" w:cs="Calibri"/>
                <w:color w:val="000000"/>
                <w:sz w:val="20"/>
                <w:szCs w:val="20"/>
              </w:rPr>
              <w:t xml:space="preserve"> w 2020 do 800 EUR/t 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e</w:t>
            </w:r>
            <w:r>
              <w:rPr>
                <w:rFonts w:ascii="Calibri" w:eastAsia="Calibri" w:hAnsi="Calibri" w:cs="Calibri"/>
                <w:color w:val="000000"/>
                <w:sz w:val="20"/>
                <w:szCs w:val="20"/>
              </w:rPr>
              <w:t xml:space="preserve"> w 2050 r.; poziom cen 2016 r. W załączniku A kwoty te zostały przeliczone na PLN z uwzględnieniem odpowiednich poziomów cen w obliczeniach.</w:t>
            </w:r>
          </w:p>
          <w:p w14:paraId="2E7D02E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Ponieważ szkody wywołane przez globalne ocieplenie mają charakter globalny, nie ma znaczenia jakie jest źródło gazów cieplarnianych oraz gdzie w Europie dochodzi do ich emisji. Z tego względu we wszystkich krajach UE stosuje się takie same współczynniki kosztowe. </w:t>
            </w:r>
          </w:p>
          <w:p w14:paraId="0CE5767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Koszty te podlegają indeksacji. Zmienność kosztów jednostkowych w czasie jest przedstawiona w załączniku A.</w:t>
            </w:r>
          </w:p>
          <w:p w14:paraId="59FE9A8E" w14:textId="05944EF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Sposób wyliczania tych kosztów zarówno dla analizy odcinkowej jak i analizy wykonanej metodą sieciową/buforową </w:t>
            </w:r>
            <w:r>
              <w:rPr>
                <w:rFonts w:ascii="Calibri" w:eastAsia="Calibri" w:hAnsi="Calibri" w:cs="Calibri"/>
                <w:color w:val="222222"/>
                <w:sz w:val="20"/>
                <w:szCs w:val="20"/>
              </w:rPr>
              <w:t xml:space="preserve">wymaga pomnożenia całkowitej rocznej </w:t>
            </w:r>
            <w:r w:rsidRPr="0010419F">
              <w:rPr>
                <w:rFonts w:asciiTheme="minorHAnsi" w:eastAsia="Calibri" w:hAnsiTheme="minorHAnsi" w:cs="Calibri"/>
                <w:color w:val="222222"/>
                <w:sz w:val="20"/>
                <w:szCs w:val="20"/>
              </w:rPr>
              <w:t>emisji </w:t>
            </w:r>
            <w:r w:rsidR="0010419F" w:rsidRPr="0010419F">
              <w:rPr>
                <w:rStyle w:val="hps"/>
                <w:rFonts w:asciiTheme="minorHAnsi" w:hAnsiTheme="minorHAnsi"/>
                <w:sz w:val="20"/>
                <w:szCs w:val="20"/>
              </w:rPr>
              <w:t>obliczonej z wykorzystaniem współczynników emisji</w:t>
            </w:r>
            <w:r w:rsidR="0010419F" w:rsidRPr="008A4B8D">
              <w:rPr>
                <w:rStyle w:val="hps"/>
                <w:rFonts w:asciiTheme="minorHAnsi" w:hAnsiTheme="minorHAnsi"/>
              </w:rPr>
              <w:t> </w:t>
            </w:r>
            <w:r w:rsidR="0010419F">
              <w:rPr>
                <w:rFonts w:ascii="Calibri" w:eastAsia="Calibri" w:hAnsi="Calibri" w:cs="Calibri"/>
                <w:color w:val="000000"/>
                <w:sz w:val="20"/>
                <w:szCs w:val="20"/>
              </w:rPr>
              <w:t xml:space="preserve"> </w:t>
            </w:r>
            <w:r>
              <w:rPr>
                <w:rFonts w:ascii="Calibri" w:eastAsia="Calibri" w:hAnsi="Calibri" w:cs="Calibri"/>
                <w:color w:val="000000"/>
                <w:sz w:val="20"/>
                <w:szCs w:val="20"/>
              </w:rPr>
              <w:t>–</w:t>
            </w:r>
            <w:r w:rsidR="0010419F">
              <w:rPr>
                <w:rFonts w:ascii="Calibri" w:eastAsia="Calibri" w:hAnsi="Calibri" w:cs="Calibri"/>
                <w:color w:val="000000"/>
                <w:sz w:val="20"/>
                <w:szCs w:val="20"/>
              </w:rPr>
              <w:t xml:space="preserve"> </w:t>
            </w:r>
            <w:r>
              <w:rPr>
                <w:rFonts w:ascii="Calibri" w:eastAsia="Calibri" w:hAnsi="Calibri" w:cs="Calibri"/>
                <w:color w:val="000000"/>
                <w:sz w:val="20"/>
                <w:szCs w:val="20"/>
              </w:rPr>
              <w:t>w tCO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e</w:t>
            </w:r>
            <w:r>
              <w:rPr>
                <w:rFonts w:ascii="Calibri" w:eastAsia="Calibri" w:hAnsi="Calibri" w:cs="Calibri"/>
                <w:color w:val="000000"/>
                <w:sz w:val="20"/>
                <w:szCs w:val="20"/>
              </w:rPr>
              <w:t>/</w:t>
            </w:r>
            <w:proofErr w:type="spellStart"/>
            <w:r>
              <w:rPr>
                <w:rFonts w:ascii="Calibri" w:eastAsia="Calibri" w:hAnsi="Calibri" w:cs="Calibri"/>
                <w:color w:val="000000"/>
                <w:sz w:val="20"/>
                <w:szCs w:val="20"/>
              </w:rPr>
              <w:t>pojkm</w:t>
            </w:r>
            <w:proofErr w:type="spellEnd"/>
            <w:r>
              <w:rPr>
                <w:rFonts w:ascii="Calibri" w:eastAsia="Calibri" w:hAnsi="Calibri" w:cs="Calibri"/>
                <w:color w:val="000000"/>
                <w:sz w:val="20"/>
                <w:szCs w:val="20"/>
              </w:rPr>
              <w:t>–przez koszt jednostkowy 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e</w:t>
            </w:r>
            <w:r>
              <w:rPr>
                <w:rFonts w:ascii="Calibri" w:eastAsia="Calibri" w:hAnsi="Calibri" w:cs="Calibri"/>
                <w:color w:val="000000"/>
                <w:sz w:val="20"/>
                <w:szCs w:val="20"/>
                <w:vertAlign w:val="subscript"/>
              </w:rPr>
              <w:t xml:space="preserve"> w </w:t>
            </w:r>
            <w:r>
              <w:rPr>
                <w:rFonts w:ascii="Calibri" w:eastAsia="Calibri" w:hAnsi="Calibri" w:cs="Calibri"/>
                <w:color w:val="000000"/>
                <w:sz w:val="20"/>
                <w:szCs w:val="20"/>
              </w:rPr>
              <w:t>PLN/ tCO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 xml:space="preserve">e </w:t>
            </w:r>
            <w:r>
              <w:rPr>
                <w:rFonts w:ascii="Calibri" w:eastAsia="Calibri" w:hAnsi="Calibri" w:cs="Calibri"/>
                <w:color w:val="000000"/>
                <w:sz w:val="20"/>
                <w:szCs w:val="20"/>
              </w:rPr>
              <w:t xml:space="preserve">– podany w załączniku A, </w:t>
            </w:r>
            <w:r>
              <w:rPr>
                <w:rFonts w:ascii="Calibri" w:eastAsia="Calibri" w:hAnsi="Calibri" w:cs="Calibri"/>
                <w:color w:val="222222"/>
                <w:sz w:val="20"/>
                <w:szCs w:val="20"/>
              </w:rPr>
              <w:t>oraz zgodnie z poniższymi wzorami</w:t>
            </w:r>
            <w:r>
              <w:rPr>
                <w:rFonts w:ascii="Calibri" w:eastAsia="Calibri" w:hAnsi="Calibri" w:cs="Calibri"/>
                <w:color w:val="000000"/>
                <w:sz w:val="20"/>
                <w:szCs w:val="20"/>
              </w:rPr>
              <w:t xml:space="preserve">. </w:t>
            </w:r>
          </w:p>
          <w:p w14:paraId="083F26D1" w14:textId="617D1255" w:rsidR="00600DEE" w:rsidRDefault="0010419F">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21</w:t>
            </w:r>
            <w:r w:rsidR="00641FB5">
              <w:rPr>
                <w:rFonts w:ascii="Calibri" w:eastAsia="Calibri" w:hAnsi="Calibri" w:cs="Calibri"/>
                <w:b/>
                <w:color w:val="4F81BD"/>
                <w:sz w:val="20"/>
                <w:szCs w:val="20"/>
              </w:rPr>
              <w:t>. Wzory do obliczania kosztów zmian klimatu</w:t>
            </w:r>
          </w:p>
          <w:tbl>
            <w:tblPr>
              <w:tblStyle w:val="afffff1"/>
              <w:tblW w:w="68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94"/>
            </w:tblGrid>
            <w:tr w:rsidR="00600DEE" w14:paraId="22D7CAD5" w14:textId="77777777" w:rsidTr="005C3677">
              <w:trPr>
                <w:trHeight w:val="4826"/>
              </w:trPr>
              <w:tc>
                <w:tcPr>
                  <w:tcW w:w="6894" w:type="dxa"/>
                  <w:shd w:val="clear" w:color="auto" w:fill="DBE5F1"/>
                </w:tcPr>
                <w:p w14:paraId="79C0D1D3" w14:textId="77777777" w:rsidR="00600DEE" w:rsidRDefault="00641FB5">
                  <w:pPr>
                    <w:pBdr>
                      <w:top w:val="nil"/>
                      <w:left w:val="nil"/>
                      <w:bottom w:val="nil"/>
                      <w:right w:val="nil"/>
                      <w:between w:val="nil"/>
                    </w:pBdr>
                    <w:tabs>
                      <w:tab w:val="center" w:pos="3439"/>
                      <w:tab w:val="right" w:pos="6420"/>
                    </w:tabs>
                    <w:spacing w:before="120" w:after="40"/>
                    <w:rPr>
                      <w:rFonts w:ascii="Calibri" w:eastAsia="Calibri" w:hAnsi="Calibri" w:cs="Calibri"/>
                      <w:color w:val="4F81BD"/>
                      <w:sz w:val="18"/>
                      <w:szCs w:val="18"/>
                    </w:rPr>
                  </w:pPr>
                  <w:r>
                    <w:rPr>
                      <w:rFonts w:ascii="Calibri" w:eastAsia="Calibri" w:hAnsi="Calibri" w:cs="Calibri"/>
                      <w:color w:val="4F81BD"/>
                      <w:sz w:val="18"/>
                      <w:szCs w:val="18"/>
                    </w:rPr>
                    <w:tab/>
                  </w:r>
                  <w:r>
                    <w:rPr>
                      <w:rFonts w:ascii="Calibri" w:eastAsia="Calibri" w:hAnsi="Calibri" w:cs="Calibri"/>
                      <w:color w:val="4F81BD"/>
                      <w:sz w:val="18"/>
                      <w:szCs w:val="18"/>
                    </w:rPr>
                    <w:tab/>
                  </w:r>
                </w:p>
                <w:p w14:paraId="753E8ACE"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4110" w:dyaOrig="728" w14:anchorId="0255878B">
                      <v:shape id="_x0000_i1035" type="#_x0000_t75" style="width:205.7pt;height:36.45pt" o:ole="" filled="t">
                        <v:fill color2="black"/>
                        <v:imagedata r:id="rId126" o:title=""/>
                      </v:shape>
                      <o:OLEObject Type="Embed" ProgID="Equation.3" ShapeID="_x0000_i1035" DrawAspect="Content" ObjectID="_1708947477" r:id="rId127"/>
                    </w:object>
                  </w:r>
                </w:p>
                <w:p w14:paraId="7B5FE41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28BF204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ZK</w:t>
                  </w:r>
                  <w:r>
                    <w:rPr>
                      <w:rFonts w:ascii="Calibri" w:eastAsia="Calibri" w:hAnsi="Calibri" w:cs="Calibri"/>
                      <w:color w:val="4F81BD"/>
                      <w:sz w:val="18"/>
                      <w:szCs w:val="18"/>
                    </w:rPr>
                    <w:tab/>
                    <w:t xml:space="preserve">        – roczne  koszty  zmian klimatu spowodowanych przez pojazdy samochodowe,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 PLN,</w:t>
                  </w:r>
                </w:p>
                <w:p w14:paraId="4746F5E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j                        – liczba kategorii pojazdów, (także dla innych gałęzi transportu jeżeli ma to  zastosowanie)</w:t>
                  </w:r>
                </w:p>
                <w:p w14:paraId="08536C4B"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Pr>
                      <w:rFonts w:ascii="Calibri" w:eastAsia="Calibri" w:hAnsi="Calibri" w:cs="Calibri"/>
                      <w:color w:val="4F81BD"/>
                      <w:sz w:val="18"/>
                      <w:szCs w:val="18"/>
                      <w:vertAlign w:val="subscript"/>
                    </w:rPr>
                    <w:t>zk,j</w:t>
                  </w:r>
                  <w:proofErr w:type="spellEnd"/>
                  <w:r>
                    <w:rPr>
                      <w:rFonts w:ascii="Calibri" w:eastAsia="Calibri" w:hAnsi="Calibri" w:cs="Calibri"/>
                      <w:color w:val="4F81BD"/>
                      <w:sz w:val="18"/>
                      <w:szCs w:val="18"/>
                    </w:rPr>
                    <w:t>(</w:t>
                  </w:r>
                  <w:proofErr w:type="spellStart"/>
                  <w:r>
                    <w:rPr>
                      <w:rFonts w:ascii="Calibri" w:eastAsia="Calibri" w:hAnsi="Calibri" w:cs="Calibri"/>
                      <w:color w:val="4F81BD"/>
                      <w:sz w:val="18"/>
                      <w:szCs w:val="18"/>
                    </w:rPr>
                    <w:t>V</w:t>
                  </w:r>
                  <w:r>
                    <w:rPr>
                      <w:rFonts w:ascii="Calibri" w:eastAsia="Calibri" w:hAnsi="Calibri" w:cs="Calibri"/>
                      <w:color w:val="4F81BD"/>
                      <w:sz w:val="18"/>
                      <w:szCs w:val="18"/>
                      <w:vertAlign w:val="subscript"/>
                    </w:rPr>
                    <w:t>pdrt</w:t>
                  </w:r>
                  <w:proofErr w:type="spellEnd"/>
                  <w:r>
                    <w:rPr>
                      <w:rFonts w:ascii="Calibri" w:eastAsia="Calibri" w:hAnsi="Calibri" w:cs="Calibri"/>
                      <w:color w:val="4F81BD"/>
                      <w:sz w:val="18"/>
                      <w:szCs w:val="18"/>
                      <w:vertAlign w:val="subscript"/>
                    </w:rPr>
                    <w:t xml:space="preserve"> </w:t>
                  </w:r>
                  <w:proofErr w:type="spellStart"/>
                  <w:r>
                    <w:rPr>
                      <w:rFonts w:ascii="Calibri" w:eastAsia="Calibri" w:hAnsi="Calibri" w:cs="Calibri"/>
                      <w:color w:val="4F81BD"/>
                      <w:sz w:val="18"/>
                      <w:szCs w:val="18"/>
                      <w:vertAlign w:val="subscript"/>
                    </w:rPr>
                    <w:t>j</w:t>
                  </w:r>
                  <w:r>
                    <w:rPr>
                      <w:rFonts w:ascii="Calibri" w:eastAsia="Calibri" w:hAnsi="Calibri" w:cs="Calibri"/>
                      <w:color w:val="4F81BD"/>
                      <w:sz w:val="18"/>
                      <w:szCs w:val="18"/>
                    </w:rPr>
                    <w:t>,T,S</w:t>
                  </w:r>
                  <w:proofErr w:type="spellEnd"/>
                  <w:r>
                    <w:rPr>
                      <w:rFonts w:ascii="Calibri" w:eastAsia="Calibri" w:hAnsi="Calibri" w:cs="Calibri"/>
                      <w:color w:val="4F81BD"/>
                      <w:sz w:val="18"/>
                      <w:szCs w:val="18"/>
                    </w:rPr>
                    <w:t>)</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jednostkowe koszty  zmian klimatu dla kategorii pojazdów samochodowych</w:t>
                  </w:r>
                  <w:r>
                    <w:rPr>
                      <w:rFonts w:ascii="Calibri" w:eastAsia="Calibri" w:hAnsi="Calibri" w:cs="Calibri"/>
                      <w:color w:val="4F81BD"/>
                      <w:sz w:val="18"/>
                      <w:szCs w:val="18"/>
                    </w:rPr>
                    <w:br/>
                    <w:t xml:space="preserve">                            „j” w funkcji prędkości podróży </w:t>
                  </w:r>
                  <w:proofErr w:type="spellStart"/>
                  <w:r>
                    <w:rPr>
                      <w:rFonts w:ascii="Calibri" w:eastAsia="Calibri" w:hAnsi="Calibri" w:cs="Calibri"/>
                      <w:color w:val="4F81BD"/>
                      <w:sz w:val="18"/>
                      <w:szCs w:val="18"/>
                    </w:rPr>
                    <w:t>V</w:t>
                  </w:r>
                  <w:r>
                    <w:rPr>
                      <w:rFonts w:ascii="Calibri" w:eastAsia="Calibri" w:hAnsi="Calibri" w:cs="Calibri"/>
                      <w:color w:val="4F81BD"/>
                      <w:sz w:val="18"/>
                      <w:szCs w:val="18"/>
                      <w:vertAlign w:val="subscript"/>
                    </w:rPr>
                    <w:t>pdrt,j</w:t>
                  </w:r>
                  <w:proofErr w:type="spellEnd"/>
                  <w:r>
                    <w:rPr>
                      <w:rFonts w:ascii="Calibri" w:eastAsia="Calibri" w:hAnsi="Calibri" w:cs="Calibri"/>
                      <w:color w:val="4F81BD"/>
                      <w:sz w:val="18"/>
                      <w:szCs w:val="18"/>
                    </w:rPr>
                    <w:t>, ukształtowania terenu T i stanu</w:t>
                  </w:r>
                  <w:r>
                    <w:rPr>
                      <w:rFonts w:ascii="Calibri" w:eastAsia="Calibri" w:hAnsi="Calibri" w:cs="Calibri"/>
                      <w:color w:val="4F81BD"/>
                      <w:sz w:val="18"/>
                      <w:szCs w:val="18"/>
                    </w:rPr>
                    <w:br/>
                    <w:t xml:space="preserve">                            technicznego nawierzchni S, w PLN/</w:t>
                  </w:r>
                  <w:proofErr w:type="spellStart"/>
                  <w:r>
                    <w:rPr>
                      <w:rFonts w:ascii="Calibri" w:eastAsia="Calibri" w:hAnsi="Calibri" w:cs="Calibri"/>
                      <w:color w:val="4F81BD"/>
                      <w:sz w:val="18"/>
                      <w:szCs w:val="18"/>
                    </w:rPr>
                    <w:t>poj</w:t>
                  </w:r>
                  <w:proofErr w:type="spellEnd"/>
                  <w:r>
                    <w:rPr>
                      <w:rFonts w:ascii="Calibri" w:eastAsia="Calibri" w:hAnsi="Calibri" w:cs="Calibri"/>
                      <w:color w:val="4F81BD"/>
                      <w:sz w:val="18"/>
                      <w:szCs w:val="18"/>
                    </w:rPr>
                    <w:t>-km, (także dla innych gałęzi transportu jeżeli ma to zastosowanie)</w:t>
                  </w:r>
                </w:p>
                <w:p w14:paraId="036E2B8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średnioroczne dobowe natężenie ruchu dla kategorii pojazdów „j” ,</w:t>
                  </w:r>
                  <w:r>
                    <w:rPr>
                      <w:rFonts w:ascii="Calibri" w:eastAsia="Calibri" w:hAnsi="Calibri" w:cs="Calibri"/>
                      <w:color w:val="4F81BD"/>
                      <w:sz w:val="18"/>
                      <w:szCs w:val="18"/>
                    </w:rPr>
                    <w:br/>
                    <w:t xml:space="preserve">                            w pojazdach/dobę,</w:t>
                  </w:r>
                </w:p>
                <w:p w14:paraId="348888F3"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L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długość odcinka drogi w km,</w:t>
                  </w:r>
                </w:p>
                <w:p w14:paraId="74FAA0E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praca przewozowa dla pojazdów kategorii „j” w zależności od długości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odcinka</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drogi oraz przedziału prędkości </w:t>
                  </w:r>
                  <w:proofErr w:type="spellStart"/>
                  <w:r>
                    <w:rPr>
                      <w:rFonts w:ascii="Calibri" w:eastAsia="Calibri" w:hAnsi="Calibri" w:cs="Calibri"/>
                      <w:color w:val="4F81BD"/>
                      <w:sz w:val="18"/>
                      <w:szCs w:val="18"/>
                    </w:rPr>
                    <w:t>V</w:t>
                  </w:r>
                  <w:r>
                    <w:rPr>
                      <w:rFonts w:ascii="Calibri" w:eastAsia="Calibri" w:hAnsi="Calibri" w:cs="Calibri"/>
                      <w:color w:val="4F81BD"/>
                      <w:sz w:val="18"/>
                      <w:szCs w:val="18"/>
                      <w:vertAlign w:val="subscript"/>
                    </w:rPr>
                    <w:t>pdrt</w:t>
                  </w:r>
                  <w:proofErr w:type="spellEnd"/>
                  <w:r>
                    <w:rPr>
                      <w:rFonts w:ascii="Calibri" w:eastAsia="Calibri" w:hAnsi="Calibri" w:cs="Calibri"/>
                      <w:color w:val="4F81BD"/>
                      <w:sz w:val="18"/>
                      <w:szCs w:val="18"/>
                      <w:vertAlign w:val="subscript"/>
                    </w:rPr>
                    <w:t>, j</w:t>
                  </w:r>
                  <w:r>
                    <w:rPr>
                      <w:rFonts w:ascii="Calibri" w:eastAsia="Calibri" w:hAnsi="Calibri" w:cs="Calibri"/>
                      <w:color w:val="4F81BD"/>
                      <w:sz w:val="18"/>
                      <w:szCs w:val="18"/>
                    </w:rPr>
                    <w:t>, w </w:t>
                  </w:r>
                  <w:proofErr w:type="spellStart"/>
                  <w:r>
                    <w:rPr>
                      <w:rFonts w:ascii="Calibri" w:eastAsia="Calibri" w:hAnsi="Calibri" w:cs="Calibri"/>
                      <w:color w:val="4F81BD"/>
                      <w:sz w:val="18"/>
                      <w:szCs w:val="18"/>
                    </w:rPr>
                    <w:t>pojazdokilometrach</w:t>
                  </w:r>
                  <w:proofErr w:type="spellEnd"/>
                  <w:r>
                    <w:rPr>
                      <w:rFonts w:ascii="Calibri" w:eastAsia="Calibri" w:hAnsi="Calibri" w:cs="Calibri"/>
                      <w:color w:val="4F81BD"/>
                      <w:sz w:val="18"/>
                      <w:szCs w:val="18"/>
                    </w:rPr>
                    <w:t>/dobę.</w:t>
                  </w:r>
                </w:p>
                <w:p w14:paraId="4DFA9FF8"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L* </w:t>
                  </w: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w:t>
                  </w:r>
                </w:p>
              </w:tc>
            </w:tr>
          </w:tbl>
          <w:p w14:paraId="4B8D09C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15" w:type="dxa"/>
            <w:tcBorders>
              <w:left w:val="single" w:sz="4" w:space="0" w:color="000000"/>
            </w:tcBorders>
            <w:tcMar>
              <w:left w:w="284" w:type="dxa"/>
              <w:right w:w="284" w:type="dxa"/>
            </w:tcMar>
          </w:tcPr>
          <w:p w14:paraId="7CBCB3D6" w14:textId="5090B57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cost of climate change impact of greenhouse gases (GHG) emissions for both scenarios (without-the-project scenario W0 an</w:t>
            </w:r>
            <w:r w:rsidR="00B10112">
              <w:rPr>
                <w:rFonts w:ascii="Calibri" w:eastAsia="Calibri" w:hAnsi="Calibri" w:cs="Calibri"/>
                <w:color w:val="000000"/>
                <w:sz w:val="20"/>
                <w:szCs w:val="20"/>
                <w:lang w:val="en-GB"/>
              </w:rPr>
              <w:t xml:space="preserve">d project investment option/s </w:t>
            </w:r>
            <w:proofErr w:type="spellStart"/>
            <w:r w:rsidR="00B10112">
              <w:rPr>
                <w:rFonts w:ascii="Calibri" w:eastAsia="Calibri" w:hAnsi="Calibri" w:cs="Calibri"/>
                <w:color w:val="000000"/>
                <w:sz w:val="20"/>
                <w:szCs w:val="20"/>
                <w:lang w:val="en-GB"/>
              </w:rPr>
              <w:t>W</w:t>
            </w:r>
            <w:r w:rsidRPr="0045151D">
              <w:rPr>
                <w:rFonts w:ascii="Calibri" w:eastAsia="Calibri" w:hAnsi="Calibri" w:cs="Calibri"/>
                <w:color w:val="000000"/>
                <w:sz w:val="20"/>
                <w:szCs w:val="20"/>
                <w:lang w:val="en-GB"/>
              </w:rPr>
              <w:t>n</w:t>
            </w:r>
            <w:proofErr w:type="spellEnd"/>
            <w:r w:rsidRPr="0045151D">
              <w:rPr>
                <w:rFonts w:ascii="Calibri" w:eastAsia="Calibri" w:hAnsi="Calibri" w:cs="Calibri"/>
                <w:color w:val="000000"/>
                <w:sz w:val="20"/>
                <w:szCs w:val="20"/>
                <w:lang w:val="en-GB"/>
              </w:rPr>
              <w:t>) is the total cost generated by all users on the analysed transport networks.</w:t>
            </w:r>
          </w:p>
          <w:p w14:paraId="6E4C20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greenhouse gases emissions (expressed as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equivalent) consist of the product of the total equivalent amount of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emitted multiplied by its unit cost.</w:t>
            </w:r>
          </w:p>
          <w:p w14:paraId="2F6E3B7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proposed calculation method follows the approach described in the EIB Project Carbon Footprint Methodologies (version 11.1, July 2020) where GHG emissions impact assessment for transport infrastructure projects refers mainly to those emissions that are the consequence of the project operation phase (traffic running on the different road and rail networks). </w:t>
            </w:r>
          </w:p>
          <w:p w14:paraId="32EC8D9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accordance with the above methodology, emissions of greenhouse gases other than carbon dioxide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(i.e. methane CH</w:t>
            </w:r>
            <w:r w:rsidRPr="0045151D">
              <w:rPr>
                <w:rFonts w:ascii="Calibri" w:eastAsia="Calibri" w:hAnsi="Calibri" w:cs="Calibri"/>
                <w:color w:val="000000"/>
                <w:sz w:val="20"/>
                <w:szCs w:val="20"/>
                <w:vertAlign w:val="subscript"/>
                <w:lang w:val="en-GB"/>
              </w:rPr>
              <w:t>4</w:t>
            </w:r>
            <w:r w:rsidRPr="0045151D">
              <w:rPr>
                <w:rFonts w:ascii="Calibri" w:eastAsia="Calibri" w:hAnsi="Calibri" w:cs="Calibri"/>
                <w:color w:val="000000"/>
                <w:sz w:val="20"/>
                <w:szCs w:val="20"/>
                <w:lang w:val="en-GB"/>
              </w:rPr>
              <w:t xml:space="preserve"> and dinitrogen monoxide N</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O) are not included because their impact is regarded negligible. For calculation purposes, the GHG emission factors can be considered as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e. </w:t>
            </w:r>
          </w:p>
          <w:p w14:paraId="37FFA9C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estimation of projects GHG emissions according to above referred methodology requires assessing and reporting on:</w:t>
            </w:r>
          </w:p>
          <w:p w14:paraId="6620F050" w14:textId="0ADD48B3" w:rsidR="00600DEE" w:rsidRPr="0045151D" w:rsidRDefault="00641FB5" w:rsidP="00D5736B">
            <w:pPr>
              <w:numPr>
                <w:ilvl w:val="0"/>
                <w:numId w:val="42"/>
              </w:num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Absolute emissions: </w:t>
            </w:r>
            <w:r w:rsidRPr="0045151D">
              <w:rPr>
                <w:rFonts w:ascii="Calibri" w:eastAsia="Calibri" w:hAnsi="Calibri" w:cs="Calibri"/>
                <w:color w:val="000000"/>
                <w:sz w:val="20"/>
                <w:szCs w:val="20"/>
                <w:lang w:val="en-GB"/>
              </w:rPr>
              <w:t>total emissions produced by the project in a typical operating year</w:t>
            </w:r>
            <w:bookmarkStart w:id="79" w:name="_Ref91584661"/>
            <w:r>
              <w:rPr>
                <w:rFonts w:ascii="Calibri" w:eastAsia="Calibri" w:hAnsi="Calibri" w:cs="Calibri"/>
                <w:color w:val="000000"/>
                <w:sz w:val="20"/>
                <w:szCs w:val="20"/>
                <w:vertAlign w:val="superscript"/>
              </w:rPr>
              <w:footnoteReference w:id="13"/>
            </w:r>
            <w:bookmarkEnd w:id="79"/>
            <w:r w:rsidRPr="0045151D">
              <w:rPr>
                <w:rFonts w:ascii="Calibri" w:eastAsia="Calibri" w:hAnsi="Calibri" w:cs="Calibri"/>
                <w:color w:val="000000"/>
                <w:sz w:val="20"/>
                <w:szCs w:val="20"/>
                <w:lang w:val="en-GB"/>
              </w:rPr>
              <w:t xml:space="preserve"> (tCO</w:t>
            </w:r>
            <w:r w:rsidRPr="0010419F">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e);</w:t>
            </w:r>
          </w:p>
          <w:p w14:paraId="18B00FAC" w14:textId="38E8F632" w:rsidR="00600DEE" w:rsidRPr="0045151D" w:rsidRDefault="00641FB5" w:rsidP="00D5736B">
            <w:pPr>
              <w:numPr>
                <w:ilvl w:val="0"/>
                <w:numId w:val="42"/>
              </w:num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Relative emissions: </w:t>
            </w:r>
            <w:r w:rsidRPr="0045151D">
              <w:rPr>
                <w:rFonts w:ascii="Calibri" w:eastAsia="Calibri" w:hAnsi="Calibri" w:cs="Calibri"/>
                <w:color w:val="000000"/>
                <w:sz w:val="20"/>
                <w:szCs w:val="20"/>
                <w:lang w:val="en-GB"/>
              </w:rPr>
              <w:t>incremental emissions (increase/</w:t>
            </w:r>
            <w:r w:rsidR="0010419F">
              <w:rPr>
                <w:rFonts w:ascii="Calibri" w:eastAsia="Calibri" w:hAnsi="Calibri" w:cs="Calibri"/>
                <w:color w:val="000000"/>
                <w:sz w:val="20"/>
                <w:szCs w:val="20"/>
                <w:lang w:val="en-GB"/>
              </w:rPr>
              <w:t>decrease) between investment (</w:t>
            </w:r>
            <w:proofErr w:type="spellStart"/>
            <w:r w:rsidR="0010419F">
              <w:rPr>
                <w:rFonts w:ascii="Calibri" w:eastAsia="Calibri" w:hAnsi="Calibri" w:cs="Calibri"/>
                <w:color w:val="000000"/>
                <w:sz w:val="20"/>
                <w:szCs w:val="20"/>
                <w:lang w:val="en-GB"/>
              </w:rPr>
              <w:t>W</w:t>
            </w:r>
            <w:r w:rsidRPr="0045151D">
              <w:rPr>
                <w:rFonts w:ascii="Calibri" w:eastAsia="Calibri" w:hAnsi="Calibri" w:cs="Calibri"/>
                <w:color w:val="000000"/>
                <w:sz w:val="20"/>
                <w:szCs w:val="20"/>
                <w:lang w:val="en-GB"/>
              </w:rPr>
              <w:t>n</w:t>
            </w:r>
            <w:proofErr w:type="spellEnd"/>
            <w:r w:rsidRPr="0045151D">
              <w:rPr>
                <w:rFonts w:ascii="Calibri" w:eastAsia="Calibri" w:hAnsi="Calibri" w:cs="Calibri"/>
                <w:color w:val="000000"/>
                <w:sz w:val="20"/>
                <w:szCs w:val="20"/>
                <w:lang w:val="en-GB"/>
              </w:rPr>
              <w:t xml:space="preserve">) and non-investment options (W0) considered in the </w:t>
            </w:r>
            <w:r w:rsidR="00784B01">
              <w:rPr>
                <w:rFonts w:ascii="Calibri" w:eastAsia="Calibri" w:hAnsi="Calibri" w:cs="Calibri"/>
                <w:color w:val="000000"/>
                <w:sz w:val="20"/>
                <w:szCs w:val="20"/>
                <w:lang w:val="en-GB"/>
              </w:rPr>
              <w:t>CBA in a typical operating year</w:t>
            </w:r>
            <w:r w:rsidRPr="0045151D">
              <w:rPr>
                <w:rFonts w:ascii="Calibri" w:eastAsia="Calibri" w:hAnsi="Calibri" w:cs="Calibri"/>
                <w:color w:val="000000"/>
                <w:sz w:val="20"/>
                <w:szCs w:val="20"/>
                <w:lang w:val="en-GB"/>
              </w:rPr>
              <w:t xml:space="preserve"> (tCO</w:t>
            </w:r>
            <w:r w:rsidRPr="0010419F">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e).</w:t>
            </w:r>
          </w:p>
          <w:p w14:paraId="3555EE76" w14:textId="13B1D09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mentioned above, economic costs of greenhouse gas emission, i.e. of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will result from multiplying the yearly relative project emissions by their unit costs. The estimation of yearly relative emissions will depend on the emissions produced by the users of different vehicles (and modes) of the network considered (similarly, as for VOC). For the present case, it is referred to as “GHG emissions factor</w:t>
            </w:r>
            <w:r w:rsidR="0010419F">
              <w:rPr>
                <w:rFonts w:ascii="Calibri" w:eastAsia="Calibri" w:hAnsi="Calibri" w:cs="Calibri"/>
                <w:color w:val="000000"/>
                <w:sz w:val="20"/>
                <w:szCs w:val="20"/>
                <w:lang w:val="en-GB"/>
              </w:rPr>
              <w:t>s</w:t>
            </w:r>
            <w:r w:rsidRPr="0045151D">
              <w:rPr>
                <w:rFonts w:ascii="Calibri" w:eastAsia="Calibri" w:hAnsi="Calibri" w:cs="Calibri"/>
                <w:color w:val="000000"/>
                <w:sz w:val="20"/>
                <w:szCs w:val="20"/>
                <w:lang w:val="en-GB"/>
              </w:rPr>
              <w:t xml:space="preserve">” to be multiplied by respective transport work (as presented in formulas below). </w:t>
            </w:r>
          </w:p>
          <w:p w14:paraId="3CA9E874" w14:textId="168A2748"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Emissions factors depend on users vehicles (and modes), as per their fuel/energy consumption. For road vehicles, as described in VOC chapter, fuel consumption will mainly depend on the speed, on the vehicle category as well as on the pavement condition and geometry of the road. VOC chapter describes assumptions related to current road vehicle fleet composition and its expected evolution, those are as well of full applicability for GHG emissions factors (being strictly dependent on fuel/energy consumption). Appendix A provides GHG emission factor</w:t>
            </w:r>
            <w:r w:rsidR="00784B01">
              <w:rPr>
                <w:rFonts w:ascii="Calibri" w:eastAsia="Calibri" w:hAnsi="Calibri" w:cs="Calibri"/>
                <w:color w:val="000000"/>
                <w:sz w:val="20"/>
                <w:szCs w:val="20"/>
                <w:lang w:val="en-GB"/>
              </w:rPr>
              <w:t>s</w:t>
            </w:r>
            <w:r w:rsidRPr="0045151D">
              <w:rPr>
                <w:rFonts w:ascii="Calibri" w:eastAsia="Calibri" w:hAnsi="Calibri" w:cs="Calibri"/>
                <w:color w:val="000000"/>
                <w:sz w:val="20"/>
                <w:szCs w:val="20"/>
                <w:lang w:val="en-GB"/>
              </w:rPr>
              <w:t xml:space="preserve"> respective values and calculation principles.</w:t>
            </w:r>
          </w:p>
          <w:p w14:paraId="5D477DD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case of road traffic, the methodology for calculating the costs of GHG emissions is based on estimating the consequences of the project operational phase of combustion motor vehicles (LV and HGV) as well as electric vehicles (LV only). For combustion motor vehicles the direct emissions associated with the operational phase are included, whereas for electric vehicles the indirect greenhouse gas emissions associated with energy production and supply for related electric vehicles operation are taken into account (i.e. the grid factor). </w:t>
            </w:r>
          </w:p>
          <w:p w14:paraId="1AB3507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rail mode,  similar principles are applied, for combustion or electric powered traction vehicles respectively. For rail mode, respective GHG emission factors are also included in Appendix A.</w:t>
            </w:r>
          </w:p>
          <w:p w14:paraId="6C2290E9" w14:textId="2F3172C0"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Yearly GHG emissions will need to be multiplied by economic unit costs of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equivalent as provided in same Appendix and based on EIB Group Climate Bank Roadmap 2021-2025 (November 2020), i.e.: 80 EUR/t CO</w:t>
            </w:r>
            <w:r w:rsidRPr="0045151D">
              <w:rPr>
                <w:rFonts w:ascii="Calibri" w:eastAsia="Calibri" w:hAnsi="Calibri" w:cs="Calibri"/>
                <w:color w:val="000000"/>
                <w:sz w:val="20"/>
                <w:szCs w:val="20"/>
                <w:vertAlign w:val="subscript"/>
                <w:lang w:val="en-GB"/>
              </w:rPr>
              <w:t>2</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vertAlign w:val="subscript"/>
                <w:lang w:val="en-GB"/>
              </w:rPr>
              <w:t xml:space="preserve"> </w:t>
            </w:r>
            <w:r w:rsidRPr="0045151D">
              <w:rPr>
                <w:rFonts w:ascii="Calibri" w:eastAsia="Calibri" w:hAnsi="Calibri" w:cs="Calibri"/>
                <w:color w:val="000000"/>
                <w:sz w:val="20"/>
                <w:szCs w:val="20"/>
                <w:lang w:val="en-GB"/>
              </w:rPr>
              <w:t>in 2020 till 800 EUR/t CO</w:t>
            </w:r>
            <w:r w:rsidRPr="0045151D">
              <w:rPr>
                <w:rFonts w:ascii="Calibri" w:eastAsia="Calibri" w:hAnsi="Calibri" w:cs="Calibri"/>
                <w:color w:val="000000"/>
                <w:sz w:val="20"/>
                <w:szCs w:val="20"/>
                <w:vertAlign w:val="subscript"/>
                <w:lang w:val="en-GB"/>
              </w:rPr>
              <w:t>2</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lang w:val="en-GB"/>
              </w:rPr>
              <w:t xml:space="preserve"> in 2050; price level 2016. Those are converted into PLN and to relevant price level for calculations in Appendix A.</w:t>
            </w:r>
          </w:p>
          <w:p w14:paraId="051E36E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Due to the global effect of the damage caused by global warming, there is no difference how and where in Europe the emissions of greenhouse gases take place. For this reason, the same unit costs are applied in all EU Member States.</w:t>
            </w:r>
          </w:p>
          <w:p w14:paraId="732C0F8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These costs are subject to indexation. The calculation of the forecasted unit costs over the reference period is presented in Appendix A.  </w:t>
            </w:r>
          </w:p>
          <w:p w14:paraId="7C5BC9C9" w14:textId="4AE5DB2D" w:rsidR="00600DEE" w:rsidRPr="0045151D" w:rsidRDefault="00641FB5">
            <w:pPr>
              <w:pBdr>
                <w:top w:val="nil"/>
                <w:left w:val="nil"/>
                <w:bottom w:val="nil"/>
                <w:right w:val="nil"/>
                <w:between w:val="nil"/>
              </w:pBdr>
              <w:spacing w:before="120"/>
              <w:jc w:val="both"/>
              <w:rPr>
                <w:rFonts w:ascii="Calibri" w:eastAsia="Calibri" w:hAnsi="Calibri" w:cs="Calibri"/>
                <w:b/>
                <w:color w:val="333399"/>
                <w:sz w:val="20"/>
                <w:szCs w:val="20"/>
                <w:lang w:val="en-GB"/>
              </w:rPr>
            </w:pPr>
            <w:r w:rsidRPr="0045151D">
              <w:rPr>
                <w:rFonts w:ascii="Calibri" w:eastAsia="Calibri" w:hAnsi="Calibri" w:cs="Calibri"/>
                <w:color w:val="000000"/>
                <w:sz w:val="20"/>
                <w:szCs w:val="20"/>
                <w:lang w:val="en-GB"/>
              </w:rPr>
              <w:t>The calculation approach  for both section and network/buffer analysis consists of multiplying the total yearly emissions obtained by applying the emission factor</w:t>
            </w:r>
            <w:r w:rsidR="0010419F">
              <w:rPr>
                <w:rFonts w:ascii="Calibri" w:eastAsia="Calibri" w:hAnsi="Calibri" w:cs="Calibri"/>
                <w:color w:val="000000"/>
                <w:sz w:val="20"/>
                <w:szCs w:val="20"/>
                <w:lang w:val="en-GB"/>
              </w:rPr>
              <w:t>s</w:t>
            </w:r>
            <w:r w:rsidRPr="0045151D">
              <w:rPr>
                <w:rFonts w:ascii="Calibri" w:eastAsia="Calibri" w:hAnsi="Calibri" w:cs="Calibri"/>
                <w:color w:val="000000"/>
                <w:sz w:val="20"/>
                <w:szCs w:val="20"/>
                <w:lang w:val="en-GB"/>
              </w:rPr>
              <w:t xml:space="preserve"> –</w:t>
            </w:r>
            <w:r w:rsidR="0010419F">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in tCO</w:t>
            </w:r>
            <w:r w:rsidRPr="0045151D">
              <w:rPr>
                <w:rFonts w:ascii="Calibri" w:eastAsia="Calibri" w:hAnsi="Calibri" w:cs="Calibri"/>
                <w:color w:val="000000"/>
                <w:sz w:val="20"/>
                <w:szCs w:val="20"/>
                <w:vertAlign w:val="subscript"/>
                <w:lang w:val="en-GB"/>
              </w:rPr>
              <w:t>2</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lang w:val="en-GB"/>
              </w:rPr>
              <w:t>/</w:t>
            </w:r>
            <w:proofErr w:type="spellStart"/>
            <w:r w:rsidRPr="0045151D">
              <w:rPr>
                <w:rFonts w:ascii="Calibri" w:eastAsia="Calibri" w:hAnsi="Calibri" w:cs="Calibri"/>
                <w:color w:val="000000"/>
                <w:sz w:val="20"/>
                <w:szCs w:val="20"/>
                <w:lang w:val="en-GB"/>
              </w:rPr>
              <w:t>vehkm</w:t>
            </w:r>
            <w:proofErr w:type="spellEnd"/>
            <w:r w:rsidR="0010419F">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 times the respective CO</w:t>
            </w:r>
            <w:r w:rsidRPr="0045151D">
              <w:rPr>
                <w:rFonts w:ascii="Calibri" w:eastAsia="Calibri" w:hAnsi="Calibri" w:cs="Calibri"/>
                <w:color w:val="000000"/>
                <w:sz w:val="20"/>
                <w:szCs w:val="20"/>
                <w:vertAlign w:val="subscript"/>
                <w:lang w:val="en-GB"/>
              </w:rPr>
              <w:t>2e</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vertAlign w:val="subscript"/>
                <w:lang w:val="en-GB"/>
              </w:rPr>
              <w:t xml:space="preserve"> </w:t>
            </w:r>
            <w:r w:rsidRPr="0045151D">
              <w:rPr>
                <w:rFonts w:ascii="Calibri" w:eastAsia="Calibri" w:hAnsi="Calibri" w:cs="Calibri"/>
                <w:color w:val="000000"/>
                <w:sz w:val="20"/>
                <w:szCs w:val="20"/>
                <w:lang w:val="en-GB"/>
              </w:rPr>
              <w:t>shadow unit cost in PLN/ tCO</w:t>
            </w:r>
            <w:r w:rsidRPr="0045151D">
              <w:rPr>
                <w:rFonts w:ascii="Calibri" w:eastAsia="Calibri" w:hAnsi="Calibri" w:cs="Calibri"/>
                <w:color w:val="000000"/>
                <w:sz w:val="20"/>
                <w:szCs w:val="20"/>
                <w:vertAlign w:val="subscript"/>
                <w:lang w:val="en-GB"/>
              </w:rPr>
              <w:t>2e</w:t>
            </w:r>
            <w:r w:rsidRPr="0045151D">
              <w:rPr>
                <w:rFonts w:ascii="Calibri" w:eastAsia="Calibri" w:hAnsi="Calibri" w:cs="Calibri"/>
                <w:color w:val="000000"/>
                <w:sz w:val="20"/>
                <w:szCs w:val="20"/>
                <w:lang w:val="en-GB"/>
              </w:rPr>
              <w:t xml:space="preserve">–) provided in Appendix A, and following the formulas below. </w:t>
            </w:r>
          </w:p>
          <w:p w14:paraId="68592305"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3EA17286"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52B3543F"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44B3DF5C"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438CAA88"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067702A5"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78D2ED95" w14:textId="77777777"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C27C838" w14:textId="77777777" w:rsidR="006C2564" w:rsidRPr="0045151D" w:rsidRDefault="006C2564" w:rsidP="006C2564">
            <w:pPr>
              <w:pBdr>
                <w:top w:val="nil"/>
                <w:left w:val="nil"/>
                <w:bottom w:val="nil"/>
                <w:right w:val="nil"/>
                <w:between w:val="nil"/>
              </w:pBdr>
              <w:spacing w:before="120"/>
              <w:jc w:val="both"/>
              <w:rPr>
                <w:rFonts w:ascii="Calibri" w:eastAsia="Calibri" w:hAnsi="Calibri" w:cs="Calibri"/>
                <w:b/>
                <w:color w:val="4F81BD"/>
                <w:sz w:val="20"/>
                <w:szCs w:val="20"/>
                <w:lang w:val="en-GB"/>
              </w:rPr>
            </w:pPr>
          </w:p>
          <w:p w14:paraId="1EAD2240" w14:textId="4B68EB00" w:rsidR="00600DEE" w:rsidRPr="0045151D" w:rsidRDefault="0010419F" w:rsidP="006C2564">
            <w:pPr>
              <w:pBdr>
                <w:top w:val="nil"/>
                <w:left w:val="nil"/>
                <w:bottom w:val="nil"/>
                <w:right w:val="nil"/>
                <w:between w:val="nil"/>
              </w:pBdr>
              <w:spacing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21</w:t>
            </w:r>
            <w:r w:rsidR="00641FB5" w:rsidRPr="0045151D">
              <w:rPr>
                <w:rFonts w:ascii="Calibri" w:eastAsia="Calibri" w:hAnsi="Calibri" w:cs="Calibri"/>
                <w:b/>
                <w:color w:val="4F81BD"/>
                <w:sz w:val="20"/>
                <w:szCs w:val="20"/>
                <w:lang w:val="en-GB"/>
              </w:rPr>
              <w:t>. Formulas for the calculation of climate change costs</w:t>
            </w:r>
          </w:p>
          <w:tbl>
            <w:tblPr>
              <w:tblStyle w:val="afffff2"/>
              <w:tblW w:w="693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5"/>
            </w:tblGrid>
            <w:tr w:rsidR="00600DEE" w:rsidRPr="007463B9" w14:paraId="7BF1EC20" w14:textId="77777777">
              <w:trPr>
                <w:trHeight w:val="4886"/>
              </w:trPr>
              <w:tc>
                <w:tcPr>
                  <w:tcW w:w="6935" w:type="dxa"/>
                  <w:shd w:val="clear" w:color="auto" w:fill="DBE5F1"/>
                </w:tcPr>
                <w:p w14:paraId="7307AE77"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08BCF46F"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4110" w:dyaOrig="825" w14:anchorId="263D88EF">
                      <v:shape id="_x0000_i1036" type="#_x0000_t75" style="width:205.7pt;height:41.15pt" o:ole="" filled="t">
                        <v:fill color2="black"/>
                        <v:imagedata r:id="rId128" o:title=""/>
                      </v:shape>
                      <o:OLEObject Type="Embed" ProgID="Equation.3" ShapeID="_x0000_i1036" DrawAspect="Content" ObjectID="_1708947478" r:id="rId129"/>
                    </w:object>
                  </w:r>
                </w:p>
                <w:p w14:paraId="53F9FAB3"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38137D9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ZK</w:t>
                  </w:r>
                  <w:r w:rsidRPr="0045151D">
                    <w:rPr>
                      <w:rFonts w:ascii="Calibri" w:eastAsia="Calibri" w:hAnsi="Calibri" w:cs="Calibri"/>
                      <w:color w:val="4F81BD"/>
                      <w:sz w:val="18"/>
                      <w:szCs w:val="18"/>
                      <w:lang w:val="en-GB"/>
                    </w:rPr>
                    <w:tab/>
                    <w:t xml:space="preserve">         – annual climate change costs caused by vehicles, in PLN,</w:t>
                  </w:r>
                </w:p>
                <w:p w14:paraId="5EC5FE84"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j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number of categories of vehicles (also for other modes when relevant),</w:t>
                  </w:r>
                </w:p>
                <w:p w14:paraId="6CC20709"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zk,j</w:t>
                  </w:r>
                  <w:proofErr w:type="spellEnd"/>
                  <w:r w:rsidRPr="0045151D">
                    <w:rPr>
                      <w:rFonts w:ascii="Calibri" w:eastAsia="Calibri" w:hAnsi="Calibri" w:cs="Calibri"/>
                      <w:color w:val="4F81BD"/>
                      <w:sz w:val="18"/>
                      <w:szCs w:val="18"/>
                      <w:lang w:val="en-GB"/>
                    </w:rPr>
                    <w:t>(</w:t>
                  </w: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pdrt,j</w:t>
                  </w:r>
                  <w:proofErr w:type="spellEnd"/>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,T,S)  – unit costs of the climate change of vehicles category “j” in the function of</w:t>
                  </w:r>
                  <w:r w:rsidRPr="0045151D">
                    <w:rPr>
                      <w:rFonts w:ascii="Calibri" w:eastAsia="Calibri" w:hAnsi="Calibri" w:cs="Calibri"/>
                      <w:color w:val="4F81BD"/>
                      <w:sz w:val="18"/>
                      <w:szCs w:val="18"/>
                      <w:lang w:val="en-GB"/>
                    </w:rPr>
                    <w:br/>
                    <w:t xml:space="preserve">                              travel speed </w:t>
                  </w: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pdrt</w:t>
                  </w:r>
                  <w:proofErr w:type="spellEnd"/>
                  <w:r w:rsidRPr="0045151D">
                    <w:rPr>
                      <w:rFonts w:ascii="Calibri" w:eastAsia="Calibri" w:hAnsi="Calibri" w:cs="Calibri"/>
                      <w:color w:val="4F81BD"/>
                      <w:sz w:val="18"/>
                      <w:szCs w:val="18"/>
                      <w:vertAlign w:val="subscript"/>
                      <w:lang w:val="en-GB"/>
                    </w:rPr>
                    <w:t>, j</w:t>
                  </w:r>
                  <w:r w:rsidRPr="0045151D">
                    <w:rPr>
                      <w:rFonts w:ascii="Calibri" w:eastAsia="Calibri" w:hAnsi="Calibri" w:cs="Calibri"/>
                      <w:color w:val="4F81BD"/>
                      <w:sz w:val="18"/>
                      <w:szCs w:val="18"/>
                      <w:lang w:val="en-GB"/>
                    </w:rPr>
                    <w:t>, slope of terrain T and technical condition of</w:t>
                  </w:r>
                  <w:r w:rsidRPr="0045151D">
                    <w:rPr>
                      <w:rFonts w:ascii="Calibri" w:eastAsia="Calibri" w:hAnsi="Calibri" w:cs="Calibri"/>
                      <w:color w:val="4F81BD"/>
                      <w:sz w:val="18"/>
                      <w:szCs w:val="18"/>
                      <w:lang w:val="en-GB"/>
                    </w:rPr>
                    <w:br/>
                    <w:t xml:space="preserve">                              pavement S, in PLN/</w:t>
                  </w:r>
                  <w:proofErr w:type="spellStart"/>
                  <w:r w:rsidRPr="0045151D">
                    <w:rPr>
                      <w:rFonts w:ascii="Calibri" w:eastAsia="Calibri" w:hAnsi="Calibri" w:cs="Calibri"/>
                      <w:color w:val="4F81BD"/>
                      <w:sz w:val="18"/>
                      <w:szCs w:val="18"/>
                      <w:lang w:val="en-GB"/>
                    </w:rPr>
                    <w:t>veh</w:t>
                  </w:r>
                  <w:proofErr w:type="spellEnd"/>
                  <w:r w:rsidRPr="0045151D">
                    <w:rPr>
                      <w:rFonts w:ascii="Calibri" w:eastAsia="Calibri" w:hAnsi="Calibri" w:cs="Calibri"/>
                      <w:color w:val="4F81BD"/>
                      <w:sz w:val="18"/>
                      <w:szCs w:val="18"/>
                      <w:lang w:val="en-GB"/>
                    </w:rPr>
                    <w:t>-km, (also for other modes when relevant)</w:t>
                  </w:r>
                </w:p>
                <w:p w14:paraId="6A94D27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 average daily traffic of vehicles category “j”, in vehicles/day (AADT),</w:t>
                  </w:r>
                </w:p>
                <w:p w14:paraId="6A5BE6B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 length of road section, in km,</w:t>
                  </w:r>
                </w:p>
                <w:p w14:paraId="62AFDEF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 </w:t>
                  </w: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ab/>
                    <w:t xml:space="preserve">          – transport work depending on the road section length, vehicle category</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“j” and speed range </w:t>
                  </w:r>
                  <w:proofErr w:type="spellStart"/>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pdrt</w:t>
                  </w:r>
                  <w:proofErr w:type="spellEnd"/>
                  <w:r w:rsidRPr="0045151D">
                    <w:rPr>
                      <w:rFonts w:ascii="Calibri" w:eastAsia="Calibri" w:hAnsi="Calibri" w:cs="Calibri"/>
                      <w:color w:val="4F81BD"/>
                      <w:sz w:val="18"/>
                      <w:szCs w:val="18"/>
                      <w:vertAlign w:val="subscript"/>
                      <w:lang w:val="en-GB"/>
                    </w:rPr>
                    <w:t>, j</w:t>
                  </w:r>
                  <w:r w:rsidRPr="0045151D">
                    <w:rPr>
                      <w:rFonts w:ascii="Calibri" w:eastAsia="Calibri" w:hAnsi="Calibri" w:cs="Calibri"/>
                      <w:color w:val="4F81BD"/>
                      <w:sz w:val="18"/>
                      <w:szCs w:val="18"/>
                      <w:lang w:val="en-GB"/>
                    </w:rPr>
                    <w:t>, in vehicles-kilometres/day</w:t>
                  </w:r>
                </w:p>
                <w:p w14:paraId="100A7332"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 L* </w:t>
                  </w: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w:t>
                  </w:r>
                </w:p>
              </w:tc>
            </w:tr>
          </w:tbl>
          <w:p w14:paraId="0AFC72D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11CEC5F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0DC433DC" w14:textId="5C735ADF" w:rsidR="00600DEE" w:rsidRDefault="00641FB5" w:rsidP="00D5736B">
      <w:pPr>
        <w:pStyle w:val="Nagwek3"/>
        <w:numPr>
          <w:ilvl w:val="2"/>
          <w:numId w:val="17"/>
        </w:numPr>
        <w:ind w:left="0" w:firstLine="0"/>
        <w:rPr>
          <w:rFonts w:ascii="Calibri" w:eastAsia="Calibri" w:hAnsi="Calibri" w:cs="Calibri"/>
          <w:color w:val="4F81BD"/>
        </w:rPr>
      </w:pPr>
      <w:bookmarkStart w:id="80" w:name="_Toc95377991"/>
      <w:r>
        <w:rPr>
          <w:rFonts w:ascii="Calibri" w:eastAsia="Calibri" w:hAnsi="Calibri" w:cs="Calibri"/>
          <w:color w:val="4F81BD"/>
        </w:rPr>
        <w:lastRenderedPageBreak/>
        <w:t>Koszty hałasu</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2.1.6</w:t>
      </w:r>
      <w:r>
        <w:rPr>
          <w:rFonts w:ascii="Calibri" w:eastAsia="Calibri" w:hAnsi="Calibri" w:cs="Calibri"/>
          <w:color w:val="4F81BD"/>
        </w:rPr>
        <w:t xml:space="preserve">   </w:t>
      </w:r>
      <w:proofErr w:type="spellStart"/>
      <w:r>
        <w:rPr>
          <w:rFonts w:ascii="Calibri" w:eastAsia="Calibri" w:hAnsi="Calibri" w:cs="Calibri"/>
          <w:i/>
          <w:color w:val="4F81BD"/>
        </w:rPr>
        <w:t>Noise</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costs</w:t>
      </w:r>
      <w:bookmarkEnd w:id="80"/>
      <w:proofErr w:type="spellEnd"/>
      <w:r>
        <w:rPr>
          <w:rFonts w:ascii="Calibri" w:eastAsia="Calibri" w:hAnsi="Calibri" w:cs="Calibri"/>
          <w:color w:val="4F81BD"/>
        </w:rPr>
        <w:t xml:space="preserve"> </w:t>
      </w:r>
    </w:p>
    <w:tbl>
      <w:tblPr>
        <w:tblStyle w:val="afffff3"/>
        <w:tblW w:w="14571" w:type="dxa"/>
        <w:tblLayout w:type="fixed"/>
        <w:tblLook w:val="0400" w:firstRow="0" w:lastRow="0" w:firstColumn="0" w:lastColumn="0" w:noHBand="0" w:noVBand="1"/>
      </w:tblPr>
      <w:tblGrid>
        <w:gridCol w:w="7356"/>
        <w:gridCol w:w="7215"/>
      </w:tblGrid>
      <w:tr w:rsidR="00600DEE" w:rsidRPr="007463B9" w14:paraId="131C6A2F" w14:textId="77777777">
        <w:trPr>
          <w:trHeight w:val="3119"/>
        </w:trPr>
        <w:tc>
          <w:tcPr>
            <w:tcW w:w="7356" w:type="dxa"/>
            <w:tcBorders>
              <w:right w:val="single" w:sz="4" w:space="0" w:color="000000"/>
            </w:tcBorders>
            <w:tcMar>
              <w:left w:w="284" w:type="dxa"/>
              <w:right w:w="284" w:type="dxa"/>
            </w:tcMar>
          </w:tcPr>
          <w:p w14:paraId="3B063FA9" w14:textId="7FC68B0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Hałas jest definiowany jako niechciane/niepożądane dźwięki o nadmiernym natężeniu, częstotliwości lub innym negatywnym oddziały</w:t>
            </w:r>
            <w:r w:rsidR="0010419F">
              <w:rPr>
                <w:rFonts w:ascii="Calibri" w:eastAsia="Calibri" w:hAnsi="Calibri" w:cs="Calibri"/>
                <w:color w:val="000000"/>
                <w:sz w:val="20"/>
                <w:szCs w:val="20"/>
              </w:rPr>
              <w:t>waniu lub inną cechą wywołującą</w:t>
            </w:r>
            <w:r>
              <w:rPr>
                <w:rFonts w:ascii="Calibri" w:eastAsia="Calibri" w:hAnsi="Calibri" w:cs="Calibri"/>
                <w:color w:val="000000"/>
                <w:sz w:val="20"/>
                <w:szCs w:val="20"/>
              </w:rPr>
              <w:t xml:space="preserve"> u odbiorcy szkodliwe skutki fizyczne lub psychiczne. </w:t>
            </w:r>
          </w:p>
          <w:p w14:paraId="79C50DD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Hałas o natężeniu powyżej 85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 xml:space="preserve">(A), może wywołać trwałe osłabienie i ubytek słuchu. Natomiast niższy poziom (powyżej 60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 xml:space="preserve">) może wpływać negatywnie na psychikę, być źródłem stresu, nerwowych reakcji, przyspieszonego tętna, zwiększonego ciśnienia krwi, zmian hormonalnych itd., a trwałe zmiany i uszkodzenia mogą wystąpić w wyniku dłuższej ekspozycji. </w:t>
            </w:r>
          </w:p>
          <w:p w14:paraId="17B0A39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Obliczenie kosztów wpływu nadmiernego hałasu powinno być przeprowadzone dla wszystkich projektów zlokalizowanych w obszarach miejskich lub dla obszarów o wysokiej gęstości zaludnienia osób potencjalnie narażonych oraz w przypadkach, gdzie takie oddziaływania są uznane za istotne. Niniejszy podręcznik przedstawia dwie metody obliczeń.</w:t>
            </w:r>
          </w:p>
          <w:p w14:paraId="6E815BA1" w14:textId="0E234A9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81" w:name="_heading=h.4bvk7pj" w:colFirst="0" w:colLast="0"/>
            <w:bookmarkEnd w:id="81"/>
            <w:r>
              <w:rPr>
                <w:rFonts w:ascii="Calibri" w:eastAsia="Calibri" w:hAnsi="Calibri" w:cs="Calibri"/>
                <w:color w:val="000000"/>
                <w:sz w:val="20"/>
                <w:szCs w:val="20"/>
              </w:rPr>
              <w:t>Pierwsza metoda jest oparta o tzw. krańcowe koszty wpływu hałasu. Te koszty jednostkowe są silnie zróżnicowane w zależności od ruchu, lokalnych warunków (obszar miejski/ zamiejski) i pory dnia. Proponowane podejście opiera się na kosztach krańcowych podanych w Podręczniku kosztów zewnętrznych w transporcie, wersja 2019, z rozróżnieniem na typ pojazdu, porę dnia, sytuację ruchową i rodzaj obszaru. Ponieważ jednostkowe koszty krańcowe wyrażone są w PLN/</w:t>
            </w:r>
            <w:proofErr w:type="spellStart"/>
            <w:r>
              <w:rPr>
                <w:rFonts w:ascii="Calibri" w:eastAsia="Calibri" w:hAnsi="Calibri" w:cs="Calibri"/>
                <w:color w:val="000000"/>
                <w:sz w:val="20"/>
                <w:szCs w:val="20"/>
              </w:rPr>
              <w:t>poj</w:t>
            </w:r>
            <w:proofErr w:type="spellEnd"/>
            <w:r>
              <w:rPr>
                <w:rFonts w:ascii="Calibri" w:eastAsia="Calibri" w:hAnsi="Calibri" w:cs="Calibri"/>
                <w:color w:val="000000"/>
                <w:sz w:val="20"/>
                <w:szCs w:val="20"/>
              </w:rPr>
              <w:t>-km, należy zwrócić uwagę na</w:t>
            </w:r>
            <w:r w:rsidR="00FF6918">
              <w:rPr>
                <w:rFonts w:ascii="Calibri" w:eastAsia="Calibri" w:hAnsi="Calibri" w:cs="Calibri"/>
                <w:color w:val="000000"/>
                <w:sz w:val="20"/>
                <w:szCs w:val="20"/>
              </w:rPr>
              <w:t xml:space="preserve"> korzystanie z</w:t>
            </w:r>
            <w:r>
              <w:rPr>
                <w:rFonts w:ascii="Calibri" w:eastAsia="Calibri" w:hAnsi="Calibri" w:cs="Calibri"/>
                <w:color w:val="000000"/>
                <w:sz w:val="20"/>
                <w:szCs w:val="20"/>
              </w:rPr>
              <w:t xml:space="preserve"> tych samych formuł obliczeniowych, jakie były stosowane przy wcześniej opisanych kategoriach kosztów środowiskowych tak, aby koszty jednostkowe hałasu były również wyrażone w tych jednostkach (patrz formuły poniżej). Koszty ekonomiczne hałasu oblicza się z uwzględnieniem poszczególnych kategorii pojazdów, oddzielnie dla każdego wariantu i każdego roku analizy ekonomicznej, zgodnie z analizą ruchu.</w:t>
            </w:r>
          </w:p>
          <w:p w14:paraId="73A5260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1769097" w14:textId="77777777" w:rsidR="00FF6918" w:rsidRPr="00EA6879" w:rsidRDefault="00FF6918" w:rsidP="00FF6918">
            <w:pPr>
              <w:pStyle w:val="anxnormal"/>
              <w:ind w:left="0"/>
              <w:rPr>
                <w:rFonts w:asciiTheme="minorHAnsi" w:hAnsiTheme="minorHAnsi"/>
              </w:rPr>
            </w:pPr>
            <w:r w:rsidRPr="00EA6879">
              <w:rPr>
                <w:rFonts w:asciiTheme="minorHAnsi" w:hAnsiTheme="minorHAnsi"/>
              </w:rPr>
              <w:lastRenderedPageBreak/>
              <w:t>Przedstawione koszty hałasu dla kategorii pojazdów drogowych związane są z pojazdami z </w:t>
            </w:r>
            <w:r w:rsidRPr="00371A33">
              <w:rPr>
                <w:rFonts w:asciiTheme="minorHAnsi" w:hAnsiTheme="minorHAnsi"/>
              </w:rPr>
              <w:t>silnikiem spalinowym. Zakłada się, że można pominąć oddziaływania hałasu związane z pojazdami elektrycznymi</w:t>
            </w:r>
            <w:r w:rsidRPr="00371A33">
              <w:rPr>
                <w:rFonts w:asciiTheme="minorHAnsi" w:hAnsiTheme="minorHAnsi"/>
                <w:vertAlign w:val="superscript"/>
              </w:rPr>
              <w:t>14</w:t>
            </w:r>
            <w:r w:rsidRPr="00EA6879">
              <w:rPr>
                <w:rFonts w:asciiTheme="minorHAnsi" w:hAnsiTheme="minorHAnsi"/>
              </w:rPr>
              <w:t>.</w:t>
            </w:r>
          </w:p>
          <w:p w14:paraId="0C95B199" w14:textId="77777777" w:rsidR="00FF6918" w:rsidRDefault="00FF6918" w:rsidP="00FF6918">
            <w:pPr>
              <w:pStyle w:val="anxnormal"/>
              <w:ind w:left="0"/>
              <w:rPr>
                <w:rFonts w:asciiTheme="minorHAnsi" w:hAnsiTheme="minorHAnsi"/>
              </w:rPr>
            </w:pPr>
            <w:r w:rsidRPr="00371A33">
              <w:rPr>
                <w:rFonts w:asciiTheme="minorHAnsi" w:hAnsiTheme="minorHAnsi"/>
              </w:rPr>
              <w:t>W przypadku transportu kolejowego odpowiednie koszty jednostkowe dla metody (i) opartej na kosztach krańcowych oraz metody (ii) opisanej poniżej (koszty średnie) przedstawiono w załączniku A.</w:t>
            </w:r>
          </w:p>
          <w:p w14:paraId="73A7BB8D" w14:textId="77777777" w:rsidR="00600DEE" w:rsidRDefault="00600DEE">
            <w:pPr>
              <w:pBdr>
                <w:top w:val="nil"/>
                <w:left w:val="nil"/>
                <w:bottom w:val="nil"/>
                <w:right w:val="nil"/>
                <w:between w:val="nil"/>
              </w:pBdr>
              <w:spacing w:before="120"/>
              <w:jc w:val="both"/>
              <w:rPr>
                <w:rFonts w:ascii="Calibri" w:eastAsia="Calibri" w:hAnsi="Calibri" w:cs="Calibri"/>
                <w:b/>
                <w:color w:val="333399"/>
                <w:sz w:val="20"/>
                <w:szCs w:val="20"/>
              </w:rPr>
            </w:pPr>
          </w:p>
          <w:p w14:paraId="04D2F8E7" w14:textId="7BA10B25" w:rsidR="00600DEE" w:rsidRDefault="0010419F">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22</w:t>
            </w:r>
            <w:r w:rsidR="00641FB5">
              <w:rPr>
                <w:rFonts w:ascii="Calibri" w:eastAsia="Calibri" w:hAnsi="Calibri" w:cs="Calibri"/>
                <w:b/>
                <w:color w:val="4F81BD"/>
                <w:sz w:val="20"/>
                <w:szCs w:val="20"/>
              </w:rPr>
              <w:t>. Wzory do obliczania kosztów hałasu</w:t>
            </w:r>
          </w:p>
          <w:tbl>
            <w:tblPr>
              <w:tblStyle w:val="afffff4"/>
              <w:tblW w:w="68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94"/>
            </w:tblGrid>
            <w:tr w:rsidR="00600DEE" w14:paraId="351A5861" w14:textId="77777777" w:rsidTr="00ED6E07">
              <w:trPr>
                <w:trHeight w:hRule="exact" w:val="4961"/>
              </w:trPr>
              <w:tc>
                <w:tcPr>
                  <w:tcW w:w="6894" w:type="dxa"/>
                  <w:shd w:val="clear" w:color="auto" w:fill="D3E3F4"/>
                  <w:vAlign w:val="center"/>
                </w:tcPr>
                <w:p w14:paraId="2CA35FF4" w14:textId="77777777" w:rsidR="00600DEE" w:rsidRDefault="00600DEE">
                  <w:pPr>
                    <w:pBdr>
                      <w:top w:val="nil"/>
                      <w:left w:val="nil"/>
                      <w:bottom w:val="nil"/>
                      <w:right w:val="nil"/>
                      <w:between w:val="nil"/>
                    </w:pBdr>
                    <w:shd w:val="clear" w:color="auto" w:fill="DBE5F1"/>
                    <w:spacing w:before="120" w:after="40"/>
                    <w:jc w:val="center"/>
                    <w:rPr>
                      <w:rFonts w:ascii="Calibri" w:eastAsia="Calibri" w:hAnsi="Calibri" w:cs="Calibri"/>
                      <w:color w:val="4F81BD"/>
                      <w:sz w:val="18"/>
                      <w:szCs w:val="18"/>
                    </w:rPr>
                  </w:pPr>
                </w:p>
                <w:p w14:paraId="12A4E9A9" w14:textId="77777777" w:rsidR="00600DEE" w:rsidRDefault="00641FB5">
                  <w:pPr>
                    <w:pBdr>
                      <w:top w:val="nil"/>
                      <w:left w:val="nil"/>
                      <w:bottom w:val="nil"/>
                      <w:right w:val="nil"/>
                      <w:between w:val="nil"/>
                    </w:pBdr>
                    <w:shd w:val="clear" w:color="auto" w:fill="DBE5F1"/>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083" w:dyaOrig="825" w14:anchorId="21BAFD77">
                      <v:shape id="_x0000_i1037" type="#_x0000_t75" style="width:154.3pt;height:41.15pt" o:ole="" filled="t">
                        <v:fill color2="black"/>
                        <v:imagedata r:id="rId130" o:title=""/>
                      </v:shape>
                      <o:OLEObject Type="Embed" ProgID="Equation.3" ShapeID="_x0000_i1037" DrawAspect="Content" ObjectID="_1708947479" r:id="rId131"/>
                    </w:object>
                  </w:r>
                </w:p>
                <w:p w14:paraId="5BA4BFF3"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5A64B906"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H</w:t>
                  </w:r>
                  <w:r>
                    <w:rPr>
                      <w:rFonts w:ascii="Calibri" w:eastAsia="Calibri" w:hAnsi="Calibri" w:cs="Calibri"/>
                      <w:color w:val="4F81BD"/>
                      <w:sz w:val="18"/>
                      <w:szCs w:val="18"/>
                    </w:rPr>
                    <w:tab/>
                    <w:t xml:space="preserve">        –  roczne  koszty hałasu emitowanego przez pojazdy samochodowe,</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 </w:t>
                  </w:r>
                  <w:r>
                    <w:rPr>
                      <w:rFonts w:ascii="Calibri" w:eastAsia="Calibri" w:hAnsi="Calibri" w:cs="Calibri"/>
                      <w:color w:val="4F81BD"/>
                      <w:sz w:val="18"/>
                      <w:szCs w:val="18"/>
                    </w:rPr>
                    <w:t>PLN,</w:t>
                  </w:r>
                </w:p>
                <w:p w14:paraId="651AFCA9"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j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liczba kategorii pojazdów,</w:t>
                  </w:r>
                </w:p>
                <w:p w14:paraId="575BC54C" w14:textId="26CEEC39" w:rsidR="00600DEE" w:rsidRDefault="00F102E8">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k</w:t>
                  </w:r>
                  <w:r w:rsidR="00641FB5">
                    <w:rPr>
                      <w:rFonts w:ascii="Calibri" w:eastAsia="Calibri" w:hAnsi="Calibri" w:cs="Calibri"/>
                      <w:color w:val="4F81BD"/>
                      <w:sz w:val="18"/>
                      <w:szCs w:val="18"/>
                      <w:vertAlign w:val="subscript"/>
                    </w:rPr>
                    <w:t>h,j</w:t>
                  </w:r>
                  <w:proofErr w:type="spellEnd"/>
                  <w:r w:rsidR="00641FB5">
                    <w:rPr>
                      <w:rFonts w:ascii="Calibri" w:eastAsia="Calibri" w:hAnsi="Calibri" w:cs="Calibri"/>
                      <w:color w:val="4F81BD"/>
                      <w:sz w:val="18"/>
                      <w:szCs w:val="18"/>
                    </w:rPr>
                    <w:t xml:space="preserve">(Z)             </w:t>
                  </w:r>
                  <w:r w:rsidR="00641FB5">
                    <w:rPr>
                      <w:rFonts w:ascii="Calibri" w:eastAsia="Calibri" w:hAnsi="Calibri" w:cs="Calibri"/>
                      <w:color w:val="4F81BD"/>
                      <w:sz w:val="18"/>
                      <w:szCs w:val="18"/>
                      <w:vertAlign w:val="superscript"/>
                    </w:rPr>
                    <w:t xml:space="preserve"> </w:t>
                  </w:r>
                  <w:r w:rsidR="00641FB5">
                    <w:rPr>
                      <w:rFonts w:ascii="Calibri" w:eastAsia="Calibri" w:hAnsi="Calibri" w:cs="Calibri"/>
                      <w:color w:val="4F81BD"/>
                      <w:sz w:val="18"/>
                      <w:szCs w:val="18"/>
                    </w:rPr>
                    <w:t xml:space="preserve">  – jednostkowe koszty  hałasu wg. kategorii pojazdów </w:t>
                  </w:r>
                  <w:r w:rsidR="00641FB5">
                    <w:rPr>
                      <w:rFonts w:ascii="Calibri" w:eastAsia="Calibri" w:hAnsi="Calibri" w:cs="Calibri"/>
                      <w:color w:val="4F81BD"/>
                      <w:sz w:val="18"/>
                      <w:szCs w:val="18"/>
                    </w:rPr>
                    <w:br/>
                    <w:t xml:space="preserve">                        </w:t>
                  </w:r>
                  <w:r w:rsidR="00641FB5">
                    <w:rPr>
                      <w:rFonts w:ascii="Calibri" w:eastAsia="Calibri" w:hAnsi="Calibri" w:cs="Calibri"/>
                      <w:color w:val="4F81BD"/>
                      <w:sz w:val="18"/>
                      <w:szCs w:val="18"/>
                      <w:vertAlign w:val="superscript"/>
                    </w:rPr>
                    <w:t xml:space="preserve"> </w:t>
                  </w:r>
                  <w:r w:rsidR="00641FB5">
                    <w:rPr>
                      <w:rFonts w:ascii="Calibri" w:eastAsia="Calibri" w:hAnsi="Calibri" w:cs="Calibri"/>
                      <w:color w:val="4F81BD"/>
                      <w:sz w:val="18"/>
                      <w:szCs w:val="18"/>
                    </w:rPr>
                    <w:t xml:space="preserve">    samochodowych „j”, w obszarze Z, (miejski/ zamiejski), w PLN/</w:t>
                  </w:r>
                  <w:proofErr w:type="spellStart"/>
                  <w:r w:rsidR="00641FB5">
                    <w:rPr>
                      <w:rFonts w:ascii="Calibri" w:eastAsia="Calibri" w:hAnsi="Calibri" w:cs="Calibri"/>
                      <w:color w:val="4F81BD"/>
                      <w:sz w:val="18"/>
                      <w:szCs w:val="18"/>
                    </w:rPr>
                    <w:t>poj</w:t>
                  </w:r>
                  <w:proofErr w:type="spellEnd"/>
                  <w:r w:rsidR="00641FB5">
                    <w:rPr>
                      <w:rFonts w:ascii="Calibri" w:eastAsia="Calibri" w:hAnsi="Calibri" w:cs="Calibri"/>
                      <w:color w:val="4F81BD"/>
                      <w:sz w:val="18"/>
                      <w:szCs w:val="18"/>
                    </w:rPr>
                    <w:t>-km, z uwzględnieniem innych gałęzi transportu jeżeli ma to zastosowanie)</w:t>
                  </w:r>
                </w:p>
                <w:p w14:paraId="76ACCFA5" w14:textId="77777777" w:rsidR="00600DEE" w:rsidRDefault="00600DEE">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
                <w:p w14:paraId="5EA6E161"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średnioroczne dobowe natężenie ruchu dla kategorii pojazdów „j”, </w:t>
                  </w:r>
                  <w:r>
                    <w:rPr>
                      <w:rFonts w:ascii="Calibri" w:eastAsia="Calibri" w:hAnsi="Calibri" w:cs="Calibri"/>
                      <w:color w:val="4F81BD"/>
                      <w:sz w:val="18"/>
                      <w:szCs w:val="18"/>
                    </w:rPr>
                    <w:br/>
                    <w:t xml:space="preserve">                             w pojazdach/dobę,</w:t>
                  </w:r>
                </w:p>
                <w:p w14:paraId="43212A91"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L                        – długość odcinka drogi, w km,</w:t>
                  </w:r>
                </w:p>
                <w:p w14:paraId="6A6ADED4"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praca przewozowa  dla pojazdów kategorii „j” w zależności od długości</w:t>
                  </w:r>
                  <w:r>
                    <w:rPr>
                      <w:rFonts w:ascii="Calibri" w:eastAsia="Calibri" w:hAnsi="Calibri" w:cs="Calibri"/>
                      <w:color w:val="4F81BD"/>
                      <w:sz w:val="18"/>
                      <w:szCs w:val="18"/>
                    </w:rPr>
                    <w:br/>
                    <w:t xml:space="preserve">                             odcinka drogi, w </w:t>
                  </w:r>
                  <w:proofErr w:type="spellStart"/>
                  <w:r>
                    <w:rPr>
                      <w:rFonts w:ascii="Calibri" w:eastAsia="Calibri" w:hAnsi="Calibri" w:cs="Calibri"/>
                      <w:color w:val="4F81BD"/>
                      <w:sz w:val="18"/>
                      <w:szCs w:val="18"/>
                    </w:rPr>
                    <w:t>pojazdokilometrach</w:t>
                  </w:r>
                  <w:proofErr w:type="spellEnd"/>
                  <w:r>
                    <w:rPr>
                      <w:rFonts w:ascii="Calibri" w:eastAsia="Calibri" w:hAnsi="Calibri" w:cs="Calibri"/>
                      <w:color w:val="4F81BD"/>
                      <w:sz w:val="18"/>
                      <w:szCs w:val="18"/>
                    </w:rPr>
                    <w:t>/dobę.</w:t>
                  </w:r>
                </w:p>
                <w:p w14:paraId="20F36946"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L* </w:t>
                  </w: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(dla metody odcinkowej)</w:t>
                  </w:r>
                </w:p>
              </w:tc>
            </w:tr>
          </w:tbl>
          <w:p w14:paraId="4EBD52AF"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5019EE6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Zmienność kosztów jednostkowych hałasu w czasie jest przedstawiona w załączniku A.</w:t>
            </w:r>
          </w:p>
          <w:p w14:paraId="0DDC7FD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Druga metoda oparta jest o tzw. średnie koszty hałasu. Jest to metoda dwuetapowa:</w:t>
            </w:r>
          </w:p>
          <w:p w14:paraId="5F208C4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 Oszacowanie dla W0 i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xml:space="preserve"> liczby osób narażonych na ponadnormatywny hałas drogowy w rozbiciu na poszczególne grupy pojazdów. Szacunki można </w:t>
            </w:r>
            <w:r>
              <w:rPr>
                <w:rFonts w:ascii="Calibri" w:eastAsia="Calibri" w:hAnsi="Calibri" w:cs="Calibri"/>
                <w:color w:val="000000"/>
                <w:sz w:val="20"/>
                <w:szCs w:val="20"/>
              </w:rPr>
              <w:lastRenderedPageBreak/>
              <w:t xml:space="preserve">przeprowadzić w oparciu o mapy hałasu (jeżeli dostępne) i odpowiednie izofony dla różnych przedziałów 55-59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 xml:space="preserve">(A), 60-64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 xml:space="preserve">(A), 65-69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 xml:space="preserve">(A), 70-74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 xml:space="preserve">(A) oraz powyżej 75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 xml:space="preserve">(A). Dla obszarów poniżej 55 </w:t>
            </w:r>
            <w:proofErr w:type="spellStart"/>
            <w:r>
              <w:rPr>
                <w:rFonts w:ascii="Calibri" w:eastAsia="Calibri" w:hAnsi="Calibri" w:cs="Calibri"/>
                <w:color w:val="000000"/>
                <w:sz w:val="20"/>
                <w:szCs w:val="20"/>
              </w:rPr>
              <w:t>dB</w:t>
            </w:r>
            <w:proofErr w:type="spellEnd"/>
            <w:r>
              <w:rPr>
                <w:rFonts w:ascii="Calibri" w:eastAsia="Calibri" w:hAnsi="Calibri" w:cs="Calibri"/>
                <w:color w:val="000000"/>
                <w:sz w:val="20"/>
                <w:szCs w:val="20"/>
              </w:rPr>
              <w:t>(A) zakłada się brak negatywnych efektów. Po ustaleniu liczby osób narażonych na poszczególne poziomy hałasu, należy zastosować współczynnik pozwalający obliczyć liczbę osób, których problem hałasu faktycznie dotyczy (patrz załącznik A odnośnie do rekomendowanych wartości).</w:t>
            </w:r>
          </w:p>
          <w:p w14:paraId="7EB27CB2" w14:textId="04142D1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(ii) Określenie całkowitych kosztów poprzez przemnożenie liczby osób narażonych na ponadnormatywny hałas przez odpowiadające poszczególnym przedziałom koszty jednostkowe w oparciu o Podręcznik zewnętrz</w:t>
            </w:r>
            <w:r w:rsidR="00F102E8">
              <w:rPr>
                <w:rFonts w:ascii="Calibri" w:eastAsia="Calibri" w:hAnsi="Calibri" w:cs="Calibri"/>
                <w:color w:val="000000"/>
                <w:sz w:val="20"/>
                <w:szCs w:val="20"/>
              </w:rPr>
              <w:t>n</w:t>
            </w:r>
            <w:r>
              <w:rPr>
                <w:rFonts w:ascii="Calibri" w:eastAsia="Calibri" w:hAnsi="Calibri" w:cs="Calibri"/>
                <w:color w:val="000000"/>
                <w:sz w:val="20"/>
                <w:szCs w:val="20"/>
              </w:rPr>
              <w:t>ych kosztów transportu, wersja 2019; podano je w załączniku A –</w:t>
            </w:r>
            <w:r w:rsidR="00F102E8">
              <w:rPr>
                <w:rFonts w:ascii="Calibri" w:eastAsia="Calibri" w:hAnsi="Calibri" w:cs="Calibri"/>
                <w:color w:val="000000"/>
                <w:sz w:val="20"/>
                <w:szCs w:val="20"/>
              </w:rPr>
              <w:t xml:space="preserve"> J</w:t>
            </w:r>
            <w:r>
              <w:rPr>
                <w:rFonts w:ascii="Calibri" w:eastAsia="Calibri" w:hAnsi="Calibri" w:cs="Calibri"/>
                <w:color w:val="000000"/>
                <w:sz w:val="20"/>
                <w:szCs w:val="20"/>
              </w:rPr>
              <w:t>ednostkowe koszty ekonomiczne i finansowe.</w:t>
            </w:r>
          </w:p>
          <w:p w14:paraId="2066B100" w14:textId="1A4AE1F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Powyższe obliczenia przeprowadza się w oparciu o mapy akustyczne (jeżeli dostępne) dla prognozy pierwszego roku po oddaniu projektu do użytkowania. Dla okresu referencyjnego należy uwzględnić (i) przewidywane zmiany demograficzne oraz (ii) dostępne prognozy lub mapy</w:t>
            </w:r>
            <w:r w:rsidR="00F102E8">
              <w:rPr>
                <w:rFonts w:ascii="Calibri" w:eastAsia="Calibri" w:hAnsi="Calibri" w:cs="Calibri"/>
                <w:color w:val="000000"/>
                <w:sz w:val="20"/>
                <w:szCs w:val="20"/>
              </w:rPr>
              <w:t xml:space="preserve"> przyszłych odziaływań hałasu. W</w:t>
            </w:r>
            <w:r>
              <w:rPr>
                <w:rFonts w:ascii="Calibri" w:eastAsia="Calibri" w:hAnsi="Calibri" w:cs="Calibri"/>
                <w:color w:val="000000"/>
                <w:sz w:val="20"/>
                <w:szCs w:val="20"/>
              </w:rPr>
              <w:t> przypadku lat, dla których brak jest danych, należy zastosować interpolację liniową.</w:t>
            </w:r>
          </w:p>
          <w:p w14:paraId="1EA11C0D" w14:textId="438AA0B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Powyższe koszty jednostkowe wraz z odpowiednią prognozą czasową zostały uwzględnion</w:t>
            </w:r>
            <w:r w:rsidR="00F102E8">
              <w:rPr>
                <w:rFonts w:ascii="Calibri" w:eastAsia="Calibri" w:hAnsi="Calibri" w:cs="Calibri"/>
                <w:color w:val="000000"/>
                <w:sz w:val="20"/>
                <w:szCs w:val="20"/>
              </w:rPr>
              <w:t>e w załączniku A – J</w:t>
            </w:r>
            <w:r>
              <w:rPr>
                <w:rFonts w:ascii="Calibri" w:eastAsia="Calibri" w:hAnsi="Calibri" w:cs="Calibri"/>
                <w:color w:val="000000"/>
                <w:sz w:val="20"/>
                <w:szCs w:val="20"/>
              </w:rPr>
              <w:t>ednostkowe koszty ekonomiczne i finansowe.</w:t>
            </w:r>
          </w:p>
        </w:tc>
        <w:tc>
          <w:tcPr>
            <w:tcW w:w="7215" w:type="dxa"/>
            <w:tcBorders>
              <w:left w:val="single" w:sz="4" w:space="0" w:color="000000"/>
            </w:tcBorders>
            <w:tcMar>
              <w:left w:w="284" w:type="dxa"/>
              <w:right w:w="284" w:type="dxa"/>
            </w:tcMar>
          </w:tcPr>
          <w:p w14:paraId="25BDEA6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Noise can be defined as the unwanted sound or sounds of duration, intensity or other quality that causes physical or psychological harm to humans. </w:t>
            </w:r>
          </w:p>
          <w:p w14:paraId="01D6366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Permanent hearing damage may be caused by noise levels higher than 85 dB(A), whilst lower levels (above 60 dB) may have negative mental impact, cause stress, nervous  reactions, increased heart rate, increased blood pressure and hormonal changes, etc. Finally, permanent damage occurs particularly when exposure to noise is continued over a long period of time.</w:t>
            </w:r>
          </w:p>
          <w:p w14:paraId="11F2D89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calculation of noise impact costs should be performed in all projects in urban areas or with a high density of people exposed and/or in all those projects where noise impact is considered relevant. The present manual proposes two methods of calculation.</w:t>
            </w:r>
          </w:p>
          <w:p w14:paraId="2C6C601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first method proposed is based on the marginal cost of noise impact. These unit values are highly differentiated according to different traffic situations, local conditions (urban/non-urban) and time of the day. The proposed approach is based on marginal costs from Handbook on the external costs of transport, Version 2019, differentiating vehicle type, time of the day, traffic situation and area type. As these marginal unit costs are expressed in PLN/</w:t>
            </w:r>
            <w:proofErr w:type="spellStart"/>
            <w:r w:rsidRPr="0045151D">
              <w:rPr>
                <w:rFonts w:ascii="Calibri" w:eastAsia="Calibri" w:hAnsi="Calibri" w:cs="Calibri"/>
                <w:color w:val="000000"/>
                <w:sz w:val="20"/>
                <w:szCs w:val="20"/>
                <w:lang w:val="en-GB"/>
              </w:rPr>
              <w:t>vehkm</w:t>
            </w:r>
            <w:proofErr w:type="spellEnd"/>
            <w:r w:rsidRPr="0045151D">
              <w:rPr>
                <w:rFonts w:ascii="Calibri" w:eastAsia="Calibri" w:hAnsi="Calibri" w:cs="Calibri"/>
                <w:color w:val="000000"/>
                <w:sz w:val="20"/>
                <w:szCs w:val="20"/>
                <w:lang w:val="en-GB"/>
              </w:rPr>
              <w:t>, same calculations approach as presented in the previous environmental economic cost categories should be applied considering the respective noise unit costs (see formulas below).  Economic costs of noise are calculated for individual categories of vehicles, separately for each of the options, and separately for each year of economic analysis, as per traffic analysis.</w:t>
            </w:r>
          </w:p>
          <w:p w14:paraId="54AF428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noise for road vehicle categories presented are associated with combustion-engine vehicles. It is assumed that noise impacts related to electric vehicles can be omitted</w:t>
            </w:r>
            <w:bookmarkStart w:id="82" w:name="_Ref91584717"/>
            <w:r>
              <w:rPr>
                <w:rFonts w:ascii="Calibri" w:eastAsia="Calibri" w:hAnsi="Calibri" w:cs="Calibri"/>
                <w:color w:val="000000"/>
                <w:sz w:val="20"/>
                <w:szCs w:val="20"/>
                <w:vertAlign w:val="superscript"/>
              </w:rPr>
              <w:footnoteReference w:id="14"/>
            </w:r>
            <w:bookmarkEnd w:id="82"/>
            <w:r w:rsidRPr="0045151D">
              <w:rPr>
                <w:rFonts w:ascii="Calibri" w:eastAsia="Calibri" w:hAnsi="Calibri" w:cs="Calibri"/>
                <w:color w:val="000000"/>
                <w:sz w:val="20"/>
                <w:szCs w:val="20"/>
                <w:lang w:val="en-GB"/>
              </w:rPr>
              <w:t xml:space="preserve">. </w:t>
            </w:r>
          </w:p>
          <w:p w14:paraId="6647788F" w14:textId="77777777" w:rsidR="00CE2D79" w:rsidRPr="0045151D" w:rsidRDefault="00CE2D79">
            <w:pPr>
              <w:pBdr>
                <w:top w:val="nil"/>
                <w:left w:val="nil"/>
                <w:bottom w:val="nil"/>
                <w:right w:val="nil"/>
                <w:between w:val="nil"/>
              </w:pBdr>
              <w:tabs>
                <w:tab w:val="left" w:pos="1911"/>
              </w:tabs>
              <w:spacing w:before="120"/>
              <w:jc w:val="both"/>
              <w:rPr>
                <w:rFonts w:ascii="Calibri" w:eastAsia="Calibri" w:hAnsi="Calibri" w:cs="Calibri"/>
                <w:color w:val="000000"/>
                <w:sz w:val="20"/>
                <w:szCs w:val="20"/>
                <w:lang w:val="en-GB"/>
              </w:rPr>
            </w:pPr>
          </w:p>
          <w:p w14:paraId="449A35A1" w14:textId="1CD6EBBA" w:rsidR="00600DEE" w:rsidRPr="0045151D" w:rsidRDefault="00641FB5" w:rsidP="00CE2D79">
            <w:pPr>
              <w:pBdr>
                <w:top w:val="nil"/>
                <w:left w:val="nil"/>
                <w:bottom w:val="nil"/>
                <w:right w:val="nil"/>
                <w:between w:val="nil"/>
              </w:pBdr>
              <w:tabs>
                <w:tab w:val="left" w:pos="1911"/>
              </w:tabs>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For rail modes, respective unit costs for method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based on marginal costs and method (ii) described below (average costs) are provided in Appendix A.</w:t>
            </w:r>
          </w:p>
          <w:p w14:paraId="7C1DEE5F" w14:textId="77777777" w:rsidR="00CE2D79" w:rsidRPr="0045151D" w:rsidRDefault="00CE2D79" w:rsidP="00CE2D79">
            <w:pPr>
              <w:pBdr>
                <w:top w:val="nil"/>
                <w:left w:val="nil"/>
                <w:bottom w:val="nil"/>
                <w:right w:val="nil"/>
                <w:between w:val="nil"/>
              </w:pBdr>
              <w:tabs>
                <w:tab w:val="left" w:pos="1911"/>
              </w:tabs>
              <w:jc w:val="both"/>
              <w:rPr>
                <w:rFonts w:ascii="Calibri" w:eastAsia="Calibri" w:hAnsi="Calibri" w:cs="Calibri"/>
                <w:b/>
                <w:color w:val="333399"/>
                <w:sz w:val="20"/>
                <w:szCs w:val="20"/>
                <w:lang w:val="en-GB"/>
              </w:rPr>
            </w:pPr>
          </w:p>
          <w:p w14:paraId="6B08393A"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1E685661" w14:textId="77777777" w:rsidR="00307C29" w:rsidRPr="0045151D" w:rsidRDefault="00307C29">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2C8945A" w14:textId="77777777" w:rsidR="00307C29" w:rsidRPr="0045151D" w:rsidRDefault="00307C29">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35885ACF" w14:textId="71816477" w:rsidR="00600DEE" w:rsidRPr="0045151D" w:rsidRDefault="0010419F">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22</w:t>
            </w:r>
            <w:r w:rsidR="00641FB5" w:rsidRPr="0045151D">
              <w:rPr>
                <w:rFonts w:ascii="Calibri" w:eastAsia="Calibri" w:hAnsi="Calibri" w:cs="Calibri"/>
                <w:b/>
                <w:color w:val="4F81BD"/>
                <w:sz w:val="20"/>
                <w:szCs w:val="20"/>
                <w:lang w:val="en-GB"/>
              </w:rPr>
              <w:t>. Formulas for the calculation of noise costs</w:t>
            </w:r>
          </w:p>
          <w:tbl>
            <w:tblPr>
              <w:tblStyle w:val="afffff5"/>
              <w:tblW w:w="693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5"/>
            </w:tblGrid>
            <w:tr w:rsidR="00600DEE" w:rsidRPr="007463B9" w14:paraId="5D0208F3" w14:textId="77777777" w:rsidTr="006C2564">
              <w:trPr>
                <w:trHeight w:hRule="exact" w:val="5103"/>
              </w:trPr>
              <w:tc>
                <w:tcPr>
                  <w:tcW w:w="6935" w:type="dxa"/>
                  <w:shd w:val="clear" w:color="auto" w:fill="DBE5F1"/>
                  <w:vAlign w:val="center"/>
                </w:tcPr>
                <w:p w14:paraId="6960CFB9" w14:textId="3D38C909"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46853D0E" w14:textId="77777777" w:rsidR="006C2564" w:rsidRPr="0045151D" w:rsidRDefault="006C2564">
                  <w:pPr>
                    <w:pBdr>
                      <w:top w:val="nil"/>
                      <w:left w:val="nil"/>
                      <w:bottom w:val="nil"/>
                      <w:right w:val="nil"/>
                      <w:between w:val="nil"/>
                    </w:pBdr>
                    <w:spacing w:before="40" w:after="40"/>
                    <w:rPr>
                      <w:rFonts w:ascii="Calibri" w:eastAsia="Calibri" w:hAnsi="Calibri" w:cs="Calibri"/>
                      <w:color w:val="4F81BD"/>
                      <w:sz w:val="18"/>
                      <w:szCs w:val="18"/>
                      <w:lang w:val="en-GB"/>
                    </w:rPr>
                  </w:pPr>
                </w:p>
                <w:p w14:paraId="420DE0CC"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2978" w:dyaOrig="825" w14:anchorId="1D9A7109">
                      <v:shape id="_x0000_i1038" type="#_x0000_t75" style="width:149.6pt;height:41.15pt" o:ole="" filled="t">
                        <v:fill color2="black"/>
                        <v:imagedata r:id="rId132" o:title=""/>
                      </v:shape>
                      <o:OLEObject Type="Embed" ProgID="Equation.3" ShapeID="_x0000_i1038" DrawAspect="Content" ObjectID="_1708947480" r:id="rId133"/>
                    </w:object>
                  </w:r>
                </w:p>
                <w:p w14:paraId="2975BDDD" w14:textId="77777777" w:rsidR="00600DEE" w:rsidRDefault="00600DEE">
                  <w:pPr>
                    <w:pBdr>
                      <w:top w:val="nil"/>
                      <w:left w:val="nil"/>
                      <w:bottom w:val="nil"/>
                      <w:right w:val="nil"/>
                      <w:between w:val="nil"/>
                    </w:pBdr>
                    <w:spacing w:before="40" w:after="40"/>
                    <w:jc w:val="center"/>
                    <w:rPr>
                      <w:rFonts w:ascii="Calibri" w:eastAsia="Calibri" w:hAnsi="Calibri" w:cs="Calibri"/>
                      <w:color w:val="4F81BD"/>
                      <w:sz w:val="18"/>
                      <w:szCs w:val="18"/>
                    </w:rPr>
                  </w:pPr>
                </w:p>
                <w:p w14:paraId="25019344"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487B5239"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H</w:t>
                  </w:r>
                  <w:r w:rsidRPr="0045151D">
                    <w:rPr>
                      <w:rFonts w:ascii="Calibri" w:eastAsia="Calibri" w:hAnsi="Calibri" w:cs="Calibri"/>
                      <w:color w:val="4F81BD"/>
                      <w:sz w:val="18"/>
                      <w:szCs w:val="18"/>
                      <w:lang w:val="en-GB"/>
                    </w:rPr>
                    <w:tab/>
                    <w:t xml:space="preserve">          – annual noise costs for road vehicles, in PLN,</w:t>
                  </w:r>
                </w:p>
                <w:p w14:paraId="3E0E293A"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j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number of categories of vehicles,</w:t>
                  </w:r>
                </w:p>
                <w:p w14:paraId="40506BB7"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h,j</w:t>
                  </w:r>
                  <w:proofErr w:type="spellEnd"/>
                  <w:r w:rsidRPr="0045151D">
                    <w:rPr>
                      <w:rFonts w:ascii="Calibri" w:eastAsia="Calibri" w:hAnsi="Calibri" w:cs="Calibri"/>
                      <w:color w:val="4F81BD"/>
                      <w:sz w:val="18"/>
                      <w:szCs w:val="18"/>
                      <w:lang w:val="en-GB"/>
                    </w:rPr>
                    <w:t>(Z)</w:t>
                  </w:r>
                  <w:r w:rsidRPr="0045151D">
                    <w:rPr>
                      <w:rFonts w:ascii="Calibri" w:eastAsia="Calibri" w:hAnsi="Calibri" w:cs="Calibri"/>
                      <w:color w:val="4F81BD"/>
                      <w:sz w:val="18"/>
                      <w:szCs w:val="18"/>
                      <w:lang w:val="en-GB"/>
                    </w:rPr>
                    <w:tab/>
                    <w:t xml:space="preserve">          – unit costs of noise of vehicles category “j” in area Z (urban/non-urban),</w:t>
                  </w:r>
                  <w:r w:rsidRPr="0045151D">
                    <w:rPr>
                      <w:rFonts w:ascii="Calibri" w:eastAsia="Calibri" w:hAnsi="Calibri" w:cs="Calibri"/>
                      <w:color w:val="4F81BD"/>
                      <w:sz w:val="18"/>
                      <w:szCs w:val="18"/>
                      <w:lang w:val="en-GB"/>
                    </w:rPr>
                    <w:br/>
                    <w:t xml:space="preserve">                               in PLN/</w:t>
                  </w:r>
                  <w:proofErr w:type="spellStart"/>
                  <w:r w:rsidRPr="0045151D">
                    <w:rPr>
                      <w:rFonts w:ascii="Calibri" w:eastAsia="Calibri" w:hAnsi="Calibri" w:cs="Calibri"/>
                      <w:color w:val="4F81BD"/>
                      <w:sz w:val="18"/>
                      <w:szCs w:val="18"/>
                      <w:lang w:val="en-GB"/>
                    </w:rPr>
                    <w:t>veh</w:t>
                  </w:r>
                  <w:proofErr w:type="spellEnd"/>
                  <w:r w:rsidRPr="0045151D">
                    <w:rPr>
                      <w:rFonts w:ascii="Calibri" w:eastAsia="Calibri" w:hAnsi="Calibri" w:cs="Calibri"/>
                      <w:color w:val="4F81BD"/>
                      <w:sz w:val="18"/>
                      <w:szCs w:val="18"/>
                      <w:lang w:val="en-GB"/>
                    </w:rPr>
                    <w:t>-km, including other modes if relevant</w:t>
                  </w:r>
                </w:p>
                <w:p w14:paraId="6841168E"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 average daily traffic of vehicles category “j”, in vehicles/day (AADT),</w:t>
                  </w:r>
                </w:p>
                <w:p w14:paraId="240B45F1"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 length of road section, in km,</w:t>
                  </w:r>
                </w:p>
                <w:p w14:paraId="5F86E7CB"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transport work depending on the road section length and vehicle</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category “j”, in vehicles-kilometres/day</w:t>
                  </w:r>
                </w:p>
                <w:p w14:paraId="55774E41"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xml:space="preserve"> = L* </w:t>
                  </w:r>
                  <w:proofErr w:type="spellStart"/>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proofErr w:type="spellEnd"/>
                  <w:r w:rsidRPr="0045151D">
                    <w:rPr>
                      <w:rFonts w:ascii="Calibri" w:eastAsia="Calibri" w:hAnsi="Calibri" w:cs="Calibri"/>
                      <w:color w:val="4F81BD"/>
                      <w:sz w:val="18"/>
                      <w:szCs w:val="18"/>
                      <w:lang w:val="en-GB"/>
                    </w:rPr>
                    <w:t>.  (for section approach)</w:t>
                  </w:r>
                </w:p>
              </w:tc>
            </w:tr>
          </w:tbl>
          <w:p w14:paraId="321E3D5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4D246ED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noise unit cost evolution over time is described in Appendix A.</w:t>
            </w:r>
          </w:p>
          <w:p w14:paraId="09BC794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second method proposed is based on using the average noise cost. This method consists of the following stages:</w:t>
            </w:r>
          </w:p>
          <w:p w14:paraId="1E8596D3" w14:textId="7A02AC98"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xml:space="preserve">) Estimation for W0 and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of the number of people affected by excessive noise per vehicle category. According to the noise map data (if available), the following </w:t>
            </w:r>
            <w:r w:rsidRPr="0045151D">
              <w:rPr>
                <w:rFonts w:ascii="Calibri" w:eastAsia="Calibri" w:hAnsi="Calibri" w:cs="Calibri"/>
                <w:color w:val="000000"/>
                <w:sz w:val="20"/>
                <w:szCs w:val="20"/>
                <w:lang w:val="en-GB"/>
              </w:rPr>
              <w:lastRenderedPageBreak/>
              <w:t>noise classes are distinguished for calculation of the total noise costs: 55-59 dB(A), 60-64 dB(A), 65-69 dB(A), 70-74 dB(A) and more than 75 dB(A). For noise levels below 55 dB(A) it is assumed that there are no adverse</w:t>
            </w:r>
            <w:r w:rsidR="00F102E8">
              <w:rPr>
                <w:rFonts w:ascii="Calibri" w:eastAsia="Calibri" w:hAnsi="Calibri" w:cs="Calibri"/>
                <w:color w:val="000000"/>
                <w:sz w:val="20"/>
                <w:szCs w:val="20"/>
                <w:lang w:val="en-GB"/>
              </w:rPr>
              <w:t xml:space="preserve"> effects</w:t>
            </w:r>
            <w:r w:rsidRPr="0045151D">
              <w:rPr>
                <w:rFonts w:ascii="Calibri" w:eastAsia="Calibri" w:hAnsi="Calibri" w:cs="Calibri"/>
                <w:color w:val="000000"/>
                <w:sz w:val="20"/>
                <w:szCs w:val="20"/>
                <w:lang w:val="en-GB"/>
              </w:rPr>
              <w:t>. Once the total number of people exposed under the different noise level areas is obtained, a factor must be applied to establish the number of actually affected people in the total exposed population (see Appendix A for recommended values).</w:t>
            </w:r>
          </w:p>
          <w:p w14:paraId="05F7E41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  Estimation of total noise costs by multiplying the number of people affected by the noise costs per person exposed to a given noise class; the proposed cost factors to be used are the ones based on Handbook on the external costs of transport, Version 2019, and included in Appendix A –Economic and Financial Unit Costs.</w:t>
            </w:r>
          </w:p>
          <w:p w14:paraId="11F4F14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exercise described above will be done for the year the project enters into service based on the forecasted noise maps (if available). The estimation for the reference period will need to consider: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xml:space="preserve">) forecasted growth of exposed population; and (ii) available forecasts or maps of future noise levels, using linear interpolation for the years when the respective data is not presented. </w:t>
            </w:r>
          </w:p>
          <w:p w14:paraId="7CD85AB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referred unit costs, their respective forecast over time and factors are presented in Appendix A – Economic and Financial Unit Costs.</w:t>
            </w:r>
          </w:p>
        </w:tc>
      </w:tr>
    </w:tbl>
    <w:p w14:paraId="442248F1" w14:textId="016AA72B" w:rsidR="00600DEE" w:rsidRDefault="00641FB5" w:rsidP="00D5736B">
      <w:pPr>
        <w:pStyle w:val="Nagwek3"/>
        <w:numPr>
          <w:ilvl w:val="2"/>
          <w:numId w:val="17"/>
        </w:numPr>
        <w:ind w:left="0" w:firstLine="0"/>
        <w:rPr>
          <w:rFonts w:ascii="Calibri" w:eastAsia="Calibri" w:hAnsi="Calibri" w:cs="Calibri"/>
          <w:color w:val="4F81BD"/>
        </w:rPr>
      </w:pPr>
      <w:bookmarkStart w:id="83" w:name="_Toc95377992"/>
      <w:r>
        <w:rPr>
          <w:rFonts w:ascii="Calibri" w:eastAsia="Calibri" w:hAnsi="Calibri" w:cs="Calibri"/>
          <w:color w:val="4F81BD"/>
        </w:rPr>
        <w:lastRenderedPageBreak/>
        <w:t>Koszty eksploatacji i utrzymania infrastruktury</w:t>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 xml:space="preserve">2.1.7   </w:t>
      </w:r>
      <w:proofErr w:type="spellStart"/>
      <w:r>
        <w:rPr>
          <w:rFonts w:ascii="Calibri" w:eastAsia="Calibri" w:hAnsi="Calibri" w:cs="Calibri"/>
          <w:i/>
          <w:color w:val="4F81BD"/>
        </w:rPr>
        <w:t>Costs</w:t>
      </w:r>
      <w:proofErr w:type="spellEnd"/>
      <w:r>
        <w:rPr>
          <w:rFonts w:ascii="Calibri" w:eastAsia="Calibri" w:hAnsi="Calibri" w:cs="Calibri"/>
          <w:i/>
          <w:color w:val="4F81BD"/>
        </w:rPr>
        <w:t xml:space="preserve"> of </w:t>
      </w:r>
      <w:proofErr w:type="spellStart"/>
      <w:r>
        <w:rPr>
          <w:rFonts w:ascii="Calibri" w:eastAsia="Calibri" w:hAnsi="Calibri" w:cs="Calibri"/>
          <w:i/>
          <w:color w:val="4F81BD"/>
        </w:rPr>
        <w:t>infrastructure</w:t>
      </w:r>
      <w:proofErr w:type="spellEnd"/>
      <w:r>
        <w:rPr>
          <w:rFonts w:ascii="Calibri" w:eastAsia="Calibri" w:hAnsi="Calibri" w:cs="Calibri"/>
          <w:i/>
          <w:color w:val="4F81BD"/>
        </w:rPr>
        <w:t xml:space="preserve"> </w:t>
      </w:r>
      <w:proofErr w:type="spellStart"/>
      <w:r>
        <w:rPr>
          <w:rFonts w:ascii="Calibri" w:eastAsia="Calibri" w:hAnsi="Calibri" w:cs="Calibri"/>
          <w:i/>
          <w:color w:val="4F81BD"/>
        </w:rPr>
        <w:t>operation</w:t>
      </w:r>
      <w:proofErr w:type="spellEnd"/>
      <w:r>
        <w:rPr>
          <w:rFonts w:ascii="Calibri" w:eastAsia="Calibri" w:hAnsi="Calibri" w:cs="Calibri"/>
          <w:i/>
          <w:color w:val="4F81BD"/>
        </w:rPr>
        <w:t xml:space="preserve"> and </w:t>
      </w:r>
      <w:proofErr w:type="spellStart"/>
      <w:r>
        <w:rPr>
          <w:rFonts w:ascii="Calibri" w:eastAsia="Calibri" w:hAnsi="Calibri" w:cs="Calibri"/>
          <w:i/>
          <w:color w:val="4F81BD"/>
        </w:rPr>
        <w:t>maintenance</w:t>
      </w:r>
      <w:bookmarkEnd w:id="83"/>
      <w:proofErr w:type="spellEnd"/>
    </w:p>
    <w:tbl>
      <w:tblPr>
        <w:tblStyle w:val="afffff6"/>
        <w:tblW w:w="14571" w:type="dxa"/>
        <w:tblLayout w:type="fixed"/>
        <w:tblLook w:val="0400" w:firstRow="0" w:lastRow="0" w:firstColumn="0" w:lastColumn="0" w:noHBand="0" w:noVBand="1"/>
      </w:tblPr>
      <w:tblGrid>
        <w:gridCol w:w="7370"/>
        <w:gridCol w:w="7201"/>
      </w:tblGrid>
      <w:tr w:rsidR="00600DEE" w:rsidRPr="007463B9" w14:paraId="2EE0BD24" w14:textId="77777777">
        <w:tc>
          <w:tcPr>
            <w:tcW w:w="7370" w:type="dxa"/>
            <w:tcBorders>
              <w:right w:val="single" w:sz="4" w:space="0" w:color="000000"/>
            </w:tcBorders>
            <w:tcMar>
              <w:left w:w="284" w:type="dxa"/>
              <w:right w:w="284" w:type="dxa"/>
            </w:tcMar>
          </w:tcPr>
          <w:p w14:paraId="2A3F96E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uzyskania kosztów ekonomicznych utrzymania i eksploatacji infrastruktury należy wykorzystać koszty zestawione w rozdziale 1.9, a następnie dokonać korekty tych kosztów przy użyciu Współczynników Konwersji (patrz rozdział 2.2.2. poniżej).</w:t>
            </w:r>
          </w:p>
          <w:p w14:paraId="72552468" w14:textId="15CF70BA" w:rsidR="00F102E8" w:rsidRPr="00F102E8" w:rsidRDefault="00F102E8">
            <w:pPr>
              <w:pBdr>
                <w:top w:val="nil"/>
                <w:left w:val="nil"/>
                <w:bottom w:val="nil"/>
                <w:right w:val="nil"/>
                <w:between w:val="nil"/>
              </w:pBdr>
              <w:spacing w:before="120"/>
              <w:jc w:val="both"/>
              <w:rPr>
                <w:rFonts w:asciiTheme="minorHAnsi" w:eastAsia="Calibri" w:hAnsiTheme="minorHAnsi" w:cs="Calibri"/>
                <w:color w:val="000000"/>
                <w:sz w:val="20"/>
                <w:szCs w:val="20"/>
              </w:rPr>
            </w:pPr>
            <w:r w:rsidRPr="00F102E8">
              <w:rPr>
                <w:rFonts w:asciiTheme="minorHAnsi" w:hAnsiTheme="minorHAnsi"/>
                <w:sz w:val="20"/>
                <w:szCs w:val="20"/>
              </w:rPr>
              <w:t>Zaproponowane jednostkowe koszty eksploatacji i utrzymania infrastruktury drogowej, w cenach netto, znajdują się w załączniku A – Jednostkowe koszty ekonomiczne i finansowe.</w:t>
            </w:r>
          </w:p>
        </w:tc>
        <w:tc>
          <w:tcPr>
            <w:tcW w:w="7201" w:type="dxa"/>
            <w:tcBorders>
              <w:left w:val="single" w:sz="4" w:space="0" w:color="000000"/>
            </w:tcBorders>
            <w:tcMar>
              <w:left w:w="284" w:type="dxa"/>
              <w:right w:w="284" w:type="dxa"/>
            </w:tcMar>
          </w:tcPr>
          <w:p w14:paraId="6667167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estimate the economic costs of infrastructure operation and maintenance (O&amp;M costs), use the unit costs and approach presented in chapter 1.9, and then correct these costs using the Conversion Factors (see chapter 2.2.2 below).</w:t>
            </w:r>
          </w:p>
          <w:p w14:paraId="52FAA425" w14:textId="04927048" w:rsidR="006C2564" w:rsidRPr="00F102E8" w:rsidRDefault="00F102E8">
            <w:pPr>
              <w:pBdr>
                <w:top w:val="nil"/>
                <w:left w:val="nil"/>
                <w:bottom w:val="nil"/>
                <w:right w:val="nil"/>
                <w:between w:val="nil"/>
              </w:pBdr>
              <w:spacing w:before="120"/>
              <w:jc w:val="both"/>
              <w:rPr>
                <w:rFonts w:ascii="Calibri" w:eastAsia="Calibri" w:hAnsi="Calibri" w:cs="Calibri"/>
                <w:color w:val="000000"/>
                <w:sz w:val="20"/>
                <w:szCs w:val="20"/>
                <w:lang w:val="en-GB"/>
              </w:rPr>
            </w:pPr>
            <w:r w:rsidRPr="00F102E8">
              <w:rPr>
                <w:rFonts w:asciiTheme="minorHAnsi" w:hAnsiTheme="minorHAnsi"/>
                <w:sz w:val="20"/>
                <w:szCs w:val="20"/>
                <w:lang w:val="en-GB"/>
              </w:rPr>
              <w:t>The proposed unit maintenance costs for road infrastructure are presented in net prices in Appendix A – Unit economic and financial costs.</w:t>
            </w:r>
          </w:p>
          <w:p w14:paraId="43145047" w14:textId="77777777" w:rsidR="006C2564" w:rsidRPr="0045151D" w:rsidRDefault="006C2564">
            <w:pPr>
              <w:pBdr>
                <w:top w:val="nil"/>
                <w:left w:val="nil"/>
                <w:bottom w:val="nil"/>
                <w:right w:val="nil"/>
                <w:between w:val="nil"/>
              </w:pBdr>
              <w:spacing w:before="120"/>
              <w:jc w:val="both"/>
              <w:rPr>
                <w:rFonts w:ascii="Calibri" w:eastAsia="Calibri" w:hAnsi="Calibri" w:cs="Calibri"/>
                <w:color w:val="000000"/>
                <w:sz w:val="20"/>
                <w:szCs w:val="20"/>
                <w:lang w:val="en-GB"/>
              </w:rPr>
            </w:pPr>
          </w:p>
          <w:p w14:paraId="48F954A1" w14:textId="77777777" w:rsidR="006C2564" w:rsidRPr="0045151D" w:rsidRDefault="006C2564">
            <w:pPr>
              <w:pBdr>
                <w:top w:val="nil"/>
                <w:left w:val="nil"/>
                <w:bottom w:val="nil"/>
                <w:right w:val="nil"/>
                <w:between w:val="nil"/>
              </w:pBdr>
              <w:spacing w:before="120"/>
              <w:jc w:val="both"/>
              <w:rPr>
                <w:rFonts w:ascii="Calibri" w:eastAsia="Calibri" w:hAnsi="Calibri" w:cs="Calibri"/>
                <w:color w:val="000000"/>
                <w:sz w:val="20"/>
                <w:szCs w:val="20"/>
                <w:lang w:val="en-GB"/>
              </w:rPr>
            </w:pPr>
          </w:p>
          <w:p w14:paraId="18741509" w14:textId="77777777" w:rsidR="006C2564" w:rsidRPr="0045151D" w:rsidRDefault="006C2564" w:rsidP="00307C29">
            <w:pPr>
              <w:pBdr>
                <w:top w:val="nil"/>
                <w:left w:val="nil"/>
                <w:bottom w:val="nil"/>
                <w:right w:val="nil"/>
                <w:between w:val="nil"/>
              </w:pBdr>
              <w:jc w:val="both"/>
              <w:rPr>
                <w:rFonts w:ascii="Calibri" w:eastAsia="Calibri" w:hAnsi="Calibri" w:cs="Calibri"/>
                <w:color w:val="000000"/>
                <w:sz w:val="20"/>
                <w:szCs w:val="20"/>
                <w:lang w:val="en-GB"/>
              </w:rPr>
            </w:pPr>
          </w:p>
          <w:p w14:paraId="1B2C3676" w14:textId="77777777" w:rsidR="00CE2D79" w:rsidRPr="0045151D" w:rsidRDefault="00CE2D79" w:rsidP="00307C29">
            <w:pPr>
              <w:pBdr>
                <w:top w:val="nil"/>
                <w:left w:val="nil"/>
                <w:bottom w:val="nil"/>
                <w:right w:val="nil"/>
                <w:between w:val="nil"/>
              </w:pBdr>
              <w:jc w:val="both"/>
              <w:rPr>
                <w:rFonts w:ascii="Calibri" w:eastAsia="Calibri" w:hAnsi="Calibri" w:cs="Calibri"/>
                <w:color w:val="000000"/>
                <w:sz w:val="20"/>
                <w:szCs w:val="20"/>
                <w:lang w:val="en-GB"/>
              </w:rPr>
            </w:pPr>
          </w:p>
          <w:p w14:paraId="4762A856" w14:textId="3857CBA4" w:rsidR="00CE2D79" w:rsidRPr="0045151D" w:rsidRDefault="00CE2D79" w:rsidP="00307C29">
            <w:pPr>
              <w:pBdr>
                <w:top w:val="nil"/>
                <w:left w:val="nil"/>
                <w:bottom w:val="nil"/>
                <w:right w:val="nil"/>
                <w:between w:val="nil"/>
              </w:pBdr>
              <w:jc w:val="both"/>
              <w:rPr>
                <w:rFonts w:ascii="Calibri" w:eastAsia="Calibri" w:hAnsi="Calibri" w:cs="Calibri"/>
                <w:color w:val="000000"/>
                <w:sz w:val="20"/>
                <w:szCs w:val="20"/>
                <w:lang w:val="en-GB"/>
              </w:rPr>
            </w:pPr>
          </w:p>
        </w:tc>
      </w:tr>
    </w:tbl>
    <w:p w14:paraId="6052F2F3" w14:textId="290753E6" w:rsidR="00600DEE" w:rsidRPr="00E301CF" w:rsidRDefault="00641FB5" w:rsidP="00D5736B">
      <w:pPr>
        <w:pStyle w:val="Nagwek2"/>
        <w:numPr>
          <w:ilvl w:val="1"/>
          <w:numId w:val="17"/>
        </w:numPr>
        <w:spacing w:before="0" w:after="0"/>
        <w:ind w:left="0" w:firstLine="0"/>
        <w:rPr>
          <w:rFonts w:ascii="Calibri" w:eastAsia="Calibri" w:hAnsi="Calibri" w:cs="Calibri"/>
          <w:color w:val="4F81BD"/>
          <w:lang w:val="pl-PL"/>
        </w:rPr>
      </w:pPr>
      <w:bookmarkStart w:id="84" w:name="_Toc95377993"/>
      <w:r w:rsidRPr="00E301CF">
        <w:rPr>
          <w:rFonts w:ascii="Calibri" w:eastAsia="Calibri" w:hAnsi="Calibri" w:cs="Calibri"/>
          <w:color w:val="4F81BD"/>
          <w:lang w:val="pl-PL"/>
        </w:rPr>
        <w:lastRenderedPageBreak/>
        <w:t>Etapy analizy społeczno-ekonomicznej</w:t>
      </w:r>
      <w:r w:rsidRPr="00E301CF">
        <w:rPr>
          <w:rFonts w:ascii="Calibri" w:eastAsia="Calibri" w:hAnsi="Calibri" w:cs="Calibri"/>
          <w:color w:val="4F81BD"/>
          <w:lang w:val="pl-PL"/>
        </w:rPr>
        <w:tab/>
        <w:t xml:space="preserve">        </w:t>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F102E8" w:rsidRPr="00E301CF">
        <w:rPr>
          <w:rFonts w:ascii="Calibri" w:eastAsia="Calibri" w:hAnsi="Calibri" w:cs="Calibri"/>
          <w:i/>
          <w:color w:val="4F81BD"/>
          <w:lang w:val="pl-PL"/>
        </w:rPr>
        <w:t>2.2</w:t>
      </w:r>
      <w:r w:rsidR="00F102E8" w:rsidRPr="00E301CF">
        <w:rPr>
          <w:rFonts w:ascii="Calibri" w:eastAsia="Calibri" w:hAnsi="Calibri" w:cs="Calibri"/>
          <w:color w:val="4F81BD"/>
          <w:lang w:val="pl-PL"/>
        </w:rPr>
        <w:t xml:space="preserve">   </w:t>
      </w:r>
      <w:proofErr w:type="spellStart"/>
      <w:r w:rsidR="00F102E8" w:rsidRPr="00E301CF">
        <w:rPr>
          <w:rFonts w:ascii="Calibri" w:eastAsia="Calibri" w:hAnsi="Calibri" w:cs="Calibri"/>
          <w:i/>
          <w:color w:val="4F81BD"/>
          <w:lang w:val="pl-PL"/>
        </w:rPr>
        <w:t>Stages</w:t>
      </w:r>
      <w:proofErr w:type="spellEnd"/>
      <w:r w:rsidR="00F102E8" w:rsidRPr="00E301CF">
        <w:rPr>
          <w:rFonts w:ascii="Calibri" w:eastAsia="Calibri" w:hAnsi="Calibri" w:cs="Calibri"/>
          <w:i/>
          <w:color w:val="4F81BD"/>
          <w:lang w:val="pl-PL"/>
        </w:rPr>
        <w:t xml:space="preserve"> of </w:t>
      </w:r>
      <w:proofErr w:type="spellStart"/>
      <w:r w:rsidR="00F102E8" w:rsidRPr="00E301CF">
        <w:rPr>
          <w:rFonts w:ascii="Calibri" w:eastAsia="Calibri" w:hAnsi="Calibri" w:cs="Calibri"/>
          <w:i/>
          <w:color w:val="4F81BD"/>
          <w:lang w:val="pl-PL"/>
        </w:rPr>
        <w:t>socio-economic</w:t>
      </w:r>
      <w:proofErr w:type="spellEnd"/>
      <w:r w:rsidR="00F102E8" w:rsidRPr="00E301CF">
        <w:rPr>
          <w:rFonts w:ascii="Calibri" w:eastAsia="Calibri" w:hAnsi="Calibri" w:cs="Calibri"/>
          <w:i/>
          <w:color w:val="4F81BD"/>
          <w:lang w:val="pl-PL"/>
        </w:rPr>
        <w:t xml:space="preserve"> </w:t>
      </w:r>
      <w:proofErr w:type="spellStart"/>
      <w:r w:rsidR="00F102E8" w:rsidRPr="00E301CF">
        <w:rPr>
          <w:rFonts w:ascii="Calibri" w:eastAsia="Calibri" w:hAnsi="Calibri" w:cs="Calibri"/>
          <w:i/>
          <w:color w:val="4F81BD"/>
          <w:lang w:val="pl-PL"/>
        </w:rPr>
        <w:t>analysis</w:t>
      </w:r>
      <w:bookmarkEnd w:id="84"/>
      <w:proofErr w:type="spellEnd"/>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t xml:space="preserve">       </w:t>
      </w:r>
    </w:p>
    <w:tbl>
      <w:tblPr>
        <w:tblStyle w:val="afffff7"/>
        <w:tblW w:w="14571" w:type="dxa"/>
        <w:tblLayout w:type="fixed"/>
        <w:tblLook w:val="0400" w:firstRow="0" w:lastRow="0" w:firstColumn="0" w:lastColumn="0" w:noHBand="0" w:noVBand="1"/>
      </w:tblPr>
      <w:tblGrid>
        <w:gridCol w:w="7355"/>
        <w:gridCol w:w="7216"/>
      </w:tblGrid>
      <w:tr w:rsidR="00600DEE" w:rsidRPr="007463B9" w14:paraId="1161F1B4" w14:textId="77777777">
        <w:tc>
          <w:tcPr>
            <w:tcW w:w="7355" w:type="dxa"/>
            <w:tcBorders>
              <w:right w:val="single" w:sz="4" w:space="0" w:color="000000"/>
            </w:tcBorders>
            <w:tcMar>
              <w:left w:w="284" w:type="dxa"/>
              <w:right w:w="284" w:type="dxa"/>
            </w:tcMar>
          </w:tcPr>
          <w:p w14:paraId="0C851721" w14:textId="77777777" w:rsidR="00600DEE" w:rsidRDefault="00641FB5" w:rsidP="00307C29">
            <w:pPr>
              <w:pBdr>
                <w:top w:val="nil"/>
                <w:left w:val="nil"/>
                <w:bottom w:val="nil"/>
                <w:right w:val="nil"/>
                <w:between w:val="nil"/>
              </w:pBdr>
              <w:spacing w:before="240"/>
              <w:jc w:val="both"/>
              <w:rPr>
                <w:rFonts w:ascii="Calibri" w:eastAsia="Calibri" w:hAnsi="Calibri" w:cs="Calibri"/>
                <w:color w:val="000000"/>
                <w:sz w:val="20"/>
                <w:szCs w:val="20"/>
              </w:rPr>
            </w:pPr>
            <w:r>
              <w:rPr>
                <w:rFonts w:ascii="Calibri" w:eastAsia="Calibri" w:hAnsi="Calibri" w:cs="Calibri"/>
                <w:color w:val="000000"/>
                <w:sz w:val="20"/>
                <w:szCs w:val="20"/>
              </w:rPr>
              <w:t xml:space="preserve">Zalecana struktura analizy ekonomicznej obejmuje następujące elementy: </w:t>
            </w:r>
          </w:p>
          <w:p w14:paraId="68D510A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1. Definicja założeń do analizy ekonomicznej. </w:t>
            </w:r>
          </w:p>
          <w:p w14:paraId="50EC8AF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2. Konwersja cen rynkowych na ceny rozrachunkowe (ukryte). </w:t>
            </w:r>
          </w:p>
          <w:p w14:paraId="1D9C1DB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3. Wyznaczenie przepływów ekonomicznych projektu w okresie referencyjnym. </w:t>
            </w:r>
          </w:p>
          <w:p w14:paraId="092BE1BA" w14:textId="174B905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4. Obliczanie wskaźników efektywności społeczno-ekonomicznej (ENPV, ERR, BCR) i interpretacja wyników.</w:t>
            </w:r>
          </w:p>
          <w:p w14:paraId="48EC3F41" w14:textId="77777777" w:rsidR="00F102E8" w:rsidRDefault="00F102E8">
            <w:pPr>
              <w:pBdr>
                <w:top w:val="nil"/>
                <w:left w:val="nil"/>
                <w:bottom w:val="nil"/>
                <w:right w:val="nil"/>
                <w:between w:val="nil"/>
              </w:pBdr>
              <w:spacing w:before="120"/>
              <w:jc w:val="both"/>
              <w:rPr>
                <w:rFonts w:ascii="Calibri" w:eastAsia="Calibri" w:hAnsi="Calibri" w:cs="Calibri"/>
                <w:color w:val="000000"/>
                <w:sz w:val="20"/>
                <w:szCs w:val="20"/>
              </w:rPr>
            </w:pPr>
          </w:p>
          <w:p w14:paraId="737F488D" w14:textId="2F8E400D" w:rsidR="00600DEE" w:rsidRDefault="00641FB5" w:rsidP="00D5736B">
            <w:pPr>
              <w:pStyle w:val="Nagwek3"/>
              <w:numPr>
                <w:ilvl w:val="2"/>
                <w:numId w:val="17"/>
              </w:numPr>
              <w:spacing w:before="120" w:after="240"/>
              <w:ind w:left="0" w:firstLine="0"/>
              <w:rPr>
                <w:rFonts w:ascii="Calibri" w:eastAsia="Calibri" w:hAnsi="Calibri" w:cs="Calibri"/>
                <w:color w:val="4F81BD"/>
              </w:rPr>
            </w:pPr>
            <w:bookmarkStart w:id="85" w:name="_Toc91596256"/>
            <w:bookmarkStart w:id="86" w:name="_Toc95377994"/>
            <w:r>
              <w:rPr>
                <w:rFonts w:ascii="Calibri" w:eastAsia="Calibri" w:hAnsi="Calibri" w:cs="Calibri"/>
                <w:color w:val="4F81BD"/>
              </w:rPr>
              <w:t>Założenia analizy ekonomicznej</w:t>
            </w:r>
            <w:bookmarkEnd w:id="85"/>
            <w:bookmarkEnd w:id="86"/>
          </w:p>
          <w:p w14:paraId="750F3AF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sidRPr="00F102E8">
              <w:rPr>
                <w:rFonts w:ascii="Calibri" w:eastAsia="Calibri" w:hAnsi="Calibri" w:cs="Calibri"/>
                <w:color w:val="000000"/>
                <w:sz w:val="20"/>
                <w:szCs w:val="20"/>
              </w:rPr>
              <w:t>W trosce o poprawność analizy, a także porównywalność wyników, zestaw założeń musi być zdefiniowany na początku analizy i wyraźnie uwidoczniony w Studium Wykonalności lub w AKK.</w:t>
            </w:r>
            <w:r>
              <w:rPr>
                <w:rFonts w:ascii="Calibri" w:eastAsia="Calibri" w:hAnsi="Calibri" w:cs="Calibri"/>
                <w:color w:val="000000"/>
                <w:sz w:val="20"/>
                <w:szCs w:val="20"/>
                <w:shd w:val="clear" w:color="auto" w:fill="F5F5F5"/>
              </w:rPr>
              <w:t xml:space="preserve"> </w:t>
            </w:r>
          </w:p>
          <w:p w14:paraId="6455E56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sidRPr="00F102E8">
              <w:rPr>
                <w:rFonts w:ascii="Calibri" w:eastAsia="Calibri" w:hAnsi="Calibri" w:cs="Calibri"/>
                <w:color w:val="000000"/>
                <w:sz w:val="20"/>
                <w:szCs w:val="20"/>
              </w:rPr>
              <w:t>Ogólne założenia:</w:t>
            </w:r>
            <w:r>
              <w:rPr>
                <w:rFonts w:ascii="Calibri" w:eastAsia="Calibri" w:hAnsi="Calibri" w:cs="Calibri"/>
                <w:color w:val="000000"/>
                <w:sz w:val="20"/>
                <w:szCs w:val="20"/>
                <w:shd w:val="clear" w:color="auto" w:fill="F5F5F5"/>
              </w:rPr>
              <w:t xml:space="preserve"> </w:t>
            </w:r>
          </w:p>
          <w:p w14:paraId="4E4D976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sidRPr="00F102E8">
              <w:rPr>
                <w:rFonts w:ascii="Calibri" w:eastAsia="Calibri" w:hAnsi="Calibri" w:cs="Calibri"/>
                <w:color w:val="000000"/>
                <w:sz w:val="20"/>
                <w:szCs w:val="20"/>
              </w:rPr>
              <w:t xml:space="preserve">1. Analiza oparta jest na podejściu </w:t>
            </w:r>
            <w:proofErr w:type="spellStart"/>
            <w:r w:rsidRPr="00F102E8">
              <w:rPr>
                <w:rFonts w:ascii="Calibri" w:eastAsia="Calibri" w:hAnsi="Calibri" w:cs="Calibri"/>
                <w:color w:val="000000"/>
                <w:sz w:val="20"/>
                <w:szCs w:val="20"/>
              </w:rPr>
              <w:t>cash-flow</w:t>
            </w:r>
            <w:proofErr w:type="spellEnd"/>
            <w:r w:rsidRPr="00F102E8">
              <w:rPr>
                <w:rFonts w:ascii="Calibri" w:eastAsia="Calibri" w:hAnsi="Calibri" w:cs="Calibri"/>
                <w:color w:val="000000"/>
                <w:sz w:val="20"/>
                <w:szCs w:val="20"/>
              </w:rPr>
              <w:t>, tj. z wyłączeniem kategorii księgowych jak amortyzacja, rezerwy na zobowiązania oraz rezerwy na nieprzewidziane wydatki.</w:t>
            </w:r>
          </w:p>
          <w:p w14:paraId="11B50F40" w14:textId="40A57E1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2. Analiza ekonomiczna przeprowadzana jest zawsze w cenach netto, tj. bez podatku VAT. </w:t>
            </w:r>
          </w:p>
          <w:p w14:paraId="6A16C7C4" w14:textId="206D398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3. Finansowe przepływy pieniężne muszą zostać przekształcone w przepływy ekonomiczne poprzez odpowiednie przeliczenie cen finansowych na ceny </w:t>
            </w:r>
            <w:r w:rsidR="00F102E8">
              <w:rPr>
                <w:rFonts w:ascii="Calibri" w:eastAsia="Calibri" w:hAnsi="Calibri" w:cs="Calibri"/>
                <w:color w:val="000000"/>
                <w:sz w:val="20"/>
                <w:szCs w:val="20"/>
              </w:rPr>
              <w:t>rozrachunkowe</w:t>
            </w:r>
            <w:r>
              <w:rPr>
                <w:rFonts w:ascii="Calibri" w:eastAsia="Calibri" w:hAnsi="Calibri" w:cs="Calibri"/>
                <w:color w:val="000000"/>
                <w:sz w:val="20"/>
                <w:szCs w:val="20"/>
              </w:rPr>
              <w:t xml:space="preserve"> (ukryte). </w:t>
            </w:r>
          </w:p>
          <w:p w14:paraId="3F0FD20A" w14:textId="2E15B3C1" w:rsidR="00AE3591" w:rsidRDefault="00AE3591">
            <w:pPr>
              <w:pBdr>
                <w:top w:val="nil"/>
                <w:left w:val="nil"/>
                <w:bottom w:val="nil"/>
                <w:right w:val="nil"/>
                <w:between w:val="nil"/>
              </w:pBdr>
              <w:spacing w:before="120"/>
              <w:jc w:val="both"/>
              <w:rPr>
                <w:rFonts w:ascii="Calibri" w:eastAsia="Calibri" w:hAnsi="Calibri" w:cs="Calibri"/>
                <w:color w:val="000000"/>
                <w:sz w:val="20"/>
                <w:szCs w:val="20"/>
              </w:rPr>
            </w:pPr>
          </w:p>
          <w:p w14:paraId="119DB5BA" w14:textId="77777777" w:rsidR="00AE3591" w:rsidRDefault="00AE3591">
            <w:pPr>
              <w:pBdr>
                <w:top w:val="nil"/>
                <w:left w:val="nil"/>
                <w:bottom w:val="nil"/>
                <w:right w:val="nil"/>
                <w:between w:val="nil"/>
              </w:pBdr>
              <w:spacing w:before="120"/>
              <w:jc w:val="both"/>
              <w:rPr>
                <w:rFonts w:ascii="Calibri" w:eastAsia="Calibri" w:hAnsi="Calibri" w:cs="Calibri"/>
                <w:color w:val="000000"/>
                <w:sz w:val="20"/>
                <w:szCs w:val="20"/>
              </w:rPr>
            </w:pPr>
          </w:p>
          <w:p w14:paraId="06FA88EB" w14:textId="66BAF120" w:rsidR="00600DEE" w:rsidRDefault="00641FB5" w:rsidP="00CE2D7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4. Analiza ekonomiczna prowadzona jest w cenach stałych (w ujęciu realnym), tj. z wyłączeniem wpływu inflacji. Niezbędne jest wyraźne wskazanie roku </w:t>
            </w:r>
            <w:r w:rsidR="00F102E8">
              <w:rPr>
                <w:rFonts w:ascii="Calibri" w:eastAsia="Calibri" w:hAnsi="Calibri" w:cs="Calibri"/>
                <w:color w:val="000000"/>
                <w:sz w:val="20"/>
                <w:szCs w:val="20"/>
              </w:rPr>
              <w:t>odniesienia</w:t>
            </w:r>
            <w:r>
              <w:rPr>
                <w:rFonts w:ascii="Calibri" w:eastAsia="Calibri" w:hAnsi="Calibri" w:cs="Calibri"/>
                <w:color w:val="000000"/>
                <w:sz w:val="20"/>
                <w:szCs w:val="20"/>
              </w:rPr>
              <w:t xml:space="preserve">, za który prezentowane są rzeczywiste wartości przepływów </w:t>
            </w:r>
            <w:r w:rsidR="00F102E8">
              <w:rPr>
                <w:rFonts w:ascii="Calibri" w:eastAsia="Calibri" w:hAnsi="Calibri" w:cs="Calibri"/>
                <w:color w:val="000000"/>
                <w:sz w:val="20"/>
                <w:szCs w:val="20"/>
              </w:rPr>
              <w:t>ekonomicznych</w:t>
            </w:r>
            <w:r w:rsidR="00ED6E07" w:rsidRPr="00ED6E07">
              <w:rPr>
                <w:rFonts w:ascii="Calibri" w:eastAsia="Calibri" w:hAnsi="Calibri" w:cs="Calibri"/>
                <w:color w:val="000000"/>
                <w:sz w:val="20"/>
                <w:szCs w:val="20"/>
                <w:vertAlign w:val="superscript"/>
              </w:rPr>
              <w:t>15</w:t>
            </w:r>
            <w:r>
              <w:rPr>
                <w:rFonts w:ascii="Calibri" w:eastAsia="Calibri" w:hAnsi="Calibri" w:cs="Calibri"/>
                <w:color w:val="000000"/>
                <w:sz w:val="20"/>
                <w:szCs w:val="20"/>
              </w:rPr>
              <w:t xml:space="preserve">. </w:t>
            </w:r>
          </w:p>
          <w:p w14:paraId="1124A864" w14:textId="77777777" w:rsidR="00F102E8" w:rsidRDefault="00F102E8" w:rsidP="00CE2D79">
            <w:pPr>
              <w:pBdr>
                <w:top w:val="nil"/>
                <w:left w:val="nil"/>
                <w:bottom w:val="nil"/>
                <w:right w:val="nil"/>
                <w:between w:val="nil"/>
              </w:pBdr>
              <w:jc w:val="both"/>
              <w:rPr>
                <w:rFonts w:ascii="Calibri" w:eastAsia="Calibri" w:hAnsi="Calibri" w:cs="Calibri"/>
                <w:color w:val="000000"/>
                <w:sz w:val="20"/>
                <w:szCs w:val="20"/>
              </w:rPr>
            </w:pPr>
          </w:p>
          <w:p w14:paraId="54634343" w14:textId="2FB9A2BE" w:rsidR="00600DEE" w:rsidRDefault="00641FB5" w:rsidP="00CE2D7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5. W stosownych przypadkach możliwa jest indeksacja przepływów </w:t>
            </w:r>
            <w:r w:rsidR="00DF2F9E">
              <w:rPr>
                <w:rFonts w:ascii="Calibri" w:eastAsia="Calibri" w:hAnsi="Calibri" w:cs="Calibri"/>
                <w:color w:val="000000"/>
                <w:sz w:val="20"/>
                <w:szCs w:val="20"/>
              </w:rPr>
              <w:t>ekonomicznych</w:t>
            </w:r>
            <w:r>
              <w:rPr>
                <w:rFonts w:ascii="Calibri" w:eastAsia="Calibri" w:hAnsi="Calibri" w:cs="Calibri"/>
                <w:color w:val="000000"/>
                <w:sz w:val="20"/>
                <w:szCs w:val="20"/>
              </w:rPr>
              <w:t xml:space="preserve"> w celu dostosowania do realnego wzrostu cen (np. realny wzrost kosztów pracy). </w:t>
            </w:r>
          </w:p>
          <w:p w14:paraId="7F183B66" w14:textId="0F413EAD"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6. Zaleca się stosowanie rzeczywistej stopy dyskontowej </w:t>
            </w:r>
            <w:r w:rsidR="007463B9" w:rsidRPr="007463B9">
              <w:rPr>
                <w:rFonts w:ascii="Calibri" w:eastAsia="Calibri" w:hAnsi="Calibri" w:cs="Calibri"/>
                <w:color w:val="000000"/>
                <w:sz w:val="20"/>
                <w:szCs w:val="20"/>
              </w:rPr>
              <w:t>3</w:t>
            </w:r>
            <w:r w:rsidRPr="007463B9">
              <w:rPr>
                <w:rFonts w:ascii="Calibri" w:eastAsia="Calibri" w:hAnsi="Calibri" w:cs="Calibri"/>
                <w:color w:val="000000"/>
                <w:sz w:val="20"/>
                <w:szCs w:val="20"/>
              </w:rPr>
              <w:t>%</w:t>
            </w:r>
            <w:r>
              <w:rPr>
                <w:rFonts w:ascii="Calibri" w:eastAsia="Calibri" w:hAnsi="Calibri" w:cs="Calibri"/>
                <w:color w:val="000000"/>
                <w:sz w:val="20"/>
                <w:szCs w:val="20"/>
              </w:rPr>
              <w:t xml:space="preserve"> do dyskontowania przepływów </w:t>
            </w:r>
            <w:r w:rsidR="00DF2F9E">
              <w:rPr>
                <w:rFonts w:ascii="Calibri" w:eastAsia="Calibri" w:hAnsi="Calibri" w:cs="Calibri"/>
                <w:color w:val="000000"/>
                <w:sz w:val="20"/>
                <w:szCs w:val="20"/>
              </w:rPr>
              <w:t>ekonomicznych</w:t>
            </w:r>
            <w:r>
              <w:rPr>
                <w:rFonts w:ascii="Calibri" w:eastAsia="Calibri" w:hAnsi="Calibri" w:cs="Calibri"/>
                <w:color w:val="000000"/>
                <w:sz w:val="20"/>
                <w:szCs w:val="20"/>
              </w:rPr>
              <w:t xml:space="preserve">. </w:t>
            </w:r>
          </w:p>
          <w:p w14:paraId="5FABC4F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7. Ocenę efektywności ekonomicznej należy przeprowadzać na zasadzie przyrostowej, tj. z uwzględnieniem tylko tych oddziaływań, które wynikają z realizacji projektu i nie są związane z inną działalnością gospodarczą Beneficjenta. </w:t>
            </w:r>
          </w:p>
          <w:p w14:paraId="5BB137B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Pr>
                <w:rFonts w:ascii="Calibri" w:eastAsia="Calibri" w:hAnsi="Calibri" w:cs="Calibri"/>
                <w:color w:val="000000"/>
                <w:sz w:val="20"/>
                <w:szCs w:val="20"/>
              </w:rPr>
              <w:t xml:space="preserve">8. Należy uwzględnić ekonomiczną wartość rezydualną aktywów projektu (metoda obliczania omówiona w punkcie 1.11). </w:t>
            </w:r>
          </w:p>
          <w:p w14:paraId="38B423FA"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highlight w:val="cyan"/>
              </w:rPr>
            </w:pPr>
          </w:p>
          <w:p w14:paraId="71D5113F" w14:textId="3F54897E" w:rsidR="00600DEE" w:rsidRDefault="00641FB5" w:rsidP="00D5736B">
            <w:pPr>
              <w:pStyle w:val="Nagwek3"/>
              <w:numPr>
                <w:ilvl w:val="2"/>
                <w:numId w:val="17"/>
              </w:numPr>
              <w:ind w:left="0" w:firstLine="0"/>
              <w:rPr>
                <w:rFonts w:ascii="Calibri" w:eastAsia="Calibri" w:hAnsi="Calibri" w:cs="Calibri"/>
                <w:color w:val="4F81BD"/>
              </w:rPr>
            </w:pPr>
            <w:bookmarkStart w:id="87" w:name="_Toc95377995"/>
            <w:r>
              <w:rPr>
                <w:rFonts w:ascii="Calibri" w:eastAsia="Calibri" w:hAnsi="Calibri" w:cs="Calibri"/>
                <w:color w:val="4F81BD"/>
              </w:rPr>
              <w:t>Z cen rynkowych na ceny rozrachunkowe</w:t>
            </w:r>
            <w:bookmarkEnd w:id="87"/>
          </w:p>
          <w:p w14:paraId="16039F84" w14:textId="3D852FE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Ceny rynkowe nie są odpowiednie, gdy celem jest ocena wkładu pro</w:t>
            </w:r>
            <w:r w:rsidR="00DF2F9E">
              <w:rPr>
                <w:rFonts w:ascii="Calibri" w:eastAsia="Calibri" w:hAnsi="Calibri" w:cs="Calibri"/>
                <w:color w:val="000000"/>
                <w:sz w:val="20"/>
                <w:szCs w:val="20"/>
              </w:rPr>
              <w:t>jektu do korzyści społecznych. W</w:t>
            </w:r>
            <w:r>
              <w:rPr>
                <w:rFonts w:ascii="Calibri" w:eastAsia="Calibri" w:hAnsi="Calibri" w:cs="Calibri"/>
                <w:color w:val="000000"/>
                <w:sz w:val="20"/>
                <w:szCs w:val="20"/>
              </w:rPr>
              <w:t> tym celu, wszystkie ceny rynkowe należy przekształcić na ceny rozrachunkowe (z ang. ‘’</w:t>
            </w:r>
            <w:proofErr w:type="spellStart"/>
            <w:r>
              <w:rPr>
                <w:rFonts w:ascii="Calibri" w:eastAsia="Calibri" w:hAnsi="Calibri" w:cs="Calibri"/>
                <w:color w:val="000000"/>
                <w:sz w:val="20"/>
                <w:szCs w:val="20"/>
              </w:rPr>
              <w:t>shadow</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prices</w:t>
            </w:r>
            <w:proofErr w:type="spellEnd"/>
            <w:r>
              <w:rPr>
                <w:rFonts w:ascii="Calibri" w:eastAsia="Calibri" w:hAnsi="Calibri" w:cs="Calibri"/>
                <w:color w:val="000000"/>
                <w:sz w:val="20"/>
                <w:szCs w:val="20"/>
              </w:rPr>
              <w:t xml:space="preserve">’’) które lepiej odwzorowują korzyści społeczne. Przekształcenie cen rynkowych w rozrachunkowe (ukryte) odbywa się w trzech etapach opisanych poniżej: </w:t>
            </w:r>
          </w:p>
          <w:p w14:paraId="240B47B9" w14:textId="77777777" w:rsidR="00600DEE" w:rsidRDefault="00641FB5" w:rsidP="00D5736B">
            <w:pPr>
              <w:numPr>
                <w:ilvl w:val="0"/>
                <w:numId w:val="3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korekty fiskalne (korekty związane z podatkami, dotacjami i innymi transferami);</w:t>
            </w:r>
          </w:p>
          <w:p w14:paraId="5FCB4398" w14:textId="77777777" w:rsidR="00600DEE" w:rsidRDefault="00641FB5" w:rsidP="00D5736B">
            <w:pPr>
              <w:numPr>
                <w:ilvl w:val="0"/>
                <w:numId w:val="3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korekty o inne czynniki zaburzające ceny rynkowe w stosunku do rozrachunkowych;</w:t>
            </w:r>
          </w:p>
          <w:p w14:paraId="13ED11B0" w14:textId="77777777" w:rsidR="00600DEE" w:rsidRDefault="00641FB5" w:rsidP="00D5736B">
            <w:pPr>
              <w:numPr>
                <w:ilvl w:val="0"/>
                <w:numId w:val="3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ocena aspektów pozarynkowych i korekta z uwagi na czynniki zewnętrzne.</w:t>
            </w:r>
          </w:p>
          <w:p w14:paraId="08CC3CE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pierwszym etapie </w:t>
            </w:r>
            <w:r>
              <w:rPr>
                <w:rFonts w:ascii="Calibri" w:eastAsia="Calibri" w:hAnsi="Calibri" w:cs="Calibri"/>
                <w:b/>
                <w:color w:val="000000"/>
                <w:sz w:val="20"/>
                <w:szCs w:val="20"/>
              </w:rPr>
              <w:t xml:space="preserve">korekty fiskalne </w:t>
            </w:r>
            <w:r>
              <w:rPr>
                <w:rFonts w:ascii="Calibri" w:eastAsia="Calibri" w:hAnsi="Calibri" w:cs="Calibri"/>
                <w:color w:val="000000"/>
                <w:sz w:val="20"/>
                <w:szCs w:val="20"/>
              </w:rPr>
              <w:t xml:space="preserve">można wykonać bezpośrednio na przepływach pieniężnych, gdy są one łatwe do zidentyfikowania. Tak jest w przypadku płatności </w:t>
            </w:r>
            <w:r>
              <w:rPr>
                <w:rFonts w:ascii="Calibri" w:eastAsia="Calibri" w:hAnsi="Calibri" w:cs="Calibri"/>
                <w:color w:val="000000"/>
                <w:sz w:val="20"/>
                <w:szCs w:val="20"/>
              </w:rPr>
              <w:lastRenderedPageBreak/>
              <w:t>podatku VAT, który nie powinien być uwzględniony w analizie ekonomicznej. Inne korekty fiskalne są trudniejsze do przeprowadzenia w oparciu o konkretny projekt (na przykład od cen paliw), w tym przypadku proponuje się dokonać korekt za pomocą współczynników konwersji (patrz poniżej).</w:t>
            </w:r>
          </w:p>
          <w:p w14:paraId="1E48DA4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Drugi etap, </w:t>
            </w:r>
            <w:r>
              <w:rPr>
                <w:rFonts w:ascii="Calibri" w:eastAsia="Calibri" w:hAnsi="Calibri" w:cs="Calibri"/>
                <w:b/>
                <w:color w:val="000000"/>
                <w:sz w:val="20"/>
                <w:szCs w:val="20"/>
              </w:rPr>
              <w:t xml:space="preserve">korekty o inne czynniki </w:t>
            </w:r>
            <w:r>
              <w:rPr>
                <w:rFonts w:ascii="Calibri" w:eastAsia="Calibri" w:hAnsi="Calibri" w:cs="Calibri"/>
                <w:color w:val="000000"/>
                <w:sz w:val="20"/>
                <w:szCs w:val="20"/>
              </w:rPr>
              <w:t>zakłócające ceny rozrachunkowe i ceny rynkowe to dla uproszczenia przyjęto, że obejmuje tylko korekty wynagrodzenia ze względu na niedoskonałości rynków pracy.</w:t>
            </w:r>
          </w:p>
          <w:p w14:paraId="6BE9F13D" w14:textId="40BD06FB"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ramach trzeciego etapu, </w:t>
            </w:r>
            <w:r>
              <w:rPr>
                <w:rFonts w:ascii="Calibri" w:eastAsia="Calibri" w:hAnsi="Calibri" w:cs="Calibri"/>
                <w:b/>
                <w:color w:val="000000"/>
                <w:sz w:val="20"/>
                <w:szCs w:val="20"/>
              </w:rPr>
              <w:t xml:space="preserve">oceny kosztów oddziaływań pozarynkowych i korekty </w:t>
            </w:r>
            <w:r>
              <w:rPr>
                <w:rFonts w:ascii="Calibri" w:eastAsia="Calibri" w:hAnsi="Calibri" w:cs="Calibri"/>
                <w:b/>
                <w:color w:val="000000"/>
                <w:sz w:val="20"/>
                <w:szCs w:val="20"/>
              </w:rPr>
              <w:br/>
              <w:t>z uwagi na czynniki zewnętrzne</w:t>
            </w:r>
            <w:r>
              <w:rPr>
                <w:rFonts w:ascii="Calibri" w:eastAsia="Calibri" w:hAnsi="Calibri" w:cs="Calibri"/>
                <w:color w:val="000000"/>
                <w:sz w:val="20"/>
                <w:szCs w:val="20"/>
              </w:rPr>
              <w:t xml:space="preserve">, dokonuje się oceny </w:t>
            </w:r>
            <w:r w:rsidR="00DF2F9E">
              <w:rPr>
                <w:rFonts w:ascii="Calibri" w:eastAsia="Calibri" w:hAnsi="Calibri" w:cs="Calibri"/>
                <w:color w:val="000000"/>
                <w:sz w:val="20"/>
                <w:szCs w:val="20"/>
              </w:rPr>
              <w:t xml:space="preserve">efektów projektu w zakresie </w:t>
            </w:r>
            <w:r>
              <w:rPr>
                <w:rFonts w:ascii="Calibri" w:eastAsia="Calibri" w:hAnsi="Calibri" w:cs="Calibri"/>
                <w:color w:val="000000"/>
                <w:sz w:val="20"/>
                <w:szCs w:val="20"/>
              </w:rPr>
              <w:t xml:space="preserve">czasu, </w:t>
            </w:r>
            <w:r w:rsidR="00DF2F9E">
              <w:rPr>
                <w:rFonts w:ascii="Calibri" w:eastAsia="Calibri" w:hAnsi="Calibri" w:cs="Calibri"/>
                <w:color w:val="000000"/>
                <w:sz w:val="20"/>
                <w:szCs w:val="20"/>
              </w:rPr>
              <w:t>eksploatacji</w:t>
            </w:r>
            <w:r>
              <w:rPr>
                <w:rFonts w:ascii="Calibri" w:eastAsia="Calibri" w:hAnsi="Calibri" w:cs="Calibri"/>
                <w:color w:val="000000"/>
                <w:sz w:val="20"/>
                <w:szCs w:val="20"/>
              </w:rPr>
              <w:t xml:space="preserve"> pojazdu, wypadków, zani</w:t>
            </w:r>
            <w:r w:rsidR="00DF2F9E">
              <w:rPr>
                <w:rFonts w:ascii="Calibri" w:eastAsia="Calibri" w:hAnsi="Calibri" w:cs="Calibri"/>
                <w:color w:val="000000"/>
                <w:sz w:val="20"/>
                <w:szCs w:val="20"/>
              </w:rPr>
              <w:t>eczyszczenia</w:t>
            </w:r>
            <w:r>
              <w:rPr>
                <w:rFonts w:ascii="Calibri" w:eastAsia="Calibri" w:hAnsi="Calibri" w:cs="Calibri"/>
                <w:color w:val="000000"/>
                <w:sz w:val="20"/>
                <w:szCs w:val="20"/>
              </w:rPr>
              <w:t xml:space="preserve"> powietrza, zmian klimatu i hałasu (zgodnie z opisem w rozdziałach powyżej).</w:t>
            </w:r>
          </w:p>
          <w:p w14:paraId="08D89425" w14:textId="7CB5939D"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Do obliczeń w etapach 1 i 2, proponuje się, aby fiskalne przepływy pieniężne były najpierw korygowane bezpośrednio o wartość VAT. Następnie ważone Współczynniki Konwersji (przeliczeniowe) są obliczane w celu wyeliminowania pozostałych zakłóceń na rynku energii (opodatkowania) i rynków pracy (podatkowych i innych niedoskonałości rynku). Zastosowana metodyka służąca do określenia zaproponowanych Współczynników Konwersji, opisana jest w załączniku C.</w:t>
            </w:r>
          </w:p>
          <w:p w14:paraId="77B800F7" w14:textId="3E018FB4" w:rsidR="00600DEE" w:rsidRDefault="00DF2F9E">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23</w:t>
            </w:r>
            <w:r w:rsidR="00641FB5">
              <w:rPr>
                <w:rFonts w:ascii="Calibri" w:eastAsia="Calibri" w:hAnsi="Calibri" w:cs="Calibri"/>
                <w:b/>
                <w:color w:val="4F81BD"/>
                <w:sz w:val="20"/>
                <w:szCs w:val="20"/>
              </w:rPr>
              <w:t>. Etapy przekształcenia cen rynkowych na ukryte</w:t>
            </w:r>
          </w:p>
          <w:tbl>
            <w:tblPr>
              <w:tblStyle w:val="afffff8"/>
              <w:tblW w:w="6842" w:type="dxa"/>
              <w:tblLayout w:type="fixed"/>
              <w:tblLook w:val="0000" w:firstRow="0" w:lastRow="0" w:firstColumn="0" w:lastColumn="0" w:noHBand="0" w:noVBand="0"/>
            </w:tblPr>
            <w:tblGrid>
              <w:gridCol w:w="1240"/>
              <w:gridCol w:w="5602"/>
            </w:tblGrid>
            <w:tr w:rsidR="00600DEE" w14:paraId="04FDBCEC" w14:textId="77777777" w:rsidTr="00AE3591">
              <w:trPr>
                <w:trHeight w:val="163"/>
              </w:trPr>
              <w:tc>
                <w:tcPr>
                  <w:tcW w:w="1240" w:type="dxa"/>
                  <w:tcBorders>
                    <w:top w:val="single" w:sz="4" w:space="0" w:color="FFFFFF"/>
                    <w:left w:val="single" w:sz="4" w:space="0" w:color="FFFFFF"/>
                    <w:bottom w:val="single" w:sz="4" w:space="0" w:color="FFFFFF"/>
                  </w:tcBorders>
                  <w:shd w:val="clear" w:color="auto" w:fill="A6A6A6"/>
                </w:tcPr>
                <w:p w14:paraId="690A0667"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Etap</w:t>
                  </w:r>
                </w:p>
              </w:tc>
              <w:tc>
                <w:tcPr>
                  <w:tcW w:w="5602" w:type="dxa"/>
                  <w:tcBorders>
                    <w:top w:val="single" w:sz="4" w:space="0" w:color="FFFFFF"/>
                    <w:left w:val="single" w:sz="4" w:space="0" w:color="FFFFFF"/>
                    <w:bottom w:val="single" w:sz="4" w:space="0" w:color="FFFFFF"/>
                    <w:right w:val="single" w:sz="4" w:space="0" w:color="FFFFFF"/>
                  </w:tcBorders>
                  <w:shd w:val="clear" w:color="auto" w:fill="A6A6A6"/>
                </w:tcPr>
                <w:p w14:paraId="40A4953B" w14:textId="77777777" w:rsidR="00600DEE" w:rsidRDefault="00641FB5">
                  <w:pPr>
                    <w:pBdr>
                      <w:top w:val="nil"/>
                      <w:left w:val="nil"/>
                      <w:bottom w:val="nil"/>
                      <w:right w:val="nil"/>
                      <w:between w:val="nil"/>
                    </w:pBdr>
                    <w:spacing w:line="264" w:lineRule="auto"/>
                    <w:rPr>
                      <w:rFonts w:ascii="Calibri" w:eastAsia="Calibri" w:hAnsi="Calibri" w:cs="Calibri"/>
                      <w:b/>
                      <w:color w:val="FFFFFF"/>
                      <w:sz w:val="18"/>
                      <w:szCs w:val="18"/>
                    </w:rPr>
                  </w:pPr>
                  <w:r>
                    <w:rPr>
                      <w:rFonts w:ascii="Calibri" w:eastAsia="Calibri" w:hAnsi="Calibri" w:cs="Calibri"/>
                      <w:b/>
                      <w:color w:val="FFFFFF"/>
                      <w:sz w:val="18"/>
                      <w:szCs w:val="18"/>
                    </w:rPr>
                    <w:t>Etapy korekty o efekty fiskalne</w:t>
                  </w:r>
                </w:p>
              </w:tc>
            </w:tr>
            <w:tr w:rsidR="00600DEE" w14:paraId="2725BD2E" w14:textId="77777777" w:rsidTr="00AE3591">
              <w:trPr>
                <w:trHeight w:val="192"/>
              </w:trPr>
              <w:tc>
                <w:tcPr>
                  <w:tcW w:w="1240" w:type="dxa"/>
                  <w:tcBorders>
                    <w:left w:val="single" w:sz="4" w:space="0" w:color="FFFFFF"/>
                    <w:bottom w:val="single" w:sz="4" w:space="0" w:color="FFFFFF"/>
                  </w:tcBorders>
                  <w:shd w:val="clear" w:color="auto" w:fill="DBE5F1"/>
                </w:tcPr>
                <w:p w14:paraId="15455DF6" w14:textId="77777777" w:rsidR="00600DEE" w:rsidRDefault="00641FB5">
                  <w:pPr>
                    <w:pBdr>
                      <w:top w:val="nil"/>
                      <w:left w:val="nil"/>
                      <w:bottom w:val="nil"/>
                      <w:right w:val="nil"/>
                      <w:between w:val="nil"/>
                    </w:pBdr>
                    <w:spacing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1</w:t>
                  </w:r>
                </w:p>
              </w:tc>
              <w:tc>
                <w:tcPr>
                  <w:tcW w:w="5602" w:type="dxa"/>
                  <w:tcBorders>
                    <w:left w:val="single" w:sz="4" w:space="0" w:color="FFFFFF"/>
                    <w:bottom w:val="single" w:sz="4" w:space="0" w:color="FFFFFF"/>
                    <w:right w:val="single" w:sz="4" w:space="0" w:color="FFFFFF"/>
                  </w:tcBorders>
                  <w:shd w:val="clear" w:color="auto" w:fill="DBE5F1"/>
                </w:tcPr>
                <w:p w14:paraId="213270FF"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Eliminacja podatku VAT</w:t>
                  </w:r>
                </w:p>
              </w:tc>
            </w:tr>
            <w:tr w:rsidR="00600DEE" w14:paraId="1E4A87D5" w14:textId="77777777" w:rsidTr="00AE3591">
              <w:trPr>
                <w:trHeight w:val="947"/>
              </w:trPr>
              <w:tc>
                <w:tcPr>
                  <w:tcW w:w="1240" w:type="dxa"/>
                  <w:tcBorders>
                    <w:left w:val="single" w:sz="4" w:space="0" w:color="FFFFFF"/>
                    <w:bottom w:val="single" w:sz="4" w:space="0" w:color="FFFFFF"/>
                  </w:tcBorders>
                  <w:shd w:val="clear" w:color="auto" w:fill="DBE5F1"/>
                </w:tcPr>
                <w:p w14:paraId="6DD75FAE" w14:textId="77777777" w:rsidR="00600DEE" w:rsidRDefault="00641FB5">
                  <w:pPr>
                    <w:pBdr>
                      <w:top w:val="nil"/>
                      <w:left w:val="nil"/>
                      <w:bottom w:val="nil"/>
                      <w:right w:val="nil"/>
                      <w:between w:val="nil"/>
                    </w:pBdr>
                    <w:spacing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2</w:t>
                  </w:r>
                </w:p>
              </w:tc>
              <w:tc>
                <w:tcPr>
                  <w:tcW w:w="5602" w:type="dxa"/>
                  <w:tcBorders>
                    <w:left w:val="single" w:sz="4" w:space="0" w:color="FFFFFF"/>
                    <w:bottom w:val="single" w:sz="4" w:space="0" w:color="FFFFFF"/>
                    <w:right w:val="single" w:sz="4" w:space="0" w:color="FFFFFF"/>
                  </w:tcBorders>
                  <w:shd w:val="clear" w:color="auto" w:fill="DBE5F1"/>
                </w:tcPr>
                <w:p w14:paraId="7A7E8B78"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 xml:space="preserve">Korekty z uwagi na zakłócenia cen energii (opodatkowanie) i wynagrodzeń (opodatkowanie i inne niedoskonałości rynku) poprzez zastosowanie Współczynników Konwersji (CF):  </w:t>
                  </w:r>
                </w:p>
                <w:p w14:paraId="63B98522"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Nakłady inwestycyjne CF = 0,83</w:t>
                  </w:r>
                </w:p>
                <w:p w14:paraId="5F356402"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Koszty operacyjne CF=0,78</w:t>
                  </w:r>
                </w:p>
              </w:tc>
            </w:tr>
          </w:tbl>
          <w:p w14:paraId="2C49A77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20AA0C5F" w14:textId="1AB0EC7E" w:rsidR="00600DEE" w:rsidRDefault="00641FB5" w:rsidP="00CE2D79">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222222"/>
                <w:sz w:val="20"/>
                <w:szCs w:val="20"/>
              </w:rPr>
              <w:t>Podsumowując</w:t>
            </w:r>
            <w:r>
              <w:rPr>
                <w:rFonts w:ascii="Calibri" w:eastAsia="Calibri" w:hAnsi="Calibri" w:cs="Calibri"/>
                <w:color w:val="000000"/>
                <w:sz w:val="20"/>
                <w:szCs w:val="20"/>
              </w:rPr>
              <w:t xml:space="preserve">, bez względu na to, czy jest możliwość odliczenia czy nie, należy pomniejszyć przepływy </w:t>
            </w:r>
            <w:r w:rsidR="00DF2F9E">
              <w:rPr>
                <w:rFonts w:ascii="Calibri" w:eastAsia="Calibri" w:hAnsi="Calibri" w:cs="Calibri"/>
                <w:color w:val="000000"/>
                <w:sz w:val="20"/>
                <w:szCs w:val="20"/>
              </w:rPr>
              <w:t>finansowe o VAT (wartość netto)</w:t>
            </w:r>
            <w:r>
              <w:rPr>
                <w:rFonts w:ascii="Calibri" w:eastAsia="Calibri" w:hAnsi="Calibri" w:cs="Calibri"/>
                <w:color w:val="000000"/>
                <w:sz w:val="20"/>
                <w:szCs w:val="20"/>
              </w:rPr>
              <w:t xml:space="preserve"> a następnie roczne nakłady inwestycyjne i koszty operacyjne pomnożyć przez odpowiednie współczynniki przeliczeniowe.</w:t>
            </w:r>
          </w:p>
          <w:p w14:paraId="36A95C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Jeżeli dostępne są szczegółowe dane dotyczące struktury kosztów analizowanego projektu drogowego, obejmujące pełną analizę wartości współczynników przeliczeniowych, można je zastosować w analizie ekonomicznej. Metoda obliczania </w:t>
            </w:r>
            <w:r>
              <w:rPr>
                <w:rFonts w:ascii="Calibri" w:eastAsia="Calibri" w:hAnsi="Calibri" w:cs="Calibri"/>
                <w:color w:val="000000"/>
                <w:sz w:val="20"/>
                <w:szCs w:val="20"/>
              </w:rPr>
              <w:lastRenderedPageBreak/>
              <w:t>takich współczynników musi być wówczas w pełni uzasadniona, a procedura obliczeń jasna i przejrzysta, należy też podać opracowania źródłowe.</w:t>
            </w:r>
          </w:p>
        </w:tc>
        <w:tc>
          <w:tcPr>
            <w:tcW w:w="7216" w:type="dxa"/>
            <w:tcBorders>
              <w:left w:val="single" w:sz="4" w:space="0" w:color="000000"/>
            </w:tcBorders>
            <w:tcMar>
              <w:left w:w="284" w:type="dxa"/>
              <w:right w:w="284" w:type="dxa"/>
            </w:tcMar>
          </w:tcPr>
          <w:p w14:paraId="1A479E64" w14:textId="77777777" w:rsidR="00600DEE" w:rsidRPr="0045151D" w:rsidRDefault="00641FB5" w:rsidP="00307C29">
            <w:pPr>
              <w:pBdr>
                <w:top w:val="nil"/>
                <w:left w:val="nil"/>
                <w:bottom w:val="nil"/>
                <w:right w:val="nil"/>
                <w:between w:val="nil"/>
              </w:pBdr>
              <w:spacing w:before="24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recommended structure of the economic analysis includes the following elements:</w:t>
            </w:r>
          </w:p>
          <w:p w14:paraId="48942BAF" w14:textId="77777777" w:rsidR="00600DEE" w:rsidRPr="0045151D"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Definition of assumptions for the economic analysis.</w:t>
            </w:r>
          </w:p>
          <w:p w14:paraId="775CABBE" w14:textId="77777777" w:rsidR="00600DEE" w:rsidRPr="0045151D"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Conversion of market prices into shadow prices.</w:t>
            </w:r>
          </w:p>
          <w:p w14:paraId="393589B1" w14:textId="77777777" w:rsidR="00600DEE" w:rsidRPr="0045151D"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Determination of the project economic flows in the reference period.</w:t>
            </w:r>
          </w:p>
          <w:p w14:paraId="55F013E8" w14:textId="05EDBBB0" w:rsidR="00600DEE"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socio-economic efficiency indicators (ENPV, ERR, BCR) and interpretation of results.</w:t>
            </w:r>
          </w:p>
          <w:p w14:paraId="71662749" w14:textId="5BD80D7D" w:rsidR="00600DEE" w:rsidRPr="00F102E8" w:rsidRDefault="00641FB5" w:rsidP="00F102E8">
            <w:pPr>
              <w:pStyle w:val="Nagwek3"/>
              <w:spacing w:before="120" w:after="240"/>
              <w:ind w:left="277" w:hanging="720"/>
              <w:rPr>
                <w:rFonts w:ascii="Calibri" w:eastAsia="Calibri" w:hAnsi="Calibri" w:cs="Calibri"/>
                <w:color w:val="4F81BD"/>
                <w:lang w:val="en-GB"/>
              </w:rPr>
            </w:pPr>
            <w:bookmarkStart w:id="88" w:name="_Toc91596258"/>
            <w:bookmarkStart w:id="89" w:name="_Toc95377996"/>
            <w:r w:rsidRPr="00F102E8">
              <w:rPr>
                <w:rFonts w:ascii="Calibri" w:eastAsia="Calibri" w:hAnsi="Calibri" w:cs="Calibri"/>
                <w:color w:val="4F81BD"/>
                <w:lang w:val="en-GB"/>
              </w:rPr>
              <w:t>2.2.1 Assumptions for the economic analysis</w:t>
            </w:r>
            <w:bookmarkEnd w:id="88"/>
            <w:bookmarkEnd w:id="89"/>
          </w:p>
          <w:p w14:paraId="76FE06B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the sake of the correctness of the analysis, as well as comparability of results, a set of assumptions must be defined at the outset of the analysis, and clearly displayed in the Feasibility Study or in any CBA report. </w:t>
            </w:r>
          </w:p>
          <w:p w14:paraId="0A557E2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General </w:t>
            </w:r>
            <w:proofErr w:type="spellStart"/>
            <w:r>
              <w:rPr>
                <w:rFonts w:ascii="Calibri" w:eastAsia="Calibri" w:hAnsi="Calibri" w:cs="Calibri"/>
                <w:color w:val="000000"/>
                <w:sz w:val="20"/>
                <w:szCs w:val="20"/>
              </w:rPr>
              <w:t>assumptions</w:t>
            </w:r>
            <w:proofErr w:type="spellEnd"/>
            <w:r>
              <w:rPr>
                <w:rFonts w:ascii="Calibri" w:eastAsia="Calibri" w:hAnsi="Calibri" w:cs="Calibri"/>
                <w:color w:val="000000"/>
                <w:sz w:val="20"/>
                <w:szCs w:val="20"/>
              </w:rPr>
              <w:t>:</w:t>
            </w:r>
          </w:p>
          <w:p w14:paraId="0CD5F4B1"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analysis is based on the cash-flow approach, i.e. excluding accounting categories as depreciation, provisions for liabilities and provisions for unpredictable expenses. </w:t>
            </w:r>
          </w:p>
          <w:p w14:paraId="0718DF34"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analysis is always carried out in net prices, i.e. excluding VAT.</w:t>
            </w:r>
          </w:p>
          <w:p w14:paraId="60378A82" w14:textId="340688F8" w:rsidR="00600DEE"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Financial cash flows must be converted into economic flows by appropriately converting financial prices to accounting (shadow) prices.</w:t>
            </w:r>
          </w:p>
          <w:p w14:paraId="4DC9750B"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analysis is carried out in constant prices (in real terms), i.e. excluding the impact of inflation. It is necessary to clearly indicate the reference year for which the real values of economic flows are presented</w:t>
            </w:r>
            <w:bookmarkStart w:id="90" w:name="_Ref91584852"/>
            <w:r>
              <w:rPr>
                <w:rFonts w:ascii="Calibri" w:eastAsia="Calibri" w:hAnsi="Calibri" w:cs="Calibri"/>
                <w:color w:val="000000"/>
                <w:sz w:val="20"/>
                <w:szCs w:val="20"/>
                <w:vertAlign w:val="superscript"/>
              </w:rPr>
              <w:footnoteReference w:id="15"/>
            </w:r>
            <w:bookmarkEnd w:id="90"/>
            <w:r w:rsidRPr="0045151D">
              <w:rPr>
                <w:rFonts w:ascii="Calibri" w:eastAsia="Calibri" w:hAnsi="Calibri" w:cs="Calibri"/>
                <w:color w:val="000000"/>
                <w:sz w:val="20"/>
                <w:szCs w:val="20"/>
                <w:lang w:val="en-GB"/>
              </w:rPr>
              <w:t xml:space="preserve">. </w:t>
            </w:r>
          </w:p>
          <w:p w14:paraId="449BFC57"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Indexation of economic flows to accommodate the real increase in prices is possible, if applicable (e.g. the real increase in labour costs). </w:t>
            </w:r>
          </w:p>
          <w:p w14:paraId="2F2C6B2D" w14:textId="01D472B9"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recommended to use a real discount rate of </w:t>
            </w:r>
            <w:r w:rsidR="007463B9" w:rsidRPr="007463B9">
              <w:rPr>
                <w:rFonts w:ascii="Calibri" w:eastAsia="Calibri" w:hAnsi="Calibri" w:cs="Calibri"/>
                <w:color w:val="000000"/>
                <w:sz w:val="20"/>
                <w:szCs w:val="20"/>
                <w:lang w:val="en-GB"/>
              </w:rPr>
              <w:t>3</w:t>
            </w:r>
            <w:r w:rsidRPr="007463B9">
              <w:rPr>
                <w:rFonts w:ascii="Calibri" w:eastAsia="Calibri" w:hAnsi="Calibri" w:cs="Calibri"/>
                <w:color w:val="000000"/>
                <w:sz w:val="20"/>
                <w:szCs w:val="20"/>
                <w:lang w:val="en-GB"/>
              </w:rPr>
              <w:t>%</w:t>
            </w:r>
            <w:r w:rsidRPr="0045151D">
              <w:rPr>
                <w:rFonts w:ascii="Calibri" w:eastAsia="Calibri" w:hAnsi="Calibri" w:cs="Calibri"/>
                <w:color w:val="000000"/>
                <w:sz w:val="20"/>
                <w:szCs w:val="20"/>
                <w:lang w:val="en-GB"/>
              </w:rPr>
              <w:t xml:space="preserve"> to discount economic flows. </w:t>
            </w:r>
          </w:p>
          <w:p w14:paraId="56186175" w14:textId="5CD0BC69"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efficiency assessment should be carried out on an incremental basis, i.e. including only those impacts which are due to the implementation of the project and not related to ot</w:t>
            </w:r>
            <w:r w:rsidR="00DF2F9E">
              <w:rPr>
                <w:rFonts w:ascii="Calibri" w:eastAsia="Calibri" w:hAnsi="Calibri" w:cs="Calibri"/>
                <w:color w:val="000000"/>
                <w:sz w:val="20"/>
                <w:szCs w:val="20"/>
                <w:lang w:val="en-GB"/>
              </w:rPr>
              <w:t>her business activities of the B</w:t>
            </w:r>
            <w:r w:rsidRPr="0045151D">
              <w:rPr>
                <w:rFonts w:ascii="Calibri" w:eastAsia="Calibri" w:hAnsi="Calibri" w:cs="Calibri"/>
                <w:color w:val="000000"/>
                <w:sz w:val="20"/>
                <w:szCs w:val="20"/>
                <w:lang w:val="en-GB"/>
              </w:rPr>
              <w:t>eneficiary.</w:t>
            </w:r>
          </w:p>
          <w:p w14:paraId="005FA39E" w14:textId="381C1D1B" w:rsidR="00600DEE"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residual value of the project assets must be taken into account (calculation method is discussed in section 1.11).</w:t>
            </w:r>
          </w:p>
          <w:p w14:paraId="29957159" w14:textId="1738AEA4" w:rsidR="005C3677"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749084EB" w14:textId="77777777" w:rsidR="005C3677"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71E488C2" w14:textId="0E396A0D" w:rsidR="005C3677"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BA63563" w14:textId="77777777" w:rsidR="005C3677" w:rsidRPr="0045151D"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61E234BC" w14:textId="25D2B0EE" w:rsidR="00600DEE" w:rsidRPr="0045151D" w:rsidRDefault="00641FB5" w:rsidP="00CE2D79">
            <w:pPr>
              <w:pStyle w:val="Nagwek3"/>
              <w:numPr>
                <w:ilvl w:val="0"/>
                <w:numId w:val="0"/>
              </w:numPr>
              <w:rPr>
                <w:rFonts w:ascii="Calibri" w:eastAsia="Calibri" w:hAnsi="Calibri" w:cs="Calibri"/>
                <w:color w:val="4F81BD"/>
                <w:lang w:val="en-GB"/>
              </w:rPr>
            </w:pPr>
            <w:bookmarkStart w:id="91" w:name="_Toc95377997"/>
            <w:r w:rsidRPr="0045151D">
              <w:rPr>
                <w:rFonts w:ascii="Calibri" w:eastAsia="Calibri" w:hAnsi="Calibri" w:cs="Calibri"/>
                <w:color w:val="4F81BD"/>
                <w:lang w:val="en-GB"/>
              </w:rPr>
              <w:t>2.2.2 From financial to economic prices</w:t>
            </w:r>
            <w:bookmarkEnd w:id="91"/>
          </w:p>
          <w:p w14:paraId="3E0E0243" w14:textId="06473D20"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Financial prices are no longer relevant when the aim is to assess the project’s contribution to economic welfare.  For this purpose, all financial prices have to be valued at the so-called ‘shadow prices’ </w:t>
            </w:r>
            <w:r w:rsidR="00DF2F9E">
              <w:rPr>
                <w:rFonts w:ascii="Calibri" w:eastAsia="Calibri" w:hAnsi="Calibri" w:cs="Calibri"/>
                <w:color w:val="000000"/>
                <w:sz w:val="20"/>
                <w:szCs w:val="20"/>
                <w:lang w:val="en-GB"/>
              </w:rPr>
              <w:t xml:space="preserve">which </w:t>
            </w:r>
            <w:r w:rsidRPr="0045151D">
              <w:rPr>
                <w:rFonts w:ascii="Calibri" w:eastAsia="Calibri" w:hAnsi="Calibri" w:cs="Calibri"/>
                <w:color w:val="000000"/>
                <w:sz w:val="20"/>
                <w:szCs w:val="20"/>
                <w:lang w:val="en-GB"/>
              </w:rPr>
              <w:t>are more effective in conveying social benefits. The passage from financial prices to accounting (shadow) prices is made in three steps proposed to be applied as described below:</w:t>
            </w:r>
          </w:p>
          <w:p w14:paraId="3A79A8BF" w14:textId="77777777" w:rsidR="00600DEE" w:rsidRPr="0045151D" w:rsidRDefault="00641FB5" w:rsidP="00D5736B">
            <w:pPr>
              <w:numPr>
                <w:ilvl w:val="0"/>
                <w:numId w:val="32"/>
              </w:numPr>
              <w:pBdr>
                <w:top w:val="nil"/>
                <w:left w:val="nil"/>
                <w:bottom w:val="nil"/>
                <w:right w:val="nil"/>
                <w:between w:val="nil"/>
              </w:pBdr>
              <w:spacing w:before="120"/>
              <w:ind w:left="848" w:hanging="84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fiscal corrections (correction for taxes, subsidies and other transfers);</w:t>
            </w:r>
          </w:p>
          <w:p w14:paraId="684B6A25" w14:textId="77777777" w:rsidR="00600DEE" w:rsidRPr="0045151D" w:rsidRDefault="00641FB5" w:rsidP="00D5736B">
            <w:pPr>
              <w:numPr>
                <w:ilvl w:val="0"/>
                <w:numId w:val="32"/>
              </w:numPr>
              <w:pBdr>
                <w:top w:val="nil"/>
                <w:left w:val="nil"/>
                <w:bottom w:val="nil"/>
                <w:right w:val="nil"/>
                <w:between w:val="nil"/>
              </w:pBdr>
              <w:spacing w:before="120"/>
              <w:ind w:left="848" w:hanging="84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correction for other factors distorting financial prices from accounting costs;</w:t>
            </w:r>
          </w:p>
          <w:p w14:paraId="30340793" w14:textId="77777777" w:rsidR="00600DEE" w:rsidRPr="0045151D" w:rsidRDefault="00641FB5" w:rsidP="00D5736B">
            <w:pPr>
              <w:numPr>
                <w:ilvl w:val="0"/>
                <w:numId w:val="32"/>
              </w:numPr>
              <w:pBdr>
                <w:top w:val="nil"/>
                <w:left w:val="nil"/>
                <w:bottom w:val="nil"/>
                <w:right w:val="nil"/>
                <w:between w:val="nil"/>
              </w:pBdr>
              <w:spacing w:before="120"/>
              <w:ind w:left="848" w:hanging="84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evaluation of non-market impacts and correction for externalities.</w:t>
            </w:r>
          </w:p>
          <w:p w14:paraId="2B2C9738" w14:textId="77777777" w:rsidR="00AE3591" w:rsidRDefault="00AE3591">
            <w:pPr>
              <w:pBdr>
                <w:top w:val="nil"/>
                <w:left w:val="nil"/>
                <w:bottom w:val="nil"/>
                <w:right w:val="nil"/>
                <w:between w:val="nil"/>
              </w:pBdr>
              <w:spacing w:before="120"/>
              <w:jc w:val="both"/>
              <w:rPr>
                <w:rFonts w:ascii="Calibri" w:eastAsia="Calibri" w:hAnsi="Calibri" w:cs="Calibri"/>
                <w:color w:val="000000"/>
                <w:sz w:val="20"/>
                <w:szCs w:val="20"/>
                <w:lang w:val="en-GB"/>
              </w:rPr>
            </w:pPr>
          </w:p>
          <w:p w14:paraId="57136F16" w14:textId="726F195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first step, </w:t>
            </w:r>
            <w:r w:rsidRPr="0045151D">
              <w:rPr>
                <w:rFonts w:ascii="Calibri" w:eastAsia="Calibri" w:hAnsi="Calibri" w:cs="Calibri"/>
                <w:b/>
                <w:color w:val="000000"/>
                <w:sz w:val="20"/>
                <w:szCs w:val="20"/>
                <w:lang w:val="en-GB"/>
              </w:rPr>
              <w:t>fiscal corrections</w:t>
            </w:r>
            <w:r w:rsidRPr="0045151D">
              <w:rPr>
                <w:rFonts w:ascii="Calibri" w:eastAsia="Calibri" w:hAnsi="Calibri" w:cs="Calibri"/>
                <w:color w:val="000000"/>
                <w:sz w:val="20"/>
                <w:szCs w:val="20"/>
                <w:lang w:val="en-GB"/>
              </w:rPr>
              <w:t xml:space="preserve"> can be done directly on the cash flows, when they are clearly identifiable. This is the case of VAT payments, which should be dropped off in the economic analysis. Other fiscal adjustments are however less </w:t>
            </w:r>
            <w:r w:rsidRPr="0045151D">
              <w:rPr>
                <w:rFonts w:ascii="Calibri" w:eastAsia="Calibri" w:hAnsi="Calibri" w:cs="Calibri"/>
                <w:color w:val="000000"/>
                <w:sz w:val="20"/>
                <w:szCs w:val="20"/>
                <w:lang w:val="en-GB"/>
              </w:rPr>
              <w:lastRenderedPageBreak/>
              <w:t>straightforward to be done on a project basis (for instance, from fuel prices), in this case it is proposed to eliminate through Conversion Factors (see below).</w:t>
            </w:r>
          </w:p>
          <w:p w14:paraId="1F99934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second step, </w:t>
            </w:r>
            <w:r w:rsidRPr="0045151D">
              <w:rPr>
                <w:rFonts w:ascii="Calibri" w:eastAsia="Calibri" w:hAnsi="Calibri" w:cs="Calibri"/>
                <w:b/>
                <w:color w:val="000000"/>
                <w:sz w:val="20"/>
                <w:szCs w:val="20"/>
                <w:lang w:val="en-GB"/>
              </w:rPr>
              <w:t>corrections for other factors</w:t>
            </w:r>
            <w:r w:rsidRPr="0045151D">
              <w:rPr>
                <w:rFonts w:ascii="Calibri" w:eastAsia="Calibri" w:hAnsi="Calibri" w:cs="Calibri"/>
                <w:color w:val="000000"/>
                <w:sz w:val="20"/>
                <w:szCs w:val="20"/>
                <w:lang w:val="en-GB"/>
              </w:rPr>
              <w:t xml:space="preserve"> distorting financial prices from accounting prices, it is here assumed for simplification that this includes only corrections to wages, due to imperfections of labour markets.</w:t>
            </w:r>
          </w:p>
          <w:p w14:paraId="61B4076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third step, </w:t>
            </w:r>
            <w:r w:rsidRPr="0045151D">
              <w:rPr>
                <w:rFonts w:ascii="Calibri" w:eastAsia="Calibri" w:hAnsi="Calibri" w:cs="Calibri"/>
                <w:b/>
                <w:color w:val="000000"/>
                <w:sz w:val="20"/>
                <w:szCs w:val="20"/>
                <w:lang w:val="en-GB"/>
              </w:rPr>
              <w:t>evaluation of non-market cost impacts and correction for externalities</w:t>
            </w:r>
            <w:r w:rsidRPr="0045151D">
              <w:rPr>
                <w:rFonts w:ascii="Calibri" w:eastAsia="Calibri" w:hAnsi="Calibri" w:cs="Calibri"/>
                <w:color w:val="000000"/>
                <w:sz w:val="20"/>
                <w:szCs w:val="20"/>
                <w:lang w:val="en-GB"/>
              </w:rPr>
              <w:t>, is carried out by the evaluation of the time, vehicle operation, accidents, air pollution, climate change and noise impacts of a project (as described in chapters above).</w:t>
            </w:r>
          </w:p>
          <w:p w14:paraId="528CB084" w14:textId="20491A8F" w:rsidR="00600DEE" w:rsidRPr="0045151D" w:rsidRDefault="00641FB5" w:rsidP="006D0B72">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the calculation of steps 1 and 2, it is proposed that fiscal cash flows are first deducted directly when straightforward (VAT). Then, Weighted Conversion Factors are calculated with the purpose to eliminate the remaining distortions on the energy (taxation) and labour markets (taxation and other market imperfections). The methodology applied to obtain the proposed Conversion Factors is described in Appendix C and based on updated references.</w:t>
            </w:r>
          </w:p>
          <w:p w14:paraId="2F8CB153" w14:textId="437B7AAB"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p w14:paraId="731DD0D4" w14:textId="59E145A2"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p w14:paraId="7A5C9755" w14:textId="135B8D48" w:rsidR="00600DEE" w:rsidRPr="0045151D" w:rsidRDefault="00DF2F9E" w:rsidP="00CE2D79">
            <w:pPr>
              <w:pBdr>
                <w:top w:val="nil"/>
                <w:left w:val="nil"/>
                <w:bottom w:val="nil"/>
                <w:right w:val="nil"/>
                <w:between w:val="nil"/>
              </w:pBdr>
              <w:spacing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23</w:t>
            </w:r>
            <w:r w:rsidR="00641FB5" w:rsidRPr="0045151D">
              <w:rPr>
                <w:rFonts w:ascii="Calibri" w:eastAsia="Calibri" w:hAnsi="Calibri" w:cs="Calibri"/>
                <w:b/>
                <w:color w:val="4F81BD"/>
                <w:sz w:val="20"/>
                <w:szCs w:val="20"/>
                <w:lang w:val="en-GB"/>
              </w:rPr>
              <w:t>. Stages of adjustment from financial to accounting (shadow) prices</w:t>
            </w:r>
          </w:p>
          <w:tbl>
            <w:tblPr>
              <w:tblStyle w:val="afffff9"/>
              <w:tblW w:w="6935" w:type="dxa"/>
              <w:tblLayout w:type="fixed"/>
              <w:tblLook w:val="0000" w:firstRow="0" w:lastRow="0" w:firstColumn="0" w:lastColumn="0" w:noHBand="0" w:noVBand="0"/>
            </w:tblPr>
            <w:tblGrid>
              <w:gridCol w:w="1284"/>
              <w:gridCol w:w="5651"/>
            </w:tblGrid>
            <w:tr w:rsidR="00600DEE" w:rsidRPr="007463B9" w14:paraId="2E42DB92" w14:textId="77777777">
              <w:trPr>
                <w:trHeight w:val="229"/>
              </w:trPr>
              <w:tc>
                <w:tcPr>
                  <w:tcW w:w="1284" w:type="dxa"/>
                  <w:tcBorders>
                    <w:top w:val="single" w:sz="4" w:space="0" w:color="FFFFFF"/>
                    <w:left w:val="single" w:sz="4" w:space="0" w:color="FFFFFF"/>
                    <w:bottom w:val="single" w:sz="4" w:space="0" w:color="FFFFFF"/>
                  </w:tcBorders>
                  <w:shd w:val="clear" w:color="auto" w:fill="A6A6A6"/>
                  <w:vAlign w:val="center"/>
                </w:tcPr>
                <w:p w14:paraId="4D26A0D9"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Stage</w:t>
                  </w:r>
                  <w:proofErr w:type="spellEnd"/>
                </w:p>
              </w:tc>
              <w:tc>
                <w:tcPr>
                  <w:tcW w:w="565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DF5802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Stages of adjustments for fiscal effects</w:t>
                  </w:r>
                </w:p>
              </w:tc>
            </w:tr>
            <w:tr w:rsidR="00600DEE" w14:paraId="6BC8C07F" w14:textId="77777777">
              <w:trPr>
                <w:trHeight w:val="148"/>
              </w:trPr>
              <w:tc>
                <w:tcPr>
                  <w:tcW w:w="1284" w:type="dxa"/>
                  <w:tcBorders>
                    <w:left w:val="single" w:sz="4" w:space="0" w:color="FFFFFF"/>
                    <w:bottom w:val="single" w:sz="4" w:space="0" w:color="FFFFFF"/>
                  </w:tcBorders>
                  <w:shd w:val="clear" w:color="auto" w:fill="DBE5F1"/>
                </w:tcPr>
                <w:p w14:paraId="55EE43BC" w14:textId="77777777" w:rsidR="00600DEE" w:rsidRDefault="00641FB5">
                  <w:pPr>
                    <w:pBdr>
                      <w:top w:val="nil"/>
                      <w:left w:val="nil"/>
                      <w:bottom w:val="nil"/>
                      <w:right w:val="nil"/>
                      <w:between w:val="nil"/>
                    </w:pBdr>
                    <w:tabs>
                      <w:tab w:val="left" w:pos="285"/>
                      <w:tab w:val="center" w:pos="534"/>
                    </w:tabs>
                    <w:spacing w:line="264" w:lineRule="auto"/>
                    <w:jc w:val="center"/>
                    <w:rPr>
                      <w:rFonts w:ascii="Calibri" w:eastAsia="Calibri" w:hAnsi="Calibri" w:cs="Calibri"/>
                      <w:b/>
                      <w:color w:val="4F81BD"/>
                      <w:sz w:val="18"/>
                      <w:szCs w:val="18"/>
                    </w:rPr>
                  </w:pPr>
                  <w:proofErr w:type="spellStart"/>
                  <w:r>
                    <w:rPr>
                      <w:rFonts w:ascii="Calibri" w:eastAsia="Calibri" w:hAnsi="Calibri" w:cs="Calibri"/>
                      <w:b/>
                      <w:color w:val="4F81BD"/>
                      <w:sz w:val="18"/>
                      <w:szCs w:val="18"/>
                    </w:rPr>
                    <w:t>Stage</w:t>
                  </w:r>
                  <w:proofErr w:type="spellEnd"/>
                  <w:r>
                    <w:rPr>
                      <w:rFonts w:ascii="Calibri" w:eastAsia="Calibri" w:hAnsi="Calibri" w:cs="Calibri"/>
                      <w:b/>
                      <w:color w:val="4F81BD"/>
                      <w:sz w:val="18"/>
                      <w:szCs w:val="18"/>
                    </w:rPr>
                    <w:t xml:space="preserve"> 1</w:t>
                  </w:r>
                </w:p>
              </w:tc>
              <w:tc>
                <w:tcPr>
                  <w:tcW w:w="5651" w:type="dxa"/>
                  <w:tcBorders>
                    <w:left w:val="single" w:sz="4" w:space="0" w:color="FFFFFF"/>
                    <w:bottom w:val="single" w:sz="4" w:space="0" w:color="FFFFFF"/>
                    <w:right w:val="single" w:sz="4" w:space="0" w:color="FFFFFF"/>
                  </w:tcBorders>
                  <w:shd w:val="clear" w:color="auto" w:fill="DBE5F1"/>
                </w:tcPr>
                <w:p w14:paraId="30A95904" w14:textId="77777777" w:rsidR="00600DEE" w:rsidRDefault="00641FB5">
                  <w:pPr>
                    <w:pBdr>
                      <w:top w:val="nil"/>
                      <w:left w:val="nil"/>
                      <w:bottom w:val="nil"/>
                      <w:right w:val="nil"/>
                      <w:between w:val="nil"/>
                    </w:pBdr>
                    <w:rPr>
                      <w:rFonts w:ascii="Calibri" w:eastAsia="Calibri" w:hAnsi="Calibri" w:cs="Calibri"/>
                      <w:color w:val="4F81BD"/>
                      <w:sz w:val="18"/>
                      <w:szCs w:val="18"/>
                    </w:rPr>
                  </w:pPr>
                  <w:proofErr w:type="spellStart"/>
                  <w:r>
                    <w:rPr>
                      <w:rFonts w:ascii="Calibri" w:eastAsia="Calibri" w:hAnsi="Calibri" w:cs="Calibri"/>
                      <w:color w:val="4F81BD"/>
                      <w:sz w:val="18"/>
                      <w:szCs w:val="18"/>
                    </w:rPr>
                    <w:t>Elimination</w:t>
                  </w:r>
                  <w:proofErr w:type="spellEnd"/>
                  <w:r>
                    <w:rPr>
                      <w:rFonts w:ascii="Calibri" w:eastAsia="Calibri" w:hAnsi="Calibri" w:cs="Calibri"/>
                      <w:color w:val="4F81BD"/>
                      <w:sz w:val="18"/>
                      <w:szCs w:val="18"/>
                    </w:rPr>
                    <w:t xml:space="preserve"> of VAT</w:t>
                  </w:r>
                </w:p>
              </w:tc>
            </w:tr>
            <w:tr w:rsidR="00600DEE" w14:paraId="645BE892" w14:textId="77777777">
              <w:trPr>
                <w:trHeight w:val="1137"/>
              </w:trPr>
              <w:tc>
                <w:tcPr>
                  <w:tcW w:w="1284" w:type="dxa"/>
                  <w:tcBorders>
                    <w:left w:val="single" w:sz="4" w:space="0" w:color="FFFFFF"/>
                    <w:bottom w:val="single" w:sz="4" w:space="0" w:color="FFFFFF"/>
                  </w:tcBorders>
                  <w:shd w:val="clear" w:color="auto" w:fill="DBE5F1"/>
                </w:tcPr>
                <w:p w14:paraId="0F8DC45F" w14:textId="77777777" w:rsidR="00600DEE" w:rsidRDefault="00641FB5">
                  <w:pPr>
                    <w:pBdr>
                      <w:top w:val="nil"/>
                      <w:left w:val="nil"/>
                      <w:bottom w:val="nil"/>
                      <w:right w:val="nil"/>
                      <w:between w:val="nil"/>
                    </w:pBdr>
                    <w:spacing w:line="264" w:lineRule="auto"/>
                    <w:jc w:val="center"/>
                    <w:rPr>
                      <w:rFonts w:ascii="Calibri" w:eastAsia="Calibri" w:hAnsi="Calibri" w:cs="Calibri"/>
                      <w:b/>
                      <w:color w:val="4F81BD"/>
                      <w:sz w:val="18"/>
                      <w:szCs w:val="18"/>
                    </w:rPr>
                  </w:pPr>
                  <w:proofErr w:type="spellStart"/>
                  <w:r>
                    <w:rPr>
                      <w:rFonts w:ascii="Calibri" w:eastAsia="Calibri" w:hAnsi="Calibri" w:cs="Calibri"/>
                      <w:b/>
                      <w:color w:val="4F81BD"/>
                      <w:sz w:val="18"/>
                      <w:szCs w:val="18"/>
                    </w:rPr>
                    <w:t>Stage</w:t>
                  </w:r>
                  <w:proofErr w:type="spellEnd"/>
                  <w:r>
                    <w:rPr>
                      <w:rFonts w:ascii="Calibri" w:eastAsia="Calibri" w:hAnsi="Calibri" w:cs="Calibri"/>
                      <w:b/>
                      <w:color w:val="4F81BD"/>
                      <w:sz w:val="18"/>
                      <w:szCs w:val="18"/>
                    </w:rPr>
                    <w:t xml:space="preserve"> 2</w:t>
                  </w:r>
                </w:p>
              </w:tc>
              <w:tc>
                <w:tcPr>
                  <w:tcW w:w="5651" w:type="dxa"/>
                  <w:tcBorders>
                    <w:left w:val="single" w:sz="4" w:space="0" w:color="FFFFFF"/>
                    <w:bottom w:val="single" w:sz="4" w:space="0" w:color="FFFFFF"/>
                    <w:right w:val="single" w:sz="4" w:space="0" w:color="FFFFFF"/>
                  </w:tcBorders>
                  <w:shd w:val="clear" w:color="auto" w:fill="DBE5F1"/>
                </w:tcPr>
                <w:p w14:paraId="4CB32A4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Adjustment for energy prices (taxation) and wages (taxation and other market imperfections) by applying weighted Conversion Factors (CF):  </w:t>
                  </w:r>
                </w:p>
                <w:p w14:paraId="1069E7B9"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 xml:space="preserve">Capital </w:t>
                  </w:r>
                  <w:proofErr w:type="spellStart"/>
                  <w:r>
                    <w:rPr>
                      <w:rFonts w:ascii="Calibri" w:eastAsia="Calibri" w:hAnsi="Calibri" w:cs="Calibri"/>
                      <w:color w:val="4F81BD"/>
                      <w:sz w:val="18"/>
                      <w:szCs w:val="18"/>
                    </w:rPr>
                    <w:t>expenditures</w:t>
                  </w:r>
                  <w:proofErr w:type="spellEnd"/>
                  <w:r>
                    <w:rPr>
                      <w:rFonts w:ascii="Calibri" w:eastAsia="Calibri" w:hAnsi="Calibri" w:cs="Calibri"/>
                      <w:color w:val="4F81BD"/>
                      <w:sz w:val="18"/>
                      <w:szCs w:val="18"/>
                    </w:rPr>
                    <w:t>: CF= 0.83</w:t>
                  </w:r>
                </w:p>
                <w:p w14:paraId="49EB5655"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 xml:space="preserve">Operating </w:t>
                  </w:r>
                  <w:proofErr w:type="spellStart"/>
                  <w:r>
                    <w:rPr>
                      <w:rFonts w:ascii="Calibri" w:eastAsia="Calibri" w:hAnsi="Calibri" w:cs="Calibri"/>
                      <w:color w:val="4F81BD"/>
                      <w:sz w:val="18"/>
                      <w:szCs w:val="18"/>
                    </w:rPr>
                    <w:t>costs</w:t>
                  </w:r>
                  <w:proofErr w:type="spellEnd"/>
                  <w:r>
                    <w:rPr>
                      <w:rFonts w:ascii="Calibri" w:eastAsia="Calibri" w:hAnsi="Calibri" w:cs="Calibri"/>
                      <w:color w:val="4F81BD"/>
                      <w:sz w:val="18"/>
                      <w:szCs w:val="18"/>
                    </w:rPr>
                    <w:t>: CF=0.78.</w:t>
                  </w:r>
                </w:p>
              </w:tc>
            </w:tr>
          </w:tbl>
          <w:p w14:paraId="34F6263F" w14:textId="77777777"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 xml:space="preserve">Source: </w:t>
            </w:r>
            <w:proofErr w:type="spellStart"/>
            <w:r>
              <w:rPr>
                <w:rFonts w:ascii="Calibri" w:eastAsia="Calibri" w:hAnsi="Calibri" w:cs="Calibri"/>
                <w:b/>
                <w:i/>
                <w:color w:val="000000"/>
                <w:sz w:val="16"/>
                <w:szCs w:val="16"/>
              </w:rPr>
              <w:t>proprietary</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work</w:t>
            </w:r>
            <w:proofErr w:type="spellEnd"/>
            <w:r>
              <w:rPr>
                <w:rFonts w:ascii="Calibri" w:eastAsia="Calibri" w:hAnsi="Calibri" w:cs="Calibri"/>
                <w:b/>
                <w:i/>
                <w:color w:val="000000"/>
                <w:sz w:val="16"/>
                <w:szCs w:val="16"/>
              </w:rPr>
              <w:t>.</w:t>
            </w:r>
          </w:p>
          <w:p w14:paraId="6226065E" w14:textId="1E116D40" w:rsidR="00600DEE" w:rsidRPr="0045151D" w:rsidRDefault="00641FB5" w:rsidP="00CE2D79">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conclusion, irrespective of whether recoverable or not, the financial flows must exclude VAT (net value). Secondly, the project yearly net CAPEX and OPEX values are multiplied by the respective CF to be included in the economic analysis.</w:t>
            </w:r>
          </w:p>
          <w:p w14:paraId="67CF28E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detailed data concerning cost structure of the analysed road project is available, including full analysis of the value of Conversion Factors, it is possible to use them in the economic analysis instead of the ones proposed above. Then, the method of calculating these factors must be fully justified and the process of calculation clear and transparent with the reference sources quoted.</w:t>
            </w:r>
          </w:p>
        </w:tc>
      </w:tr>
      <w:tr w:rsidR="00CE2D79" w:rsidRPr="007463B9" w14:paraId="0462E900" w14:textId="77777777">
        <w:tc>
          <w:tcPr>
            <w:tcW w:w="7355" w:type="dxa"/>
            <w:tcBorders>
              <w:right w:val="single" w:sz="4" w:space="0" w:color="000000"/>
            </w:tcBorders>
            <w:tcMar>
              <w:left w:w="284" w:type="dxa"/>
              <w:right w:w="284" w:type="dxa"/>
            </w:tcMar>
          </w:tcPr>
          <w:p w14:paraId="6C5D722E" w14:textId="77777777" w:rsidR="00CE2D79" w:rsidRPr="0045151D" w:rsidRDefault="00CE2D79" w:rsidP="00CE2D79">
            <w:pPr>
              <w:pBdr>
                <w:top w:val="nil"/>
                <w:left w:val="nil"/>
                <w:bottom w:val="nil"/>
                <w:right w:val="nil"/>
                <w:between w:val="nil"/>
              </w:pBdr>
              <w:jc w:val="both"/>
              <w:rPr>
                <w:rFonts w:ascii="Calibri" w:eastAsia="Calibri" w:hAnsi="Calibri" w:cs="Calibri"/>
                <w:color w:val="000000"/>
                <w:sz w:val="20"/>
                <w:szCs w:val="20"/>
                <w:lang w:val="en-GB"/>
              </w:rPr>
            </w:pPr>
          </w:p>
        </w:tc>
        <w:tc>
          <w:tcPr>
            <w:tcW w:w="7216" w:type="dxa"/>
            <w:tcBorders>
              <w:left w:val="single" w:sz="4" w:space="0" w:color="000000"/>
            </w:tcBorders>
            <w:tcMar>
              <w:left w:w="284" w:type="dxa"/>
              <w:right w:w="284" w:type="dxa"/>
            </w:tcMar>
          </w:tcPr>
          <w:p w14:paraId="57F2458C" w14:textId="77777777" w:rsidR="00CE2D79" w:rsidRPr="0045151D" w:rsidRDefault="00CE2D79" w:rsidP="00CE2D79">
            <w:pPr>
              <w:pBdr>
                <w:top w:val="nil"/>
                <w:left w:val="nil"/>
                <w:bottom w:val="nil"/>
                <w:right w:val="nil"/>
                <w:between w:val="nil"/>
              </w:pBdr>
              <w:jc w:val="both"/>
              <w:rPr>
                <w:rFonts w:ascii="Calibri" w:eastAsia="Calibri" w:hAnsi="Calibri" w:cs="Calibri"/>
                <w:color w:val="000000"/>
                <w:sz w:val="20"/>
                <w:szCs w:val="20"/>
                <w:lang w:val="en-GB"/>
              </w:rPr>
            </w:pPr>
          </w:p>
        </w:tc>
      </w:tr>
    </w:tbl>
    <w:p w14:paraId="7582458D" w14:textId="6A9FB070" w:rsidR="00600DEE" w:rsidRDefault="00641FB5" w:rsidP="00D5736B">
      <w:pPr>
        <w:pStyle w:val="Nagwek3"/>
        <w:numPr>
          <w:ilvl w:val="2"/>
          <w:numId w:val="17"/>
        </w:numPr>
        <w:ind w:left="0" w:firstLine="0"/>
        <w:rPr>
          <w:rFonts w:ascii="Calibri" w:eastAsia="Calibri" w:hAnsi="Calibri" w:cs="Calibri"/>
          <w:color w:val="4F81BD"/>
        </w:rPr>
      </w:pPr>
      <w:bookmarkStart w:id="92" w:name="_Toc95377998"/>
      <w:r>
        <w:rPr>
          <w:rFonts w:ascii="Calibri" w:eastAsia="Calibri" w:hAnsi="Calibri" w:cs="Calibri"/>
          <w:color w:val="4F81BD"/>
        </w:rPr>
        <w:t>Obliczanie korzyści ekonomicznych netto projektu</w:t>
      </w:r>
      <w:r>
        <w:rPr>
          <w:rFonts w:ascii="Calibri" w:eastAsia="Calibri" w:hAnsi="Calibri" w:cs="Calibri"/>
          <w:color w:val="4F81BD"/>
        </w:rPr>
        <w:tab/>
      </w:r>
      <w:r>
        <w:rPr>
          <w:rFonts w:ascii="Calibri" w:eastAsia="Calibri" w:hAnsi="Calibri" w:cs="Calibri"/>
          <w:color w:val="4F81BD"/>
        </w:rPr>
        <w:tab/>
        <w:t xml:space="preserve">          2.2.3   </w:t>
      </w:r>
      <w:proofErr w:type="spellStart"/>
      <w:r>
        <w:rPr>
          <w:rFonts w:ascii="Calibri" w:eastAsia="Calibri" w:hAnsi="Calibri" w:cs="Calibri"/>
          <w:color w:val="4F81BD"/>
        </w:rPr>
        <w:t>Calculation</w:t>
      </w:r>
      <w:proofErr w:type="spellEnd"/>
      <w:r>
        <w:rPr>
          <w:rFonts w:ascii="Calibri" w:eastAsia="Calibri" w:hAnsi="Calibri" w:cs="Calibri"/>
          <w:color w:val="4F81BD"/>
        </w:rPr>
        <w:t xml:space="preserve"> of net </w:t>
      </w:r>
      <w:proofErr w:type="spellStart"/>
      <w:r>
        <w:rPr>
          <w:rFonts w:ascii="Calibri" w:eastAsia="Calibri" w:hAnsi="Calibri" w:cs="Calibri"/>
          <w:color w:val="4F81BD"/>
        </w:rPr>
        <w:t>economic</w:t>
      </w:r>
      <w:proofErr w:type="spellEnd"/>
      <w:r>
        <w:rPr>
          <w:rFonts w:ascii="Calibri" w:eastAsia="Calibri" w:hAnsi="Calibri" w:cs="Calibri"/>
          <w:color w:val="4F81BD"/>
        </w:rPr>
        <w:t xml:space="preserve"> </w:t>
      </w:r>
      <w:proofErr w:type="spellStart"/>
      <w:r>
        <w:rPr>
          <w:rFonts w:ascii="Calibri" w:eastAsia="Calibri" w:hAnsi="Calibri" w:cs="Calibri"/>
          <w:color w:val="4F81BD"/>
        </w:rPr>
        <w:t>benefits</w:t>
      </w:r>
      <w:proofErr w:type="spellEnd"/>
      <w:r>
        <w:rPr>
          <w:rFonts w:ascii="Calibri" w:eastAsia="Calibri" w:hAnsi="Calibri" w:cs="Calibri"/>
          <w:color w:val="4F81BD"/>
        </w:rPr>
        <w:t xml:space="preserve"> of a </w:t>
      </w:r>
      <w:proofErr w:type="spellStart"/>
      <w:r>
        <w:rPr>
          <w:rFonts w:ascii="Calibri" w:eastAsia="Calibri" w:hAnsi="Calibri" w:cs="Calibri"/>
          <w:color w:val="4F81BD"/>
        </w:rPr>
        <w:t>project</w:t>
      </w:r>
      <w:bookmarkEnd w:id="92"/>
      <w:proofErr w:type="spellEnd"/>
    </w:p>
    <w:tbl>
      <w:tblPr>
        <w:tblStyle w:val="afffffa"/>
        <w:tblW w:w="14571" w:type="dxa"/>
        <w:tblLayout w:type="fixed"/>
        <w:tblLook w:val="0400" w:firstRow="0" w:lastRow="0" w:firstColumn="0" w:lastColumn="0" w:noHBand="0" w:noVBand="1"/>
      </w:tblPr>
      <w:tblGrid>
        <w:gridCol w:w="7370"/>
        <w:gridCol w:w="7201"/>
      </w:tblGrid>
      <w:tr w:rsidR="00600DEE" w:rsidRPr="007463B9" w14:paraId="6DB35EBA" w14:textId="77777777">
        <w:tc>
          <w:tcPr>
            <w:tcW w:w="7370" w:type="dxa"/>
            <w:tcBorders>
              <w:right w:val="single" w:sz="4" w:space="0" w:color="000000"/>
            </w:tcBorders>
            <w:tcMar>
              <w:left w:w="284" w:type="dxa"/>
              <w:right w:w="284" w:type="dxa"/>
            </w:tcMar>
          </w:tcPr>
          <w:p w14:paraId="21B33726" w14:textId="4C5BDD8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wyliczenia korzyści ekonomicznych dla każdego wariantu inwestycyjnego, uwzględniającego wszystkie kategorie kosztów, należy od kosztów ekonomicznych wariantu bezinwestycyjnego (W0) odjąć koszty wariantu inwestycyjnego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Otrzymana różnica stanowi korzyść społeczno-ekonomiczną netto dla danej kategorii kosztów ekonomicznych (koszty czasu, koszty eksploatacji</w:t>
            </w:r>
            <w:r w:rsidR="00DF2F9E">
              <w:rPr>
                <w:rFonts w:ascii="Calibri" w:eastAsia="Calibri" w:hAnsi="Calibri" w:cs="Calibri"/>
                <w:color w:val="000000"/>
                <w:sz w:val="20"/>
                <w:szCs w:val="20"/>
              </w:rPr>
              <w:t xml:space="preserve"> pojazdów, itp</w:t>
            </w:r>
            <w:r>
              <w:rPr>
                <w:rFonts w:ascii="Calibri" w:eastAsia="Calibri" w:hAnsi="Calibri" w:cs="Calibri"/>
                <w:color w:val="000000"/>
                <w:sz w:val="20"/>
                <w:szCs w:val="20"/>
              </w:rPr>
              <w:t>.).</w:t>
            </w:r>
          </w:p>
          <w:p w14:paraId="7357694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Suma wszystkich korzyści ekonomicznych netto stanowi korzyści społeczno-ekonomiczne całego projektu (danego wariantu inwestycyjnego).</w:t>
            </w:r>
          </w:p>
          <w:p w14:paraId="7B6E6C4E" w14:textId="6BBA1008" w:rsidR="00600DEE" w:rsidRDefault="00641FB5" w:rsidP="007463B9">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Wyliczenia korzyści ekonomicznych każdego wariantu inwestycyjnego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xml:space="preserve"> należy przedstawić w</w:t>
            </w:r>
            <w:r w:rsidR="007463B9">
              <w:rPr>
                <w:rFonts w:ascii="Calibri" w:eastAsia="Calibri" w:hAnsi="Calibri" w:cs="Calibri"/>
                <w:color w:val="000000"/>
                <w:sz w:val="20"/>
                <w:szCs w:val="20"/>
              </w:rPr>
              <w:t> formie tabelarycznej (tabela 24</w:t>
            </w:r>
            <w:r>
              <w:rPr>
                <w:rFonts w:ascii="Calibri" w:eastAsia="Calibri" w:hAnsi="Calibri" w:cs="Calibri"/>
                <w:color w:val="000000"/>
                <w:sz w:val="20"/>
                <w:szCs w:val="20"/>
              </w:rPr>
              <w:t>a). Przykładowa forma zestawienia efektów społeczno-ekonomicznych netto (w ujęciu wartościowym i procentowym) przedstawiona została w poniższej tabeli 2</w:t>
            </w:r>
            <w:r w:rsidR="007463B9">
              <w:rPr>
                <w:rFonts w:ascii="Calibri" w:eastAsia="Calibri" w:hAnsi="Calibri" w:cs="Calibri"/>
                <w:color w:val="000000"/>
                <w:sz w:val="20"/>
                <w:szCs w:val="20"/>
              </w:rPr>
              <w:t>4</w:t>
            </w:r>
            <w:r>
              <w:rPr>
                <w:rFonts w:ascii="Calibri" w:eastAsia="Calibri" w:hAnsi="Calibri" w:cs="Calibri"/>
                <w:color w:val="000000"/>
                <w:sz w:val="20"/>
                <w:szCs w:val="20"/>
              </w:rPr>
              <w:t>b.</w:t>
            </w:r>
          </w:p>
        </w:tc>
        <w:tc>
          <w:tcPr>
            <w:tcW w:w="7201" w:type="dxa"/>
            <w:tcBorders>
              <w:left w:val="single" w:sz="4" w:space="0" w:color="000000"/>
            </w:tcBorders>
            <w:tcMar>
              <w:left w:w="284" w:type="dxa"/>
              <w:right w:w="284" w:type="dxa"/>
            </w:tcMar>
          </w:tcPr>
          <w:p w14:paraId="563DF06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calculate the economic benefits of each project investment option, including all categories of costs, the difference of economic costs between the without-the-project scenario (W0) and the project investment option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should be calculated. The resulting difference will represent the net socio-economic benefit for a given category of economic costs (time costs, costs of vehicle operation, etc.).</w:t>
            </w:r>
          </w:p>
          <w:p w14:paraId="213DB52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sum of all net economic benefits constitutes the social and economic benefits of the entire project (of a given investment option).</w:t>
            </w:r>
          </w:p>
          <w:p w14:paraId="702F1E3F" w14:textId="1A0C04F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Calculations of economic benefits of each investment option should be presented in t</w:t>
            </w:r>
            <w:r w:rsidR="007463B9">
              <w:rPr>
                <w:rFonts w:ascii="Calibri" w:eastAsia="Calibri" w:hAnsi="Calibri" w:cs="Calibri"/>
                <w:color w:val="000000"/>
                <w:sz w:val="20"/>
                <w:szCs w:val="20"/>
                <w:lang w:val="en-GB"/>
              </w:rPr>
              <w:t>he form of a table (see table 24</w:t>
            </w:r>
            <w:r w:rsidRPr="0045151D">
              <w:rPr>
                <w:rFonts w:ascii="Calibri" w:eastAsia="Calibri" w:hAnsi="Calibri" w:cs="Calibri"/>
                <w:color w:val="000000"/>
                <w:sz w:val="20"/>
                <w:szCs w:val="20"/>
                <w:lang w:val="en-GB"/>
              </w:rPr>
              <w:t>a). An exemplary form of summary of the net social and economic benefits (in value and percentage terms) is pre</w:t>
            </w:r>
            <w:r w:rsidR="007463B9">
              <w:rPr>
                <w:rFonts w:ascii="Calibri" w:eastAsia="Calibri" w:hAnsi="Calibri" w:cs="Calibri"/>
                <w:color w:val="000000"/>
                <w:sz w:val="20"/>
                <w:szCs w:val="20"/>
                <w:lang w:val="en-GB"/>
              </w:rPr>
              <w:t>sented in the following table 24</w:t>
            </w:r>
            <w:r w:rsidRPr="0045151D">
              <w:rPr>
                <w:rFonts w:ascii="Calibri" w:eastAsia="Calibri" w:hAnsi="Calibri" w:cs="Calibri"/>
                <w:color w:val="000000"/>
                <w:sz w:val="20"/>
                <w:szCs w:val="20"/>
                <w:lang w:val="en-GB"/>
              </w:rPr>
              <w:t>b.</w:t>
            </w:r>
          </w:p>
          <w:p w14:paraId="079D799F" w14:textId="77777777"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p w14:paraId="146A4478" w14:textId="72494FAE" w:rsidR="00CE2D79" w:rsidRPr="0045151D" w:rsidRDefault="00CE2D79">
            <w:pPr>
              <w:pBdr>
                <w:top w:val="nil"/>
                <w:left w:val="nil"/>
                <w:bottom w:val="nil"/>
                <w:right w:val="nil"/>
                <w:between w:val="nil"/>
              </w:pBdr>
              <w:spacing w:before="120"/>
              <w:jc w:val="both"/>
              <w:rPr>
                <w:rFonts w:ascii="Calibri" w:eastAsia="Calibri" w:hAnsi="Calibri" w:cs="Calibri"/>
                <w:color w:val="000000"/>
                <w:sz w:val="20"/>
                <w:szCs w:val="20"/>
                <w:lang w:val="en-GB"/>
              </w:rPr>
            </w:pPr>
          </w:p>
          <w:p w14:paraId="0182B423" w14:textId="0E4541D0"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1FA8AA7" w14:textId="53A5EF96"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FE5378E" w14:textId="37910D84"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52C04D01" w14:textId="36570737"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43BC9961" w14:textId="3554F442"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72B4F89" w14:textId="73970026"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02EDB9A7" w14:textId="46646CC2" w:rsidR="003D1D69"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5AD2998" w14:textId="47AE7A3C" w:rsidR="005C3677" w:rsidRDefault="005C3677">
            <w:pPr>
              <w:pBdr>
                <w:top w:val="nil"/>
                <w:left w:val="nil"/>
                <w:bottom w:val="nil"/>
                <w:right w:val="nil"/>
                <w:between w:val="nil"/>
              </w:pBdr>
              <w:spacing w:before="120"/>
              <w:jc w:val="both"/>
              <w:rPr>
                <w:rFonts w:ascii="Calibri" w:eastAsia="Calibri" w:hAnsi="Calibri" w:cs="Calibri"/>
                <w:color w:val="000000"/>
                <w:sz w:val="20"/>
                <w:szCs w:val="20"/>
                <w:lang w:val="en-GB"/>
              </w:rPr>
            </w:pPr>
          </w:p>
          <w:p w14:paraId="0B9439F9" w14:textId="77777777" w:rsidR="005C3677" w:rsidRPr="0045151D" w:rsidRDefault="005C3677">
            <w:pPr>
              <w:pBdr>
                <w:top w:val="nil"/>
                <w:left w:val="nil"/>
                <w:bottom w:val="nil"/>
                <w:right w:val="nil"/>
                <w:between w:val="nil"/>
              </w:pBdr>
              <w:spacing w:before="120"/>
              <w:jc w:val="both"/>
              <w:rPr>
                <w:rFonts w:ascii="Calibri" w:eastAsia="Calibri" w:hAnsi="Calibri" w:cs="Calibri"/>
                <w:color w:val="000000"/>
                <w:sz w:val="20"/>
                <w:szCs w:val="20"/>
                <w:lang w:val="en-GB"/>
              </w:rPr>
            </w:pPr>
          </w:p>
          <w:p w14:paraId="575B8969" w14:textId="5A59647C"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154600C1" w14:textId="4C9CE045"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24</w:t>
      </w:r>
      <w:r w:rsidR="00641FB5">
        <w:rPr>
          <w:rFonts w:ascii="Calibri" w:eastAsia="Calibri" w:hAnsi="Calibri" w:cs="Calibri"/>
          <w:b/>
          <w:color w:val="4F81BD"/>
          <w:sz w:val="20"/>
          <w:szCs w:val="20"/>
        </w:rPr>
        <w:t>a. Zestawienie korzyści/kosztów ekonomicznych dla projektu, niezdyskontowanych</w:t>
      </w:r>
    </w:p>
    <w:tbl>
      <w:tblPr>
        <w:tblStyle w:val="afffffb"/>
        <w:tblW w:w="12631" w:type="dxa"/>
        <w:tblInd w:w="108" w:type="dxa"/>
        <w:tblLayout w:type="fixed"/>
        <w:tblLook w:val="0000" w:firstRow="0" w:lastRow="0" w:firstColumn="0" w:lastColumn="0" w:noHBand="0" w:noVBand="0"/>
      </w:tblPr>
      <w:tblGrid>
        <w:gridCol w:w="922"/>
        <w:gridCol w:w="1678"/>
        <w:gridCol w:w="1680"/>
        <w:gridCol w:w="1678"/>
        <w:gridCol w:w="1678"/>
        <w:gridCol w:w="1678"/>
        <w:gridCol w:w="1680"/>
        <w:gridCol w:w="1637"/>
      </w:tblGrid>
      <w:tr w:rsidR="00600DEE" w14:paraId="21904151" w14:textId="77777777">
        <w:trPr>
          <w:trHeight w:val="885"/>
        </w:trPr>
        <w:tc>
          <w:tcPr>
            <w:tcW w:w="922" w:type="dxa"/>
            <w:tcBorders>
              <w:top w:val="single" w:sz="4" w:space="0" w:color="FFFFFF"/>
              <w:left w:val="single" w:sz="4" w:space="0" w:color="FFFFFF"/>
              <w:bottom w:val="single" w:sz="4" w:space="0" w:color="FFFFFF"/>
            </w:tcBorders>
            <w:shd w:val="clear" w:color="auto" w:fill="A6A6A6"/>
            <w:vAlign w:val="center"/>
          </w:tcPr>
          <w:p w14:paraId="3997B744"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Rok</w:t>
            </w:r>
          </w:p>
        </w:tc>
        <w:tc>
          <w:tcPr>
            <w:tcW w:w="1678" w:type="dxa"/>
            <w:tcBorders>
              <w:top w:val="single" w:sz="4" w:space="0" w:color="FFFFFF"/>
              <w:left w:val="single" w:sz="4" w:space="0" w:color="FFFFFF"/>
              <w:bottom w:val="single" w:sz="4" w:space="0" w:color="FFFFFF"/>
            </w:tcBorders>
            <w:shd w:val="clear" w:color="auto" w:fill="A6A6A6"/>
            <w:vAlign w:val="center"/>
          </w:tcPr>
          <w:p w14:paraId="0C5E8CAA" w14:textId="1BE3B2E2" w:rsidR="00600DEE" w:rsidRDefault="00DF2F9E">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sidR="00641FB5">
              <w:rPr>
                <w:rFonts w:ascii="Calibri" w:eastAsia="Calibri" w:hAnsi="Calibri" w:cs="Calibri"/>
                <w:b/>
                <w:color w:val="FFFFFF"/>
                <w:sz w:val="18"/>
                <w:szCs w:val="18"/>
              </w:rPr>
              <w:t>czasu</w:t>
            </w:r>
          </w:p>
          <w:p w14:paraId="22470AE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użytkowników </w:t>
            </w:r>
          </w:p>
          <w:p w14:paraId="1A7951A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pojazdów</w:t>
            </w:r>
          </w:p>
        </w:tc>
        <w:tc>
          <w:tcPr>
            <w:tcW w:w="1680" w:type="dxa"/>
            <w:tcBorders>
              <w:top w:val="single" w:sz="4" w:space="0" w:color="FFFFFF"/>
              <w:left w:val="single" w:sz="4" w:space="0" w:color="FFFFFF"/>
              <w:bottom w:val="single" w:sz="4" w:space="0" w:color="FFFFFF"/>
            </w:tcBorders>
            <w:shd w:val="clear" w:color="auto" w:fill="A6A6A6"/>
            <w:vAlign w:val="center"/>
          </w:tcPr>
          <w:p w14:paraId="3B3D3294" w14:textId="518C1824" w:rsidR="00600DEE" w:rsidRDefault="00DF2F9E">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sidR="00641FB5">
              <w:rPr>
                <w:rFonts w:ascii="Calibri" w:eastAsia="Calibri" w:hAnsi="Calibri" w:cs="Calibri"/>
                <w:b/>
                <w:color w:val="FFFFFF"/>
                <w:sz w:val="18"/>
                <w:szCs w:val="18"/>
              </w:rPr>
              <w:t>eksploatacji</w:t>
            </w:r>
          </w:p>
          <w:p w14:paraId="35CA2E3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pojazdów</w:t>
            </w:r>
          </w:p>
        </w:tc>
        <w:tc>
          <w:tcPr>
            <w:tcW w:w="1678" w:type="dxa"/>
            <w:tcBorders>
              <w:top w:val="single" w:sz="4" w:space="0" w:color="FFFFFF"/>
              <w:left w:val="single" w:sz="4" w:space="0" w:color="FFFFFF"/>
              <w:bottom w:val="single" w:sz="4" w:space="0" w:color="FFFFFF"/>
            </w:tcBorders>
            <w:shd w:val="clear" w:color="auto" w:fill="A6A6A6"/>
            <w:vAlign w:val="center"/>
          </w:tcPr>
          <w:p w14:paraId="285C7ECD" w14:textId="66FA424C" w:rsidR="007E2ECA" w:rsidRDefault="007E2ECA" w:rsidP="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p>
          <w:p w14:paraId="7F79517D" w14:textId="114215B5"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wypadków</w:t>
            </w:r>
          </w:p>
        </w:tc>
        <w:tc>
          <w:tcPr>
            <w:tcW w:w="167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C383280" w14:textId="0D1C70F5" w:rsidR="00600DEE" w:rsidRDefault="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Pr>
                <w:rFonts w:ascii="Calibri" w:eastAsia="Calibri" w:hAnsi="Calibri" w:cs="Calibri"/>
                <w:b/>
                <w:color w:val="FFFFFF"/>
                <w:sz w:val="18"/>
                <w:szCs w:val="18"/>
              </w:rPr>
              <w:t xml:space="preserve">emisji </w:t>
            </w:r>
            <w:r w:rsidR="00641FB5">
              <w:rPr>
                <w:rFonts w:ascii="Calibri" w:eastAsia="Calibri" w:hAnsi="Calibri" w:cs="Calibri"/>
                <w:b/>
                <w:color w:val="FFFFFF"/>
                <w:sz w:val="18"/>
                <w:szCs w:val="18"/>
              </w:rPr>
              <w:t>zanieczyszczeń</w:t>
            </w:r>
          </w:p>
        </w:tc>
        <w:tc>
          <w:tcPr>
            <w:tcW w:w="1678" w:type="dxa"/>
            <w:tcBorders>
              <w:top w:val="single" w:sz="4" w:space="0" w:color="FFFFFF"/>
              <w:left w:val="single" w:sz="4" w:space="0" w:color="FFFFFF"/>
              <w:bottom w:val="single" w:sz="4" w:space="0" w:color="FFFFFF"/>
            </w:tcBorders>
            <w:shd w:val="clear" w:color="auto" w:fill="A6A6A6"/>
            <w:vAlign w:val="center"/>
          </w:tcPr>
          <w:p w14:paraId="42F64FB6" w14:textId="7B605ED1" w:rsidR="00600DEE" w:rsidRDefault="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Pr>
                <w:rFonts w:ascii="Calibri" w:eastAsia="Calibri" w:hAnsi="Calibri" w:cs="Calibri"/>
                <w:b/>
                <w:color w:val="FFFFFF"/>
                <w:sz w:val="18"/>
                <w:szCs w:val="18"/>
              </w:rPr>
              <w:t>zmian klimatu</w:t>
            </w:r>
          </w:p>
        </w:tc>
        <w:tc>
          <w:tcPr>
            <w:tcW w:w="1680" w:type="dxa"/>
            <w:tcBorders>
              <w:top w:val="single" w:sz="4" w:space="0" w:color="FFFFFF"/>
              <w:left w:val="single" w:sz="4" w:space="0" w:color="FFFFFF"/>
              <w:bottom w:val="single" w:sz="4" w:space="0" w:color="FFFFFF"/>
            </w:tcBorders>
            <w:shd w:val="clear" w:color="auto" w:fill="A6A6A6"/>
            <w:vAlign w:val="center"/>
          </w:tcPr>
          <w:p w14:paraId="7E5CD2A7" w14:textId="32738E9B" w:rsidR="00600DEE" w:rsidRDefault="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sidR="00641FB5">
              <w:rPr>
                <w:rFonts w:ascii="Calibri" w:eastAsia="Calibri" w:hAnsi="Calibri" w:cs="Calibri"/>
                <w:b/>
                <w:color w:val="FFFFFF"/>
                <w:sz w:val="18"/>
                <w:szCs w:val="18"/>
              </w:rPr>
              <w:t>hałasu</w:t>
            </w:r>
          </w:p>
          <w:p w14:paraId="4A0A5331" w14:textId="77777777" w:rsidR="00600DEE" w:rsidRDefault="00600DEE">
            <w:pPr>
              <w:spacing w:before="20" w:after="20"/>
              <w:jc w:val="center"/>
              <w:rPr>
                <w:rFonts w:ascii="Calibri" w:eastAsia="Calibri" w:hAnsi="Calibri" w:cs="Calibri"/>
                <w:b/>
                <w:color w:val="FFFFFF"/>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92668D4"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Razem</w:t>
            </w:r>
          </w:p>
        </w:tc>
      </w:tr>
      <w:tr w:rsidR="00600DEE" w14:paraId="70EDC34A"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3626920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78" w:type="dxa"/>
            <w:tcBorders>
              <w:top w:val="single" w:sz="4" w:space="0" w:color="FFFFFF"/>
              <w:left w:val="single" w:sz="4" w:space="0" w:color="FFFFFF"/>
              <w:bottom w:val="single" w:sz="4" w:space="0" w:color="FFFFFF"/>
            </w:tcBorders>
            <w:shd w:val="clear" w:color="auto" w:fill="DBE5F1"/>
            <w:vAlign w:val="center"/>
          </w:tcPr>
          <w:p w14:paraId="00BCC29B"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6482604A"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78B4E89F"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4F4D1D1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5C61C29C"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2D73D0E9"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F22463F"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66DE53CF"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6C69D701"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1678" w:type="dxa"/>
            <w:tcBorders>
              <w:top w:val="single" w:sz="4" w:space="0" w:color="FFFFFF"/>
              <w:left w:val="single" w:sz="4" w:space="0" w:color="FFFFFF"/>
              <w:bottom w:val="single" w:sz="4" w:space="0" w:color="FFFFFF"/>
            </w:tcBorders>
            <w:shd w:val="clear" w:color="auto" w:fill="DBE5F1"/>
            <w:vAlign w:val="center"/>
          </w:tcPr>
          <w:p w14:paraId="336A3B93"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0D7C33C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70DADD5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176A251B"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5E1E2FD5"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471DF2F8"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FEDFD8"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4B8BB1E9"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7A420D1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3</w:t>
            </w:r>
          </w:p>
        </w:tc>
        <w:tc>
          <w:tcPr>
            <w:tcW w:w="1678" w:type="dxa"/>
            <w:tcBorders>
              <w:top w:val="single" w:sz="4" w:space="0" w:color="FFFFFF"/>
              <w:left w:val="single" w:sz="4" w:space="0" w:color="FFFFFF"/>
              <w:bottom w:val="single" w:sz="4" w:space="0" w:color="FFFFFF"/>
            </w:tcBorders>
            <w:shd w:val="clear" w:color="auto" w:fill="DBE5F1"/>
            <w:vAlign w:val="center"/>
          </w:tcPr>
          <w:p w14:paraId="52FCB326"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43718E73"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76729CDA"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25F8578D"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4343758B"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0E012D9D"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E3FAAE3"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5F1B7E5A"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4935239E"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1678" w:type="dxa"/>
            <w:tcBorders>
              <w:top w:val="single" w:sz="4" w:space="0" w:color="FFFFFF"/>
              <w:left w:val="single" w:sz="4" w:space="0" w:color="FFFFFF"/>
              <w:bottom w:val="single" w:sz="4" w:space="0" w:color="FFFFFF"/>
            </w:tcBorders>
            <w:shd w:val="clear" w:color="auto" w:fill="DBE5F1"/>
            <w:vAlign w:val="center"/>
          </w:tcPr>
          <w:p w14:paraId="16A4346D"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347BECC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11374418"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103C103B"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6B477428"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2F4022BC"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A81580B"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4A136587"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3CCB332A"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1678" w:type="dxa"/>
            <w:tcBorders>
              <w:top w:val="single" w:sz="4" w:space="0" w:color="FFFFFF"/>
              <w:left w:val="single" w:sz="4" w:space="0" w:color="FFFFFF"/>
              <w:bottom w:val="single" w:sz="4" w:space="0" w:color="FFFFFF"/>
            </w:tcBorders>
            <w:shd w:val="clear" w:color="auto" w:fill="DBE5F1"/>
            <w:vAlign w:val="center"/>
          </w:tcPr>
          <w:p w14:paraId="5A769E62"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13A7046C"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09616F84"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79FFCAFB"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651AE994"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547FD045"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665CA6C"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26B4C9C6"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652AD32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Razem</w:t>
            </w:r>
          </w:p>
        </w:tc>
        <w:tc>
          <w:tcPr>
            <w:tcW w:w="1678" w:type="dxa"/>
            <w:tcBorders>
              <w:top w:val="single" w:sz="4" w:space="0" w:color="FFFFFF"/>
              <w:left w:val="single" w:sz="4" w:space="0" w:color="FFFFFF"/>
              <w:bottom w:val="single" w:sz="4" w:space="0" w:color="FFFFFF"/>
            </w:tcBorders>
            <w:shd w:val="clear" w:color="auto" w:fill="DBE5F1"/>
            <w:vAlign w:val="center"/>
          </w:tcPr>
          <w:p w14:paraId="36F309E2"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24CEFBF8"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33A51CE8"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6052B284"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5F9761AB"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4D8AD6A7"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59B655"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bl>
    <w:p w14:paraId="00AD842E" w14:textId="77777777"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1BB4849F" w14:textId="77777777" w:rsidR="00600DEE" w:rsidRDefault="00641FB5">
      <w:pPr>
        <w:pBdr>
          <w:top w:val="nil"/>
          <w:left w:val="nil"/>
          <w:bottom w:val="nil"/>
          <w:right w:val="nil"/>
          <w:between w:val="nil"/>
        </w:pBdr>
        <w:spacing w:before="120"/>
        <w:jc w:val="both"/>
        <w:rPr>
          <w:rFonts w:ascii="Calibri" w:eastAsia="Calibri" w:hAnsi="Calibri" w:cs="Calibri"/>
          <w:i/>
          <w:color w:val="000000"/>
          <w:sz w:val="20"/>
          <w:szCs w:val="20"/>
        </w:rPr>
      </w:pPr>
      <w:r>
        <w:rPr>
          <w:rFonts w:ascii="Calibri" w:eastAsia="Calibri" w:hAnsi="Calibri" w:cs="Calibri"/>
          <w:i/>
          <w:color w:val="000000"/>
          <w:sz w:val="20"/>
          <w:szCs w:val="20"/>
        </w:rPr>
        <w:t>Wartości w tabeli należy podać tylko w latach eksploatacji nowej infrastruktury.</w:t>
      </w:r>
    </w:p>
    <w:p w14:paraId="77508C2B" w14:textId="4C73D3CF" w:rsidR="00600DEE" w:rsidRPr="0045151D" w:rsidRDefault="007E2ECA">
      <w:pPr>
        <w:pBdr>
          <w:top w:val="nil"/>
          <w:left w:val="nil"/>
          <w:bottom w:val="nil"/>
          <w:right w:val="nil"/>
          <w:between w:val="nil"/>
        </w:pBdr>
        <w:spacing w:before="120" w:after="120"/>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24</w:t>
      </w:r>
      <w:r w:rsidR="00641FB5" w:rsidRPr="0045151D">
        <w:rPr>
          <w:rFonts w:ascii="Calibri" w:eastAsia="Calibri" w:hAnsi="Calibri" w:cs="Calibri"/>
          <w:b/>
          <w:color w:val="4F81BD"/>
          <w:sz w:val="20"/>
          <w:szCs w:val="20"/>
          <w:lang w:val="en-GB"/>
        </w:rPr>
        <w:t>a. Economic benefits and costs of a project, undiscounted</w:t>
      </w:r>
    </w:p>
    <w:tbl>
      <w:tblPr>
        <w:tblStyle w:val="afffffc"/>
        <w:tblW w:w="12675" w:type="dxa"/>
        <w:tblInd w:w="108" w:type="dxa"/>
        <w:tblLayout w:type="fixed"/>
        <w:tblLook w:val="0000" w:firstRow="0" w:lastRow="0" w:firstColumn="0" w:lastColumn="0" w:noHBand="0" w:noVBand="0"/>
      </w:tblPr>
      <w:tblGrid>
        <w:gridCol w:w="925"/>
        <w:gridCol w:w="1684"/>
        <w:gridCol w:w="1686"/>
        <w:gridCol w:w="1684"/>
        <w:gridCol w:w="1684"/>
        <w:gridCol w:w="1684"/>
        <w:gridCol w:w="1686"/>
        <w:gridCol w:w="1642"/>
      </w:tblGrid>
      <w:tr w:rsidR="00600DEE" w14:paraId="50537D14" w14:textId="77777777">
        <w:trPr>
          <w:trHeight w:val="1274"/>
        </w:trPr>
        <w:tc>
          <w:tcPr>
            <w:tcW w:w="925" w:type="dxa"/>
            <w:tcBorders>
              <w:top w:val="single" w:sz="4" w:space="0" w:color="FFFFFF"/>
              <w:left w:val="single" w:sz="4" w:space="0" w:color="FFFFFF"/>
              <w:bottom w:val="single" w:sz="4" w:space="0" w:color="FFFFFF"/>
            </w:tcBorders>
            <w:shd w:val="clear" w:color="auto" w:fill="A6A6A6"/>
            <w:vAlign w:val="center"/>
          </w:tcPr>
          <w:p w14:paraId="681E531B"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Year</w:t>
            </w:r>
            <w:proofErr w:type="spellEnd"/>
          </w:p>
        </w:tc>
        <w:tc>
          <w:tcPr>
            <w:tcW w:w="1684" w:type="dxa"/>
            <w:tcBorders>
              <w:top w:val="single" w:sz="4" w:space="0" w:color="FFFFFF"/>
              <w:left w:val="single" w:sz="4" w:space="0" w:color="FFFFFF"/>
              <w:bottom w:val="single" w:sz="4" w:space="0" w:color="FFFFFF"/>
            </w:tcBorders>
            <w:shd w:val="clear" w:color="auto" w:fill="A6A6A6"/>
            <w:vAlign w:val="center"/>
          </w:tcPr>
          <w:p w14:paraId="6E67103E"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Time benefits/ costs of vehicle users</w:t>
            </w:r>
          </w:p>
        </w:tc>
        <w:tc>
          <w:tcPr>
            <w:tcW w:w="1686" w:type="dxa"/>
            <w:tcBorders>
              <w:top w:val="single" w:sz="4" w:space="0" w:color="FFFFFF"/>
              <w:left w:val="single" w:sz="4" w:space="0" w:color="FFFFFF"/>
              <w:bottom w:val="single" w:sz="4" w:space="0" w:color="FFFFFF"/>
            </w:tcBorders>
            <w:shd w:val="clear" w:color="auto" w:fill="A6A6A6"/>
            <w:vAlign w:val="center"/>
          </w:tcPr>
          <w:p w14:paraId="02E707C6"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Vehicle</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operating</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benefits</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costs</w:t>
            </w:r>
            <w:proofErr w:type="spellEnd"/>
          </w:p>
        </w:tc>
        <w:tc>
          <w:tcPr>
            <w:tcW w:w="1684" w:type="dxa"/>
            <w:tcBorders>
              <w:top w:val="single" w:sz="4" w:space="0" w:color="FFFFFF"/>
              <w:left w:val="single" w:sz="4" w:space="0" w:color="FFFFFF"/>
              <w:bottom w:val="single" w:sz="4" w:space="0" w:color="FFFFFF"/>
            </w:tcBorders>
            <w:shd w:val="clear" w:color="auto" w:fill="A6A6A6"/>
            <w:vAlign w:val="center"/>
          </w:tcPr>
          <w:p w14:paraId="33BCEB12" w14:textId="77777777" w:rsidR="007E2ECA" w:rsidRDefault="00641FB5" w:rsidP="007E2ECA">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Accident</w:t>
            </w:r>
            <w:proofErr w:type="spellEnd"/>
            <w:r>
              <w:rPr>
                <w:rFonts w:ascii="Calibri" w:eastAsia="Calibri" w:hAnsi="Calibri" w:cs="Calibri"/>
                <w:b/>
                <w:color w:val="FFFFFF"/>
                <w:sz w:val="18"/>
                <w:szCs w:val="18"/>
              </w:rPr>
              <w:t xml:space="preserve"> </w:t>
            </w:r>
          </w:p>
          <w:p w14:paraId="7421E41C" w14:textId="4D2F898E" w:rsidR="00600DEE" w:rsidRDefault="00641FB5" w:rsidP="007E2ECA">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benefits</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costs</w:t>
            </w:r>
            <w:proofErr w:type="spellEnd"/>
          </w:p>
        </w:tc>
        <w:tc>
          <w:tcPr>
            <w:tcW w:w="168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338F451"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Air</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pollution</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benefits</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costs</w:t>
            </w:r>
            <w:proofErr w:type="spellEnd"/>
          </w:p>
        </w:tc>
        <w:tc>
          <w:tcPr>
            <w:tcW w:w="1684" w:type="dxa"/>
            <w:tcBorders>
              <w:top w:val="single" w:sz="4" w:space="0" w:color="FFFFFF"/>
              <w:left w:val="single" w:sz="4" w:space="0" w:color="FFFFFF"/>
              <w:bottom w:val="single" w:sz="4" w:space="0" w:color="FFFFFF"/>
            </w:tcBorders>
            <w:shd w:val="clear" w:color="auto" w:fill="A6A6A6"/>
            <w:vAlign w:val="center"/>
          </w:tcPr>
          <w:p w14:paraId="4B01B8CB"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Climate</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change</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benefits</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costs</w:t>
            </w:r>
            <w:proofErr w:type="spellEnd"/>
          </w:p>
        </w:tc>
        <w:tc>
          <w:tcPr>
            <w:tcW w:w="1686" w:type="dxa"/>
            <w:tcBorders>
              <w:top w:val="single" w:sz="4" w:space="0" w:color="FFFFFF"/>
              <w:left w:val="single" w:sz="4" w:space="0" w:color="FFFFFF"/>
              <w:bottom w:val="single" w:sz="4" w:space="0" w:color="FFFFFF"/>
            </w:tcBorders>
            <w:shd w:val="clear" w:color="auto" w:fill="A6A6A6"/>
            <w:vAlign w:val="center"/>
          </w:tcPr>
          <w:p w14:paraId="1C1B16C5"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Noise</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benefits</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costs</w:t>
            </w:r>
            <w:proofErr w:type="spellEnd"/>
          </w:p>
          <w:p w14:paraId="564540EF" w14:textId="77777777" w:rsidR="00600DEE" w:rsidRDefault="00600DEE">
            <w:pPr>
              <w:spacing w:before="20" w:after="20"/>
              <w:jc w:val="center"/>
              <w:rPr>
                <w:rFonts w:ascii="Calibri" w:eastAsia="Calibri" w:hAnsi="Calibri" w:cs="Calibri"/>
                <w:b/>
                <w:color w:val="FFFFFF"/>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9D8E199"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Total</w:t>
            </w:r>
          </w:p>
        </w:tc>
      </w:tr>
      <w:tr w:rsidR="00600DEE" w14:paraId="5105D6E5"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2DF24195"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84" w:type="dxa"/>
            <w:tcBorders>
              <w:top w:val="single" w:sz="4" w:space="0" w:color="FFFFFF"/>
              <w:left w:val="single" w:sz="4" w:space="0" w:color="FFFFFF"/>
              <w:bottom w:val="single" w:sz="4" w:space="0" w:color="FFFFFF"/>
            </w:tcBorders>
            <w:shd w:val="clear" w:color="auto" w:fill="DBE5F1"/>
            <w:vAlign w:val="center"/>
          </w:tcPr>
          <w:p w14:paraId="41CAB863"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19107DD7"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28B86CB6"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462F4028"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1DBD27A8"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CA72BCC"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4483429"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42098E5C"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6811EC6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1684" w:type="dxa"/>
            <w:tcBorders>
              <w:top w:val="single" w:sz="4" w:space="0" w:color="FFFFFF"/>
              <w:left w:val="single" w:sz="4" w:space="0" w:color="FFFFFF"/>
              <w:bottom w:val="single" w:sz="4" w:space="0" w:color="FFFFFF"/>
            </w:tcBorders>
            <w:shd w:val="clear" w:color="auto" w:fill="DBE5F1"/>
            <w:vAlign w:val="center"/>
          </w:tcPr>
          <w:p w14:paraId="12A703C3"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2C48093D"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629721E1"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5AFBA1D5"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027C5434"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6B710F9"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813289A"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23AD2BD5"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03A74747"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3</w:t>
            </w:r>
          </w:p>
        </w:tc>
        <w:tc>
          <w:tcPr>
            <w:tcW w:w="1684" w:type="dxa"/>
            <w:tcBorders>
              <w:top w:val="single" w:sz="4" w:space="0" w:color="FFFFFF"/>
              <w:left w:val="single" w:sz="4" w:space="0" w:color="FFFFFF"/>
              <w:bottom w:val="single" w:sz="4" w:space="0" w:color="FFFFFF"/>
            </w:tcBorders>
            <w:shd w:val="clear" w:color="auto" w:fill="DBE5F1"/>
            <w:vAlign w:val="center"/>
          </w:tcPr>
          <w:p w14:paraId="436618D4"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3ED35309"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4C2547D3"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4D415566"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5E760B89"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1A56CAB"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246DD85"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57FEF30F"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45774F3D"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1684" w:type="dxa"/>
            <w:tcBorders>
              <w:top w:val="single" w:sz="4" w:space="0" w:color="FFFFFF"/>
              <w:left w:val="single" w:sz="4" w:space="0" w:color="FFFFFF"/>
              <w:bottom w:val="single" w:sz="4" w:space="0" w:color="FFFFFF"/>
            </w:tcBorders>
            <w:shd w:val="clear" w:color="auto" w:fill="DBE5F1"/>
            <w:vAlign w:val="center"/>
          </w:tcPr>
          <w:p w14:paraId="0D27AE3B"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4653C375"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167E37EC"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0334191A"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00B3AF0D"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084F2679"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F83A287"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77DA29FA"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6ABF669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1684" w:type="dxa"/>
            <w:tcBorders>
              <w:top w:val="single" w:sz="4" w:space="0" w:color="FFFFFF"/>
              <w:left w:val="single" w:sz="4" w:space="0" w:color="FFFFFF"/>
              <w:bottom w:val="single" w:sz="4" w:space="0" w:color="FFFFFF"/>
            </w:tcBorders>
            <w:shd w:val="clear" w:color="auto" w:fill="DBE5F1"/>
            <w:vAlign w:val="center"/>
          </w:tcPr>
          <w:p w14:paraId="4BCF3DB1"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687E87CA"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592C3E14"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11565C1C"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391865A7"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8009C72"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A7EA704"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5E249B61"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078960BF"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Total</w:t>
            </w:r>
          </w:p>
        </w:tc>
        <w:tc>
          <w:tcPr>
            <w:tcW w:w="1684" w:type="dxa"/>
            <w:tcBorders>
              <w:top w:val="single" w:sz="4" w:space="0" w:color="FFFFFF"/>
              <w:left w:val="single" w:sz="4" w:space="0" w:color="FFFFFF"/>
              <w:bottom w:val="single" w:sz="4" w:space="0" w:color="FFFFFF"/>
            </w:tcBorders>
            <w:shd w:val="clear" w:color="auto" w:fill="DBE5F1"/>
            <w:vAlign w:val="center"/>
          </w:tcPr>
          <w:p w14:paraId="3C513BDB"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13720A71"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19074847"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476C7A40"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279AB468"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507B45F"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39FA25D"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bl>
    <w:p w14:paraId="3D69D10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 xml:space="preserve">Source: </w:t>
      </w:r>
      <w:proofErr w:type="spellStart"/>
      <w:r>
        <w:rPr>
          <w:rFonts w:ascii="Calibri" w:eastAsia="Calibri" w:hAnsi="Calibri" w:cs="Calibri"/>
          <w:b/>
          <w:i/>
          <w:color w:val="000000"/>
          <w:sz w:val="16"/>
          <w:szCs w:val="16"/>
        </w:rPr>
        <w:t>proprietary</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work</w:t>
      </w:r>
      <w:proofErr w:type="spellEnd"/>
      <w:r>
        <w:rPr>
          <w:rFonts w:ascii="Calibri" w:eastAsia="Calibri" w:hAnsi="Calibri" w:cs="Calibri"/>
          <w:b/>
          <w:i/>
          <w:color w:val="000000"/>
          <w:sz w:val="16"/>
          <w:szCs w:val="16"/>
        </w:rPr>
        <w:t>.</w:t>
      </w:r>
    </w:p>
    <w:p w14:paraId="418E71E1" w14:textId="74F7FB47" w:rsidR="00600DEE" w:rsidRPr="0045151D" w:rsidRDefault="00641FB5">
      <w:pPr>
        <w:pBdr>
          <w:top w:val="nil"/>
          <w:left w:val="nil"/>
          <w:bottom w:val="nil"/>
          <w:right w:val="nil"/>
          <w:between w:val="nil"/>
        </w:pBdr>
        <w:spacing w:before="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The values in the table above will only be provided for the new infrastructure operation period.</w:t>
      </w:r>
    </w:p>
    <w:p w14:paraId="686FDB2A" w14:textId="77777777" w:rsidR="003D1D69" w:rsidRPr="0045151D" w:rsidRDefault="003D1D69">
      <w:pPr>
        <w:pBdr>
          <w:top w:val="nil"/>
          <w:left w:val="nil"/>
          <w:bottom w:val="nil"/>
          <w:right w:val="nil"/>
          <w:between w:val="nil"/>
        </w:pBdr>
        <w:spacing w:before="120"/>
        <w:jc w:val="both"/>
        <w:rPr>
          <w:rFonts w:ascii="Calibri" w:eastAsia="Calibri" w:hAnsi="Calibri" w:cs="Calibri"/>
          <w:i/>
          <w:color w:val="000000"/>
          <w:sz w:val="20"/>
          <w:szCs w:val="20"/>
          <w:lang w:val="en-GB"/>
        </w:rPr>
      </w:pPr>
    </w:p>
    <w:p w14:paraId="0C7D1C3F" w14:textId="77777777" w:rsidR="00CE2D79" w:rsidRPr="0045151D" w:rsidRDefault="00CE2D79">
      <w:pPr>
        <w:pBdr>
          <w:top w:val="nil"/>
          <w:left w:val="nil"/>
          <w:bottom w:val="nil"/>
          <w:right w:val="nil"/>
          <w:between w:val="nil"/>
        </w:pBdr>
        <w:spacing w:before="120"/>
        <w:jc w:val="both"/>
        <w:rPr>
          <w:rFonts w:ascii="Calibri" w:eastAsia="Calibri" w:hAnsi="Calibri" w:cs="Calibri"/>
          <w:i/>
          <w:color w:val="000000"/>
          <w:sz w:val="20"/>
          <w:szCs w:val="20"/>
          <w:lang w:val="en-GB"/>
        </w:rPr>
      </w:pPr>
    </w:p>
    <w:p w14:paraId="10B3ABFE" w14:textId="77777777" w:rsidR="00600DEE" w:rsidRPr="0045151D" w:rsidRDefault="00600DEE">
      <w:pPr>
        <w:pBdr>
          <w:top w:val="nil"/>
          <w:left w:val="nil"/>
          <w:bottom w:val="nil"/>
          <w:right w:val="nil"/>
          <w:between w:val="nil"/>
        </w:pBdr>
        <w:spacing w:before="120"/>
        <w:jc w:val="both"/>
        <w:rPr>
          <w:rFonts w:ascii="Calibri" w:eastAsia="Calibri" w:hAnsi="Calibri" w:cs="Calibri"/>
          <w:i/>
          <w:color w:val="000000"/>
          <w:sz w:val="20"/>
          <w:szCs w:val="20"/>
          <w:lang w:val="en-GB"/>
        </w:rPr>
      </w:pPr>
    </w:p>
    <w:tbl>
      <w:tblPr>
        <w:tblStyle w:val="afffffd"/>
        <w:tblW w:w="14571" w:type="dxa"/>
        <w:tblLayout w:type="fixed"/>
        <w:tblLook w:val="0400" w:firstRow="0" w:lastRow="0" w:firstColumn="0" w:lastColumn="0" w:noHBand="0" w:noVBand="1"/>
      </w:tblPr>
      <w:tblGrid>
        <w:gridCol w:w="7370"/>
        <w:gridCol w:w="7201"/>
      </w:tblGrid>
      <w:tr w:rsidR="00600DEE" w:rsidRPr="007463B9" w14:paraId="4FF77497" w14:textId="77777777">
        <w:tc>
          <w:tcPr>
            <w:tcW w:w="7370" w:type="dxa"/>
            <w:tcBorders>
              <w:right w:val="single" w:sz="4" w:space="0" w:color="000000"/>
            </w:tcBorders>
            <w:tcMar>
              <w:left w:w="284" w:type="dxa"/>
              <w:right w:w="284" w:type="dxa"/>
            </w:tcMar>
          </w:tcPr>
          <w:p w14:paraId="57D9EE49" w14:textId="635C2517" w:rsidR="00600DEE" w:rsidRDefault="007E2ECA">
            <w:pPr>
              <w:pBdr>
                <w:top w:val="nil"/>
                <w:left w:val="nil"/>
                <w:bottom w:val="nil"/>
                <w:right w:val="nil"/>
                <w:between w:val="nil"/>
              </w:pBdr>
              <w:spacing w:before="120" w:after="120"/>
              <w:ind w:left="1418" w:hanging="1418"/>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24</w:t>
            </w:r>
            <w:r w:rsidR="00641FB5">
              <w:rPr>
                <w:rFonts w:ascii="Calibri" w:eastAsia="Calibri" w:hAnsi="Calibri" w:cs="Calibri"/>
                <w:b/>
                <w:color w:val="4F81BD"/>
                <w:sz w:val="20"/>
                <w:szCs w:val="20"/>
              </w:rPr>
              <w:t>b. Udział korzyści i kosztów ekonomicznych dla projektu</w:t>
            </w:r>
            <w:r w:rsidR="00641FB5">
              <w:rPr>
                <w:rFonts w:ascii="Calibri" w:eastAsia="Calibri" w:hAnsi="Calibri" w:cs="Calibri"/>
                <w:b/>
                <w:color w:val="4F81BD"/>
                <w:sz w:val="20"/>
                <w:szCs w:val="20"/>
              </w:rPr>
              <w:br/>
              <w:t>(zdyskontowanych)</w:t>
            </w:r>
          </w:p>
          <w:tbl>
            <w:tblPr>
              <w:tblStyle w:val="afffffe"/>
              <w:tblW w:w="5940" w:type="dxa"/>
              <w:tblLayout w:type="fixed"/>
              <w:tblLook w:val="0000" w:firstRow="0" w:lastRow="0" w:firstColumn="0" w:lastColumn="0" w:noHBand="0" w:noVBand="0"/>
            </w:tblPr>
            <w:tblGrid>
              <w:gridCol w:w="3256"/>
              <w:gridCol w:w="1220"/>
              <w:gridCol w:w="1464"/>
            </w:tblGrid>
            <w:tr w:rsidR="003D1D69" w14:paraId="38333C6C" w14:textId="77777777" w:rsidTr="003D1D69">
              <w:trPr>
                <w:trHeight w:hRule="exact" w:val="397"/>
              </w:trPr>
              <w:tc>
                <w:tcPr>
                  <w:tcW w:w="3256" w:type="dxa"/>
                  <w:tcBorders>
                    <w:top w:val="single" w:sz="4" w:space="0" w:color="FFFFFF"/>
                    <w:left w:val="single" w:sz="4" w:space="0" w:color="FFFFFF"/>
                    <w:bottom w:val="single" w:sz="4" w:space="0" w:color="FFFFFF"/>
                  </w:tcBorders>
                  <w:shd w:val="clear" w:color="auto" w:fill="A6A6A6"/>
                  <w:vAlign w:val="center"/>
                </w:tcPr>
                <w:p w14:paraId="5E975D81"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Korzyści</w:t>
                  </w:r>
                </w:p>
              </w:tc>
              <w:tc>
                <w:tcPr>
                  <w:tcW w:w="122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FEB08C9" w14:textId="21352989"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Razem (PLN)</w:t>
                  </w:r>
                </w:p>
              </w:tc>
              <w:tc>
                <w:tcPr>
                  <w:tcW w:w="146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6BCE894"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3D1D69" w14:paraId="4F484AC7" w14:textId="77777777" w:rsidTr="003D1D69">
              <w:trPr>
                <w:trHeight w:val="409"/>
              </w:trPr>
              <w:tc>
                <w:tcPr>
                  <w:tcW w:w="3256" w:type="dxa"/>
                  <w:tcBorders>
                    <w:left w:val="single" w:sz="4" w:space="0" w:color="FFFFFF"/>
                    <w:bottom w:val="single" w:sz="4" w:space="0" w:color="FFFFFF"/>
                  </w:tcBorders>
                  <w:shd w:val="clear" w:color="auto" w:fill="DBE5F1"/>
                  <w:vAlign w:val="center"/>
                </w:tcPr>
                <w:p w14:paraId="20A1E017"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czasu użytkowników pojazdów (jeśli dotyczą; każda z poniższych pozycji może być kosztem, jeśli realizacja projektu spowoduje wzrost danej kategorii kosztów ekonomicznych, np. hałas)</w:t>
                  </w:r>
                </w:p>
              </w:tc>
              <w:tc>
                <w:tcPr>
                  <w:tcW w:w="1220" w:type="dxa"/>
                  <w:tcBorders>
                    <w:left w:val="single" w:sz="4" w:space="0" w:color="FFFFFF"/>
                    <w:bottom w:val="single" w:sz="4" w:space="0" w:color="FFFFFF"/>
                    <w:right w:val="single" w:sz="4" w:space="0" w:color="FFFFFF"/>
                  </w:tcBorders>
                  <w:shd w:val="clear" w:color="auto" w:fill="DBE5F1"/>
                  <w:vAlign w:val="center"/>
                </w:tcPr>
                <w:p w14:paraId="7D1E988F" w14:textId="4E5FDD63"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9CFADB9"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2677D0AA"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23699374"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eksploatacji pojazdów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244A96D8" w14:textId="40DB9CF1"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5C899DCE"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28CE49BD"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5D8CC1A7"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kosztach wypadków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7BEE10D6" w14:textId="32EF8796"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7708D487"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7ECA61FD"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0CEF9388"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zanieczyszczeniu powietrza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5DFB80E7" w14:textId="43EC487F"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48CF61D"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4728758E"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351E349A"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zmianach klimatu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62D4BE00" w14:textId="318B6E75"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689FFD6"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79188BF7"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7632A6FE"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kosztach hałasu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103D5962" w14:textId="5BCFEE25"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C9AC8DD"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71200473"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3DBE8016"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Wartość rezydualna</w:t>
                  </w:r>
                </w:p>
              </w:tc>
              <w:tc>
                <w:tcPr>
                  <w:tcW w:w="1220" w:type="dxa"/>
                  <w:tcBorders>
                    <w:left w:val="single" w:sz="4" w:space="0" w:color="FFFFFF"/>
                    <w:bottom w:val="single" w:sz="4" w:space="0" w:color="FFFFFF"/>
                    <w:right w:val="single" w:sz="4" w:space="0" w:color="FFFFFF"/>
                  </w:tcBorders>
                  <w:shd w:val="clear" w:color="auto" w:fill="DBE5F1"/>
                  <w:vAlign w:val="center"/>
                </w:tcPr>
                <w:p w14:paraId="5044A17C" w14:textId="5A3182FF"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73F3F58C"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3BCF5B0D"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7457B512"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Inne pozytywne oddziaływania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63CA7922" w14:textId="6C554275"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69960875"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589503D4" w14:textId="77777777" w:rsidTr="003D1D69">
              <w:trPr>
                <w:trHeight w:hRule="exact" w:val="510"/>
              </w:trPr>
              <w:tc>
                <w:tcPr>
                  <w:tcW w:w="3256" w:type="dxa"/>
                  <w:tcBorders>
                    <w:top w:val="single" w:sz="4" w:space="0" w:color="FFFFFF"/>
                    <w:left w:val="single" w:sz="4" w:space="0" w:color="FFFFFF"/>
                    <w:bottom w:val="single" w:sz="4" w:space="0" w:color="FFFFFF"/>
                  </w:tcBorders>
                  <w:shd w:val="clear" w:color="auto" w:fill="A6A6A6"/>
                  <w:vAlign w:val="center"/>
                </w:tcPr>
                <w:p w14:paraId="1CE4E6CE"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Koszty</w:t>
                  </w:r>
                </w:p>
              </w:tc>
              <w:tc>
                <w:tcPr>
                  <w:tcW w:w="122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4772197" w14:textId="386B55EC"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Razem (PLN)</w:t>
                  </w:r>
                </w:p>
              </w:tc>
              <w:tc>
                <w:tcPr>
                  <w:tcW w:w="146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9504C89"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3D1D69" w14:paraId="2BA6F2AF" w14:textId="77777777" w:rsidTr="003D1D69">
              <w:trPr>
                <w:trHeight w:val="168"/>
              </w:trPr>
              <w:tc>
                <w:tcPr>
                  <w:tcW w:w="3256" w:type="dxa"/>
                  <w:tcBorders>
                    <w:left w:val="single" w:sz="4" w:space="0" w:color="FFFFFF"/>
                    <w:bottom w:val="single" w:sz="4" w:space="0" w:color="FFFFFF"/>
                  </w:tcBorders>
                  <w:shd w:val="clear" w:color="auto" w:fill="DBE5F1"/>
                  <w:vAlign w:val="center"/>
                </w:tcPr>
                <w:p w14:paraId="67C0B09C" w14:textId="77777777" w:rsidR="003D1D69" w:rsidRDefault="003D1D69">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Nakłady inwestycyjne</w:t>
                  </w:r>
                </w:p>
              </w:tc>
              <w:tc>
                <w:tcPr>
                  <w:tcW w:w="1220" w:type="dxa"/>
                  <w:tcBorders>
                    <w:left w:val="single" w:sz="4" w:space="0" w:color="FFFFFF"/>
                    <w:bottom w:val="single" w:sz="4" w:space="0" w:color="FFFFFF"/>
                    <w:right w:val="single" w:sz="4" w:space="0" w:color="FFFFFF"/>
                  </w:tcBorders>
                  <w:shd w:val="clear" w:color="auto" w:fill="DBE5F1"/>
                  <w:vAlign w:val="center"/>
                </w:tcPr>
                <w:p w14:paraId="66442D48" w14:textId="156AD886"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608A107A"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4F1464C1" w14:textId="77777777" w:rsidTr="003D1D69">
              <w:trPr>
                <w:trHeight w:hRule="exact" w:val="1134"/>
              </w:trPr>
              <w:tc>
                <w:tcPr>
                  <w:tcW w:w="3256" w:type="dxa"/>
                  <w:tcBorders>
                    <w:left w:val="single" w:sz="4" w:space="0" w:color="FFFFFF"/>
                    <w:bottom w:val="single" w:sz="4" w:space="0" w:color="FFFFFF"/>
                  </w:tcBorders>
                  <w:shd w:val="clear" w:color="auto" w:fill="DBE5F1"/>
                  <w:vAlign w:val="center"/>
                </w:tcPr>
                <w:p w14:paraId="3EB8FFA9" w14:textId="77777777" w:rsidR="003D1D69" w:rsidRDefault="003D1D69">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Koszty eksploatacji i utrzymania (ta pozycja może być korzyścią, jeśli realizacja projektu spowoduje oszczędności kosztowe)</w:t>
                  </w:r>
                </w:p>
              </w:tc>
              <w:tc>
                <w:tcPr>
                  <w:tcW w:w="1220" w:type="dxa"/>
                  <w:tcBorders>
                    <w:left w:val="single" w:sz="4" w:space="0" w:color="FFFFFF"/>
                    <w:bottom w:val="single" w:sz="4" w:space="0" w:color="FFFFFF"/>
                    <w:right w:val="single" w:sz="4" w:space="0" w:color="FFFFFF"/>
                  </w:tcBorders>
                  <w:shd w:val="clear" w:color="auto" w:fill="DBE5F1"/>
                  <w:vAlign w:val="center"/>
                </w:tcPr>
                <w:p w14:paraId="5A34D94C" w14:textId="2C9A00A1"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38812FD2"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1026F0DF"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5C6A154E" w14:textId="77777777" w:rsidR="003D1D69" w:rsidRDefault="003D1D69">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Inne negatywne oddziaływania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6CC03F54" w14:textId="296EF2A2"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264A6C3C"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bl>
          <w:p w14:paraId="40F361E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53FF619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Powyższa tabela korzyści i kosztów ma charakter przykładowy. Faktyczne korzyści dla danego projektu wynikają z jego specyfiki. Wszystkie oszczędności w kosztach społecznych (włącznie z wartością rezydualną) powinny być traktowane jako korzyści projektu, natomiast wszystkie negatywne wyniki (powodujące wzrost kosztów społecznych) powinny, być traktowane jako koszty projektu.</w:t>
            </w:r>
          </w:p>
          <w:p w14:paraId="074F97B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zależności od rodzaju wariantu inwestycyjnego można oczekiwać różnego poziomu korzyści społeczno-ekonomicznych netto generowanych przez różne kategorie kosztów ekonomicznych (koszty eksploatacji pojazdów, koszty czasu itp.).</w:t>
            </w:r>
          </w:p>
          <w:p w14:paraId="137B9090"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color w:val="000000"/>
                <w:sz w:val="20"/>
                <w:szCs w:val="20"/>
              </w:rPr>
              <w:t xml:space="preserve">W przypadku inwestycji punktowych, takich jak likwidacja „czarnych punktów”, przebudowa przejścia dla pieszych, skrzyżowania itp., gdzie aspekty związane z poprawą bezpieczeństwa są najważniejsze, a przeważają roboty związane z przebudową lub remontem, najważniejsze korzyści ekonomiczne netto są generowane dzięki oszczędnościom kosztów wypadków. Natomiast, jeżeli chodzi o koszty czasu, to często można zaobserwować występowanie dużych strat ekonomiczne netto (kosztów). </w:t>
            </w:r>
          </w:p>
          <w:p w14:paraId="066592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realizowania projektu budowy nowej drogi o nowym przebiegu, najważniejsze korzyści ekonomiczne netto powstają dzięki oszczędnościom kosztów czasu, a niemal zawsze obserwuje się straty ekonomiczne netto (koszty) w zakresie kosztów eksploatacji pojazdów.</w:t>
            </w:r>
          </w:p>
          <w:p w14:paraId="01AB1B8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projektu modernizacji istniejącej drogi, którego celem nie jest podniesienie standardu czy też zwiększenie przepustowości, najważniejsze korzyści ekonomiczne netto, są zazwyczaj generowane dzięki oszczędnościom kosztów eksploatacji pojazdów i kosztów wypadków. Zazwyczaj tego typu inwestycje generują niewielkie (lub zerowe) korzyści w zakresie oszczędności kosztów czasu.</w:t>
            </w:r>
          </w:p>
          <w:p w14:paraId="1C4AAA7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przypadku rozbudowy istniejącej drogi do większej przepustowości (dodanie pasów ruchu), główne korzyści ekonomiczne netto powstają dzięki oszczędności kosztów czasu i kosztów eksploatacji pojazdów; pojawiają się też niewielkie korzyści w postaci zmniejszenia kosztów wypadków, podczas gdy koszty utrzymania infrastruktury z reguły wzrastają. </w:t>
            </w:r>
          </w:p>
        </w:tc>
        <w:tc>
          <w:tcPr>
            <w:tcW w:w="7201" w:type="dxa"/>
            <w:tcBorders>
              <w:left w:val="single" w:sz="4" w:space="0" w:color="000000"/>
            </w:tcBorders>
            <w:tcMar>
              <w:left w:w="284" w:type="dxa"/>
              <w:right w:w="284" w:type="dxa"/>
            </w:tcMar>
          </w:tcPr>
          <w:p w14:paraId="777A23BE" w14:textId="3F979B75"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lastRenderedPageBreak/>
              <w:t>Table 24</w:t>
            </w:r>
            <w:r w:rsidR="00641FB5" w:rsidRPr="0045151D">
              <w:rPr>
                <w:rFonts w:ascii="Calibri" w:eastAsia="Calibri" w:hAnsi="Calibri" w:cs="Calibri"/>
                <w:b/>
                <w:color w:val="4F81BD"/>
                <w:sz w:val="20"/>
                <w:szCs w:val="20"/>
                <w:lang w:val="en-GB"/>
              </w:rPr>
              <w:t>b.  Share of project economic benefits and costs (discounted)</w:t>
            </w:r>
          </w:p>
          <w:p w14:paraId="1243BAB4" w14:textId="77777777" w:rsidR="00FD10CF" w:rsidRPr="0045151D" w:rsidRDefault="00FD10CF" w:rsidP="00FD10CF">
            <w:pPr>
              <w:pBdr>
                <w:top w:val="nil"/>
                <w:left w:val="nil"/>
                <w:bottom w:val="nil"/>
                <w:right w:val="nil"/>
                <w:between w:val="nil"/>
              </w:pBdr>
              <w:jc w:val="both"/>
              <w:rPr>
                <w:rFonts w:ascii="Calibri" w:eastAsia="Calibri" w:hAnsi="Calibri" w:cs="Calibri"/>
                <w:color w:val="4F81BD"/>
                <w:sz w:val="20"/>
                <w:szCs w:val="20"/>
                <w:lang w:val="en-GB"/>
              </w:rPr>
            </w:pPr>
          </w:p>
          <w:tbl>
            <w:tblPr>
              <w:tblStyle w:val="affffff"/>
              <w:tblW w:w="5391" w:type="dxa"/>
              <w:tblLayout w:type="fixed"/>
              <w:tblLook w:val="0000" w:firstRow="0" w:lastRow="0" w:firstColumn="0" w:lastColumn="0" w:noHBand="0" w:noVBand="0"/>
            </w:tblPr>
            <w:tblGrid>
              <w:gridCol w:w="2728"/>
              <w:gridCol w:w="1350"/>
              <w:gridCol w:w="1313"/>
            </w:tblGrid>
            <w:tr w:rsidR="00600DEE" w14:paraId="746F3FBA" w14:textId="77777777" w:rsidTr="003D1D69">
              <w:trPr>
                <w:trHeight w:hRule="exact" w:val="397"/>
              </w:trPr>
              <w:tc>
                <w:tcPr>
                  <w:tcW w:w="2728" w:type="dxa"/>
                  <w:tcBorders>
                    <w:top w:val="single" w:sz="4" w:space="0" w:color="FFFFFF"/>
                    <w:left w:val="single" w:sz="4" w:space="0" w:color="FFFFFF"/>
                    <w:bottom w:val="single" w:sz="4" w:space="0" w:color="FFFFFF"/>
                  </w:tcBorders>
                  <w:shd w:val="clear" w:color="auto" w:fill="A6A6A6"/>
                  <w:vAlign w:val="center"/>
                </w:tcPr>
                <w:p w14:paraId="23BA2DAE"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Benefit</w:t>
                  </w:r>
                </w:p>
              </w:tc>
              <w:tc>
                <w:tcPr>
                  <w:tcW w:w="1350" w:type="dxa"/>
                  <w:tcBorders>
                    <w:top w:val="single" w:sz="4" w:space="0" w:color="FFFFFF"/>
                    <w:left w:val="single" w:sz="4" w:space="0" w:color="FFFFFF"/>
                    <w:bottom w:val="single" w:sz="4" w:space="0" w:color="FFFFFF"/>
                  </w:tcBorders>
                  <w:shd w:val="clear" w:color="auto" w:fill="A6A6A6"/>
                  <w:vAlign w:val="center"/>
                </w:tcPr>
                <w:p w14:paraId="38773737"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Total (PLN)</w:t>
                  </w:r>
                </w:p>
              </w:tc>
              <w:tc>
                <w:tcPr>
                  <w:tcW w:w="13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08E0C00"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600DEE" w:rsidRPr="007463B9" w14:paraId="03A78497" w14:textId="77777777">
              <w:trPr>
                <w:trHeight w:val="185"/>
              </w:trPr>
              <w:tc>
                <w:tcPr>
                  <w:tcW w:w="2728" w:type="dxa"/>
                  <w:tcBorders>
                    <w:left w:val="single" w:sz="4" w:space="0" w:color="FFFFFF"/>
                    <w:bottom w:val="single" w:sz="4" w:space="0" w:color="FFFFFF"/>
                  </w:tcBorders>
                  <w:shd w:val="clear" w:color="auto" w:fill="DBE5F1"/>
                  <w:vAlign w:val="center"/>
                </w:tcPr>
                <w:p w14:paraId="6AECB9B4"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Time savings of vehicle users (if applicable; any of the items below could be considered a cost if the project results in a given economic cost category increase, e.g. noise)</w:t>
                  </w:r>
                </w:p>
              </w:tc>
              <w:tc>
                <w:tcPr>
                  <w:tcW w:w="1350" w:type="dxa"/>
                  <w:tcBorders>
                    <w:left w:val="single" w:sz="4" w:space="0" w:color="FFFFFF"/>
                    <w:bottom w:val="single" w:sz="4" w:space="0" w:color="FFFFFF"/>
                  </w:tcBorders>
                  <w:shd w:val="clear" w:color="auto" w:fill="DBE5F1"/>
                  <w:vAlign w:val="center"/>
                </w:tcPr>
                <w:p w14:paraId="169D2767"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25FD5B62"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14:paraId="0C9E492C"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4C963AFE" w14:textId="77777777" w:rsidR="00600DEE"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 xml:space="preserve">VOC </w:t>
                  </w:r>
                  <w:proofErr w:type="spellStart"/>
                  <w:r>
                    <w:rPr>
                      <w:rFonts w:ascii="Calibri" w:eastAsia="Calibri" w:hAnsi="Calibri" w:cs="Calibri"/>
                      <w:color w:val="4F81BD"/>
                      <w:sz w:val="20"/>
                      <w:szCs w:val="20"/>
                    </w:rPr>
                    <w:t>savings</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if</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applicable</w:t>
                  </w:r>
                  <w:proofErr w:type="spellEnd"/>
                  <w:r>
                    <w:rPr>
                      <w:rFonts w:ascii="Calibri" w:eastAsia="Calibri" w:hAnsi="Calibri" w:cs="Calibri"/>
                      <w:color w:val="4F81BD"/>
                      <w:sz w:val="20"/>
                      <w:szCs w:val="20"/>
                    </w:rPr>
                    <w:t>)</w:t>
                  </w:r>
                </w:p>
              </w:tc>
              <w:tc>
                <w:tcPr>
                  <w:tcW w:w="1350" w:type="dxa"/>
                  <w:tcBorders>
                    <w:left w:val="single" w:sz="4" w:space="0" w:color="FFFFFF"/>
                    <w:bottom w:val="single" w:sz="4" w:space="0" w:color="FFFFFF"/>
                  </w:tcBorders>
                  <w:shd w:val="clear" w:color="auto" w:fill="DBE5F1"/>
                  <w:vAlign w:val="center"/>
                </w:tcPr>
                <w:p w14:paraId="3A620D92"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5EAF7813"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rsidRPr="007463B9" w14:paraId="19301B12"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2F69CF6A"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Accident costs savings (if applicable)</w:t>
                  </w:r>
                </w:p>
              </w:tc>
              <w:tc>
                <w:tcPr>
                  <w:tcW w:w="1350" w:type="dxa"/>
                  <w:tcBorders>
                    <w:left w:val="single" w:sz="4" w:space="0" w:color="FFFFFF"/>
                    <w:bottom w:val="single" w:sz="4" w:space="0" w:color="FFFFFF"/>
                  </w:tcBorders>
                  <w:shd w:val="clear" w:color="auto" w:fill="DBE5F1"/>
                  <w:vAlign w:val="center"/>
                </w:tcPr>
                <w:p w14:paraId="0946D25A"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7D008D0D"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rsidRPr="007463B9" w14:paraId="71AFDC91"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658B3204"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Air pollution savings (if applicable)</w:t>
                  </w:r>
                </w:p>
              </w:tc>
              <w:tc>
                <w:tcPr>
                  <w:tcW w:w="1350" w:type="dxa"/>
                  <w:tcBorders>
                    <w:left w:val="single" w:sz="4" w:space="0" w:color="FFFFFF"/>
                    <w:bottom w:val="single" w:sz="4" w:space="0" w:color="FFFFFF"/>
                  </w:tcBorders>
                  <w:shd w:val="clear" w:color="auto" w:fill="DBE5F1"/>
                  <w:vAlign w:val="center"/>
                </w:tcPr>
                <w:p w14:paraId="280AB14D"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3D409563"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rsidRPr="007463B9" w14:paraId="7D8B3EB3"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02AD8C35"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Climate change savings (if applicable)</w:t>
                  </w:r>
                </w:p>
              </w:tc>
              <w:tc>
                <w:tcPr>
                  <w:tcW w:w="1350" w:type="dxa"/>
                  <w:tcBorders>
                    <w:left w:val="single" w:sz="4" w:space="0" w:color="FFFFFF"/>
                    <w:bottom w:val="single" w:sz="4" w:space="0" w:color="FFFFFF"/>
                  </w:tcBorders>
                  <w:shd w:val="clear" w:color="auto" w:fill="DBE5F1"/>
                  <w:vAlign w:val="center"/>
                </w:tcPr>
                <w:p w14:paraId="56E88586"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31574F55"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14:paraId="1C9F4491"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61F15C86" w14:textId="77777777" w:rsidR="00600DEE"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rPr>
                  </w:pPr>
                  <w:proofErr w:type="spellStart"/>
                  <w:r>
                    <w:rPr>
                      <w:rFonts w:ascii="Calibri" w:eastAsia="Calibri" w:hAnsi="Calibri" w:cs="Calibri"/>
                      <w:color w:val="4F81BD"/>
                      <w:sz w:val="20"/>
                      <w:szCs w:val="20"/>
                    </w:rPr>
                    <w:t>Noise</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savings</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if</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applicable</w:t>
                  </w:r>
                  <w:proofErr w:type="spellEnd"/>
                  <w:r>
                    <w:rPr>
                      <w:rFonts w:ascii="Calibri" w:eastAsia="Calibri" w:hAnsi="Calibri" w:cs="Calibri"/>
                      <w:color w:val="4F81BD"/>
                      <w:sz w:val="20"/>
                      <w:szCs w:val="20"/>
                    </w:rPr>
                    <w:t>)</w:t>
                  </w:r>
                </w:p>
              </w:tc>
              <w:tc>
                <w:tcPr>
                  <w:tcW w:w="1350" w:type="dxa"/>
                  <w:tcBorders>
                    <w:left w:val="single" w:sz="4" w:space="0" w:color="FFFFFF"/>
                    <w:bottom w:val="single" w:sz="4" w:space="0" w:color="FFFFFF"/>
                  </w:tcBorders>
                  <w:shd w:val="clear" w:color="auto" w:fill="DBE5F1"/>
                  <w:vAlign w:val="center"/>
                </w:tcPr>
                <w:p w14:paraId="0377787E"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19563E43"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14:paraId="4F8C2D04"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2516394E" w14:textId="77777777" w:rsidR="00600DEE"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rPr>
                  </w:pPr>
                  <w:proofErr w:type="spellStart"/>
                  <w:r>
                    <w:rPr>
                      <w:rFonts w:ascii="Calibri" w:eastAsia="Calibri" w:hAnsi="Calibri" w:cs="Calibri"/>
                      <w:color w:val="4F81BD"/>
                      <w:sz w:val="20"/>
                      <w:szCs w:val="20"/>
                    </w:rPr>
                    <w:t>Residual</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value</w:t>
                  </w:r>
                  <w:proofErr w:type="spellEnd"/>
                  <w:r>
                    <w:rPr>
                      <w:rFonts w:ascii="Calibri" w:eastAsia="Calibri" w:hAnsi="Calibri" w:cs="Calibri"/>
                      <w:color w:val="4F81BD"/>
                      <w:sz w:val="20"/>
                      <w:szCs w:val="20"/>
                    </w:rPr>
                    <w:t xml:space="preserve"> </w:t>
                  </w:r>
                </w:p>
              </w:tc>
              <w:tc>
                <w:tcPr>
                  <w:tcW w:w="1350" w:type="dxa"/>
                  <w:tcBorders>
                    <w:left w:val="single" w:sz="4" w:space="0" w:color="FFFFFF"/>
                    <w:bottom w:val="single" w:sz="4" w:space="0" w:color="FFFFFF"/>
                  </w:tcBorders>
                  <w:shd w:val="clear" w:color="auto" w:fill="DBE5F1"/>
                  <w:vAlign w:val="center"/>
                </w:tcPr>
                <w:p w14:paraId="60A13BE0"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2482F8B6"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rsidRPr="007463B9" w14:paraId="25B6BCFF"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4FA7D68F"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Other positive impacts (if applicable)</w:t>
                  </w:r>
                </w:p>
              </w:tc>
              <w:tc>
                <w:tcPr>
                  <w:tcW w:w="1350" w:type="dxa"/>
                  <w:tcBorders>
                    <w:left w:val="single" w:sz="4" w:space="0" w:color="FFFFFF"/>
                    <w:bottom w:val="single" w:sz="4" w:space="0" w:color="FFFFFF"/>
                  </w:tcBorders>
                  <w:shd w:val="clear" w:color="auto" w:fill="DBE5F1"/>
                  <w:vAlign w:val="center"/>
                </w:tcPr>
                <w:p w14:paraId="74DEF933"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290AFDC8"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14:paraId="0BE72DA3" w14:textId="77777777" w:rsidTr="003D1D69">
              <w:trPr>
                <w:trHeight w:hRule="exact" w:val="510"/>
              </w:trPr>
              <w:tc>
                <w:tcPr>
                  <w:tcW w:w="2728" w:type="dxa"/>
                  <w:tcBorders>
                    <w:top w:val="single" w:sz="4" w:space="0" w:color="FFFFFF"/>
                    <w:left w:val="single" w:sz="4" w:space="0" w:color="FFFFFF"/>
                    <w:bottom w:val="single" w:sz="4" w:space="0" w:color="FFFFFF"/>
                  </w:tcBorders>
                  <w:shd w:val="clear" w:color="auto" w:fill="A6A6A6"/>
                  <w:vAlign w:val="center"/>
                </w:tcPr>
                <w:p w14:paraId="6E7D4638" w14:textId="77777777" w:rsidR="00600DEE" w:rsidRDefault="00641FB5">
                  <w:pPr>
                    <w:jc w:val="center"/>
                    <w:rPr>
                      <w:rFonts w:ascii="Calibri" w:eastAsia="Calibri" w:hAnsi="Calibri" w:cs="Calibri"/>
                      <w:b/>
                      <w:color w:val="FFFFFF"/>
                      <w:sz w:val="20"/>
                      <w:szCs w:val="20"/>
                    </w:rPr>
                  </w:pPr>
                  <w:proofErr w:type="spellStart"/>
                  <w:r>
                    <w:rPr>
                      <w:rFonts w:ascii="Calibri" w:eastAsia="Calibri" w:hAnsi="Calibri" w:cs="Calibri"/>
                      <w:b/>
                      <w:color w:val="FFFFFF"/>
                      <w:sz w:val="20"/>
                      <w:szCs w:val="20"/>
                    </w:rPr>
                    <w:t>Costs</w:t>
                  </w:r>
                  <w:proofErr w:type="spellEnd"/>
                </w:p>
              </w:tc>
              <w:tc>
                <w:tcPr>
                  <w:tcW w:w="1350" w:type="dxa"/>
                  <w:tcBorders>
                    <w:top w:val="single" w:sz="4" w:space="0" w:color="FFFFFF"/>
                    <w:left w:val="single" w:sz="4" w:space="0" w:color="FFFFFF"/>
                    <w:bottom w:val="single" w:sz="4" w:space="0" w:color="FFFFFF"/>
                  </w:tcBorders>
                  <w:shd w:val="clear" w:color="auto" w:fill="A6A6A6"/>
                  <w:vAlign w:val="center"/>
                </w:tcPr>
                <w:p w14:paraId="56FBCC67"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Total (PLN)</w:t>
                  </w:r>
                </w:p>
              </w:tc>
              <w:tc>
                <w:tcPr>
                  <w:tcW w:w="13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4DD6137"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600DEE" w14:paraId="13F90E29" w14:textId="77777777">
              <w:trPr>
                <w:trHeight w:val="135"/>
              </w:trPr>
              <w:tc>
                <w:tcPr>
                  <w:tcW w:w="2728" w:type="dxa"/>
                  <w:tcBorders>
                    <w:left w:val="single" w:sz="4" w:space="0" w:color="FFFFFF"/>
                    <w:bottom w:val="single" w:sz="4" w:space="0" w:color="FFFFFF"/>
                  </w:tcBorders>
                  <w:shd w:val="clear" w:color="auto" w:fill="DBE5F1"/>
                  <w:vAlign w:val="center"/>
                </w:tcPr>
                <w:p w14:paraId="3ECE7199" w14:textId="77777777" w:rsidR="00600DEE" w:rsidRDefault="00641FB5">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 xml:space="preserve">Investment </w:t>
                  </w:r>
                  <w:proofErr w:type="spellStart"/>
                  <w:r>
                    <w:rPr>
                      <w:rFonts w:ascii="Calibri" w:eastAsia="Calibri" w:hAnsi="Calibri" w:cs="Calibri"/>
                      <w:color w:val="4F81BD"/>
                      <w:sz w:val="20"/>
                      <w:szCs w:val="20"/>
                    </w:rPr>
                    <w:t>costs</w:t>
                  </w:r>
                  <w:proofErr w:type="spellEnd"/>
                </w:p>
              </w:tc>
              <w:tc>
                <w:tcPr>
                  <w:tcW w:w="1350" w:type="dxa"/>
                  <w:tcBorders>
                    <w:left w:val="single" w:sz="4" w:space="0" w:color="FFFFFF"/>
                    <w:bottom w:val="single" w:sz="4" w:space="0" w:color="FFFFFF"/>
                  </w:tcBorders>
                  <w:shd w:val="clear" w:color="auto" w:fill="DBE5F1"/>
                  <w:vAlign w:val="center"/>
                </w:tcPr>
                <w:p w14:paraId="10E8DAF1"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502419A7"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rsidRPr="007463B9" w14:paraId="3F50D43B" w14:textId="77777777" w:rsidTr="0039454C">
              <w:trPr>
                <w:trHeight w:hRule="exact" w:val="1134"/>
              </w:trPr>
              <w:tc>
                <w:tcPr>
                  <w:tcW w:w="2728" w:type="dxa"/>
                  <w:tcBorders>
                    <w:left w:val="single" w:sz="4" w:space="0" w:color="FFFFFF"/>
                    <w:bottom w:val="single" w:sz="4" w:space="0" w:color="FFFFFF"/>
                  </w:tcBorders>
                  <w:shd w:val="clear" w:color="auto" w:fill="DBE5F1"/>
                  <w:vAlign w:val="center"/>
                </w:tcPr>
                <w:p w14:paraId="54A10359" w14:textId="77777777" w:rsidR="00600DEE" w:rsidRPr="0045151D" w:rsidRDefault="00641FB5">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O&amp;M (could be considered a benefit if the project results in cost savings)</w:t>
                  </w:r>
                </w:p>
              </w:tc>
              <w:tc>
                <w:tcPr>
                  <w:tcW w:w="1350" w:type="dxa"/>
                  <w:tcBorders>
                    <w:left w:val="single" w:sz="4" w:space="0" w:color="FFFFFF"/>
                    <w:bottom w:val="single" w:sz="4" w:space="0" w:color="FFFFFF"/>
                  </w:tcBorders>
                  <w:shd w:val="clear" w:color="auto" w:fill="DBE5F1"/>
                  <w:vAlign w:val="center"/>
                </w:tcPr>
                <w:p w14:paraId="400A5FF9"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6910A9D9"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rsidRPr="007463B9" w14:paraId="74582EAA"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1AEAB294" w14:textId="77777777" w:rsidR="00600DEE" w:rsidRPr="0045151D" w:rsidRDefault="00641FB5">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Other negative impacts (if applicable)</w:t>
                  </w:r>
                </w:p>
              </w:tc>
              <w:tc>
                <w:tcPr>
                  <w:tcW w:w="1350" w:type="dxa"/>
                  <w:tcBorders>
                    <w:left w:val="single" w:sz="4" w:space="0" w:color="FFFFFF"/>
                    <w:bottom w:val="single" w:sz="4" w:space="0" w:color="FFFFFF"/>
                  </w:tcBorders>
                  <w:shd w:val="clear" w:color="auto" w:fill="DBE5F1"/>
                  <w:vAlign w:val="center"/>
                </w:tcPr>
                <w:p w14:paraId="38D194C2"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5B44AAC5"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bl>
          <w:p w14:paraId="38850FCD" w14:textId="325C4D17" w:rsidR="00FD10CF"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p w14:paraId="72F7C64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above list of benefits and costs is an example. The actual list of benefits is specific to each project. All savings in social costs (including the residual value) should be considered as project benefits, whereas all negative impacts (increases in social costs) should be considered as project costs.</w:t>
            </w:r>
          </w:p>
          <w:p w14:paraId="267D767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Depending on the investment option type, different level of net socio-economic benefits generated by various economic cost categories (vehicle operating costs, time value costs, etc.) can be expected.</w:t>
            </w:r>
          </w:p>
          <w:p w14:paraId="36369EC1"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color w:val="000000"/>
                <w:sz w:val="20"/>
                <w:szCs w:val="20"/>
                <w:lang w:val="en-GB"/>
              </w:rPr>
              <w:t xml:space="preserve">In case of single-location investments (such as reconstruction of “black spots”, pedestrian crossings, intersections, etc.) where aspects related to safety improvement are the most important and major works are connected with reconstruction or rehabilitation, the most important net economic benefits correspond to accident cost savings. Whereas in case of the value of time costs, often major net economic losses (costs) may be observed. </w:t>
            </w:r>
          </w:p>
          <w:p w14:paraId="68751EB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of construction of a new road with a new alignment, the main net economic benefits will be generated by savings in the value of time costs, and nearly always net economic losses (costs) are observed within the vehicles operating costs.</w:t>
            </w:r>
          </w:p>
          <w:p w14:paraId="7027383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of rehabilitation of the existing road without improving its standard to a higher category or capacity, the most important net economic benefits are the savings of vehicles operating costs and accident costs, fairly often we can observe small (or zero) benefits within value of time savings.</w:t>
            </w:r>
          </w:p>
          <w:p w14:paraId="2BA3FCC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of expansion of an existing road for flow capacity increase (additional traffic lanes) the main net economic benefits are the value of time savings and vehicles operating costs savings, some small benefits also occur as a decrease of accident costs while infrastructure maintenance costs will generally increase.</w:t>
            </w:r>
          </w:p>
          <w:p w14:paraId="4D26437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 </w:t>
            </w:r>
          </w:p>
        </w:tc>
      </w:tr>
    </w:tbl>
    <w:p w14:paraId="63409374" w14:textId="5C5B73C0" w:rsidR="00600DEE" w:rsidRDefault="00641FB5" w:rsidP="00D5736B">
      <w:pPr>
        <w:pStyle w:val="Nagwek3"/>
        <w:numPr>
          <w:ilvl w:val="2"/>
          <w:numId w:val="17"/>
        </w:numPr>
        <w:ind w:left="0" w:firstLine="0"/>
        <w:rPr>
          <w:rFonts w:ascii="Calibri" w:eastAsia="Calibri" w:hAnsi="Calibri" w:cs="Calibri"/>
          <w:color w:val="4F81BD"/>
        </w:rPr>
      </w:pPr>
      <w:bookmarkStart w:id="93" w:name="_Toc91596261"/>
      <w:bookmarkStart w:id="94" w:name="_Toc95377999"/>
      <w:r>
        <w:rPr>
          <w:rFonts w:ascii="Calibri" w:eastAsia="Calibri" w:hAnsi="Calibri" w:cs="Calibri"/>
          <w:color w:val="4F81BD"/>
        </w:rPr>
        <w:lastRenderedPageBreak/>
        <w:t>Obliczanie wskaźników efektywności społeczno-ekonomicznej i interpretacja wyników</w:t>
      </w:r>
      <w:bookmarkEnd w:id="93"/>
      <w:bookmarkEnd w:id="94"/>
    </w:p>
    <w:p w14:paraId="3F65B7BC" w14:textId="377CA485" w:rsidR="00600DEE" w:rsidRPr="0045151D" w:rsidRDefault="00641FB5">
      <w:pPr>
        <w:pStyle w:val="Nagwek3"/>
        <w:rPr>
          <w:rFonts w:ascii="Calibri" w:eastAsia="Calibri" w:hAnsi="Calibri" w:cs="Calibri"/>
          <w:i/>
          <w:color w:val="4F81BD"/>
          <w:lang w:val="en-GB"/>
        </w:rPr>
      </w:pPr>
      <w:bookmarkStart w:id="95" w:name="_Toc95378000"/>
      <w:r w:rsidRPr="0045151D">
        <w:rPr>
          <w:rFonts w:ascii="Calibri" w:eastAsia="Calibri" w:hAnsi="Calibri" w:cs="Calibri"/>
          <w:i/>
          <w:color w:val="4F81BD"/>
          <w:lang w:val="en-GB"/>
        </w:rPr>
        <w:t>2.</w:t>
      </w:r>
      <w:r w:rsidR="00A27FD9" w:rsidRPr="0045151D">
        <w:rPr>
          <w:rFonts w:ascii="Calibri" w:eastAsia="Calibri" w:hAnsi="Calibri" w:cs="Calibri"/>
          <w:i/>
          <w:color w:val="4F81BD"/>
          <w:lang w:val="en-GB"/>
        </w:rPr>
        <w:t>2</w:t>
      </w:r>
      <w:r w:rsidRPr="0045151D">
        <w:rPr>
          <w:rFonts w:ascii="Calibri" w:eastAsia="Calibri" w:hAnsi="Calibri" w:cs="Calibri"/>
          <w:i/>
          <w:color w:val="4F81BD"/>
          <w:lang w:val="en-GB"/>
        </w:rPr>
        <w:t>.</w:t>
      </w:r>
      <w:r w:rsidR="00A27FD9" w:rsidRPr="0045151D">
        <w:rPr>
          <w:rFonts w:ascii="Calibri" w:eastAsia="Calibri" w:hAnsi="Calibri" w:cs="Calibri"/>
          <w:i/>
          <w:color w:val="4F81BD"/>
          <w:lang w:val="en-GB"/>
        </w:rPr>
        <w:t>4</w:t>
      </w:r>
      <w:r w:rsidRPr="0045151D">
        <w:rPr>
          <w:rFonts w:ascii="Calibri" w:eastAsia="Calibri" w:hAnsi="Calibri" w:cs="Calibri"/>
          <w:i/>
          <w:color w:val="4F81BD"/>
          <w:lang w:val="en-GB"/>
        </w:rPr>
        <w:t xml:space="preserve">   Calculation of the socio-economic performance indicators and interpretation of results</w:t>
      </w:r>
      <w:bookmarkEnd w:id="95"/>
    </w:p>
    <w:tbl>
      <w:tblPr>
        <w:tblStyle w:val="affffff0"/>
        <w:tblW w:w="14571" w:type="dxa"/>
        <w:tblLayout w:type="fixed"/>
        <w:tblLook w:val="0400" w:firstRow="0" w:lastRow="0" w:firstColumn="0" w:lastColumn="0" w:noHBand="0" w:noVBand="1"/>
      </w:tblPr>
      <w:tblGrid>
        <w:gridCol w:w="7370"/>
        <w:gridCol w:w="7201"/>
      </w:tblGrid>
      <w:tr w:rsidR="00600DEE" w:rsidRPr="007463B9" w14:paraId="2DDE1721" w14:textId="77777777">
        <w:tc>
          <w:tcPr>
            <w:tcW w:w="7370" w:type="dxa"/>
            <w:tcBorders>
              <w:right w:val="single" w:sz="4" w:space="0" w:color="000000"/>
            </w:tcBorders>
            <w:tcMar>
              <w:left w:w="284" w:type="dxa"/>
              <w:right w:w="284" w:type="dxa"/>
            </w:tcMar>
          </w:tcPr>
          <w:p w14:paraId="3C46850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 ustaleniu wartości wszystkich kategorii kosztów i korzyści należy zdyskontować wartość przepływów netto w każdym kolejnym roku analizy przy zastosowaniu społecznej stopy dyskontowej. Następnie należy zsumować przepływy pieniężne </w:t>
            </w:r>
            <w:r>
              <w:rPr>
                <w:rFonts w:ascii="Calibri" w:eastAsia="Calibri" w:hAnsi="Calibri" w:cs="Calibri"/>
                <w:color w:val="000000"/>
                <w:sz w:val="20"/>
                <w:szCs w:val="20"/>
              </w:rPr>
              <w:br/>
              <w:t>z każdego roku i dodać zdyskontowaną wartość rezydualną projektu do ostatniego roku analizy.</w:t>
            </w:r>
          </w:p>
          <w:p w14:paraId="786A66A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Kolejnym etapem analizy jest wyliczenie wskaźników ENPV, ERR i BCR. </w:t>
            </w:r>
          </w:p>
          <w:p w14:paraId="24F14AAC" w14:textId="505CBF6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Wskaźnik BCR powinien być liczony w oparciu o wartości bieżące poszczególnych pozycji kosztów i korzyści dla całego okresu analizy, przy czym oszczędności kosztów </w:t>
            </w:r>
            <w:r>
              <w:rPr>
                <w:rFonts w:ascii="Calibri" w:eastAsia="Calibri" w:hAnsi="Calibri" w:cs="Calibri"/>
                <w:color w:val="000000"/>
                <w:sz w:val="20"/>
                <w:szCs w:val="20"/>
              </w:rPr>
              <w:br/>
              <w:t>i wartość rezydualna stanowią korzyść projektu, natomiast ujemne efekty zewnętrzne i nakłady inwestycyjne, uwzględniane są w kosztach projektu.</w:t>
            </w:r>
          </w:p>
          <w:p w14:paraId="57CA63E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Przykładowe zestawienie wyników obliczeń wskaźników efektywności społeczno-ekonomicznej znajduje się w tabeli poniżej.</w:t>
            </w:r>
          </w:p>
          <w:p w14:paraId="0A677056" w14:textId="0341E54D"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25</w:t>
            </w:r>
            <w:r w:rsidR="00641FB5">
              <w:rPr>
                <w:rFonts w:ascii="Calibri" w:eastAsia="Calibri" w:hAnsi="Calibri" w:cs="Calibri"/>
                <w:b/>
                <w:color w:val="4F81BD"/>
                <w:sz w:val="20"/>
                <w:szCs w:val="20"/>
              </w:rPr>
              <w:t>. Wymagane wskaźniki efektywności społeczno-ekonomicznej</w:t>
            </w:r>
          </w:p>
          <w:tbl>
            <w:tblPr>
              <w:tblStyle w:val="affffff1"/>
              <w:tblW w:w="6219" w:type="dxa"/>
              <w:tblLayout w:type="fixed"/>
              <w:tblLook w:val="0000" w:firstRow="0" w:lastRow="0" w:firstColumn="0" w:lastColumn="0" w:noHBand="0" w:noVBand="0"/>
            </w:tblPr>
            <w:tblGrid>
              <w:gridCol w:w="1670"/>
              <w:gridCol w:w="1145"/>
              <w:gridCol w:w="1144"/>
              <w:gridCol w:w="1145"/>
              <w:gridCol w:w="1115"/>
            </w:tblGrid>
            <w:tr w:rsidR="00600DEE" w14:paraId="75683C6E" w14:textId="77777777" w:rsidTr="00FD10CF">
              <w:trPr>
                <w:trHeight w:hRule="exact" w:val="680"/>
              </w:trPr>
              <w:tc>
                <w:tcPr>
                  <w:tcW w:w="1670" w:type="dxa"/>
                  <w:tcBorders>
                    <w:top w:val="single" w:sz="4" w:space="0" w:color="FFFFFF"/>
                    <w:left w:val="single" w:sz="4" w:space="0" w:color="FFFFFF"/>
                    <w:bottom w:val="single" w:sz="4" w:space="0" w:color="FFFFFF"/>
                  </w:tcBorders>
                  <w:shd w:val="clear" w:color="auto" w:fill="A6A6A6"/>
                  <w:vAlign w:val="center"/>
                </w:tcPr>
                <w:p w14:paraId="3D4D376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Wskaźnik społeczno-ekonomiczny </w:t>
                  </w:r>
                </w:p>
              </w:tc>
              <w:tc>
                <w:tcPr>
                  <w:tcW w:w="1145" w:type="dxa"/>
                  <w:tcBorders>
                    <w:top w:val="single" w:sz="4" w:space="0" w:color="FFFFFF"/>
                    <w:left w:val="single" w:sz="4" w:space="0" w:color="FFFFFF"/>
                    <w:bottom w:val="single" w:sz="4" w:space="0" w:color="FFFFFF"/>
                  </w:tcBorders>
                  <w:shd w:val="clear" w:color="auto" w:fill="A6A6A6"/>
                  <w:vAlign w:val="center"/>
                </w:tcPr>
                <w:p w14:paraId="56546CE6"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W1 </w:t>
                  </w:r>
                </w:p>
              </w:tc>
              <w:tc>
                <w:tcPr>
                  <w:tcW w:w="1144" w:type="dxa"/>
                  <w:tcBorders>
                    <w:top w:val="single" w:sz="4" w:space="0" w:color="FFFFFF"/>
                    <w:left w:val="single" w:sz="4" w:space="0" w:color="FFFFFF"/>
                    <w:bottom w:val="single" w:sz="4" w:space="0" w:color="FFFFFF"/>
                  </w:tcBorders>
                  <w:shd w:val="clear" w:color="auto" w:fill="A6A6A6"/>
                  <w:vAlign w:val="center"/>
                </w:tcPr>
                <w:p w14:paraId="7FE289A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W2 </w:t>
                  </w:r>
                </w:p>
              </w:tc>
              <w:tc>
                <w:tcPr>
                  <w:tcW w:w="1145" w:type="dxa"/>
                  <w:tcBorders>
                    <w:top w:val="single" w:sz="4" w:space="0" w:color="FFFFFF"/>
                    <w:left w:val="single" w:sz="4" w:space="0" w:color="FFFFFF"/>
                    <w:bottom w:val="single" w:sz="4" w:space="0" w:color="FFFFFF"/>
                  </w:tcBorders>
                  <w:shd w:val="clear" w:color="auto" w:fill="A6A6A6"/>
                  <w:vAlign w:val="center"/>
                </w:tcPr>
                <w:p w14:paraId="30C773D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111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EB373A4"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Wn</w:t>
                  </w:r>
                  <w:proofErr w:type="spellEnd"/>
                </w:p>
              </w:tc>
            </w:tr>
            <w:tr w:rsidR="00600DEE" w14:paraId="564AA459" w14:textId="77777777">
              <w:trPr>
                <w:trHeight w:val="238"/>
              </w:trPr>
              <w:tc>
                <w:tcPr>
                  <w:tcW w:w="1670" w:type="dxa"/>
                  <w:tcBorders>
                    <w:left w:val="single" w:sz="4" w:space="0" w:color="FFFFFF"/>
                    <w:bottom w:val="single" w:sz="4" w:space="0" w:color="FFFFFF"/>
                  </w:tcBorders>
                  <w:shd w:val="clear" w:color="auto" w:fill="DBE5F1"/>
                  <w:vAlign w:val="center"/>
                </w:tcPr>
                <w:p w14:paraId="3AE350DB"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ENPV</w:t>
                  </w:r>
                </w:p>
              </w:tc>
              <w:tc>
                <w:tcPr>
                  <w:tcW w:w="1145" w:type="dxa"/>
                  <w:tcBorders>
                    <w:left w:val="single" w:sz="4" w:space="0" w:color="FFFFFF"/>
                    <w:bottom w:val="single" w:sz="4" w:space="0" w:color="FFFFFF"/>
                  </w:tcBorders>
                  <w:shd w:val="clear" w:color="auto" w:fill="DBE5F1"/>
                  <w:vAlign w:val="center"/>
                </w:tcPr>
                <w:p w14:paraId="3DA1B601"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4" w:type="dxa"/>
                  <w:tcBorders>
                    <w:left w:val="single" w:sz="4" w:space="0" w:color="FFFFFF"/>
                    <w:bottom w:val="single" w:sz="4" w:space="0" w:color="FFFFFF"/>
                  </w:tcBorders>
                  <w:shd w:val="clear" w:color="auto" w:fill="DBE5F1"/>
                  <w:vAlign w:val="center"/>
                </w:tcPr>
                <w:p w14:paraId="7FD01309"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5" w:type="dxa"/>
                  <w:tcBorders>
                    <w:left w:val="single" w:sz="4" w:space="0" w:color="FFFFFF"/>
                    <w:bottom w:val="single" w:sz="4" w:space="0" w:color="FFFFFF"/>
                  </w:tcBorders>
                  <w:shd w:val="clear" w:color="auto" w:fill="DBE5F1"/>
                  <w:vAlign w:val="center"/>
                </w:tcPr>
                <w:p w14:paraId="6C7735D4"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15" w:type="dxa"/>
                  <w:tcBorders>
                    <w:left w:val="single" w:sz="4" w:space="0" w:color="FFFFFF"/>
                    <w:bottom w:val="single" w:sz="4" w:space="0" w:color="FFFFFF"/>
                    <w:right w:val="single" w:sz="4" w:space="0" w:color="FFFFFF"/>
                  </w:tcBorders>
                  <w:shd w:val="clear" w:color="auto" w:fill="DBE5F1"/>
                  <w:vAlign w:val="center"/>
                </w:tcPr>
                <w:p w14:paraId="34590612"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r>
            <w:tr w:rsidR="00600DEE" w14:paraId="171E5E50" w14:textId="77777777">
              <w:trPr>
                <w:trHeight w:val="238"/>
              </w:trPr>
              <w:tc>
                <w:tcPr>
                  <w:tcW w:w="1670" w:type="dxa"/>
                  <w:tcBorders>
                    <w:left w:val="single" w:sz="4" w:space="0" w:color="FFFFFF"/>
                    <w:bottom w:val="single" w:sz="4" w:space="0" w:color="FFFFFF"/>
                  </w:tcBorders>
                  <w:shd w:val="clear" w:color="auto" w:fill="DBE5F1"/>
                  <w:vAlign w:val="center"/>
                </w:tcPr>
                <w:p w14:paraId="088FD2F0"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ERR</w:t>
                  </w:r>
                </w:p>
              </w:tc>
              <w:tc>
                <w:tcPr>
                  <w:tcW w:w="1145" w:type="dxa"/>
                  <w:tcBorders>
                    <w:left w:val="single" w:sz="4" w:space="0" w:color="FFFFFF"/>
                    <w:bottom w:val="single" w:sz="4" w:space="0" w:color="FFFFFF"/>
                  </w:tcBorders>
                  <w:shd w:val="clear" w:color="auto" w:fill="DBE5F1"/>
                  <w:vAlign w:val="center"/>
                </w:tcPr>
                <w:p w14:paraId="109BE42F"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4" w:type="dxa"/>
                  <w:tcBorders>
                    <w:left w:val="single" w:sz="4" w:space="0" w:color="FFFFFF"/>
                    <w:bottom w:val="single" w:sz="4" w:space="0" w:color="FFFFFF"/>
                  </w:tcBorders>
                  <w:shd w:val="clear" w:color="auto" w:fill="DBE5F1"/>
                  <w:vAlign w:val="center"/>
                </w:tcPr>
                <w:p w14:paraId="478D8BE2"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5" w:type="dxa"/>
                  <w:tcBorders>
                    <w:left w:val="single" w:sz="4" w:space="0" w:color="FFFFFF"/>
                    <w:bottom w:val="single" w:sz="4" w:space="0" w:color="FFFFFF"/>
                  </w:tcBorders>
                  <w:shd w:val="clear" w:color="auto" w:fill="DBE5F1"/>
                  <w:vAlign w:val="center"/>
                </w:tcPr>
                <w:p w14:paraId="1C3C2868"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15" w:type="dxa"/>
                  <w:tcBorders>
                    <w:left w:val="single" w:sz="4" w:space="0" w:color="FFFFFF"/>
                    <w:bottom w:val="single" w:sz="4" w:space="0" w:color="FFFFFF"/>
                    <w:right w:val="single" w:sz="4" w:space="0" w:color="FFFFFF"/>
                  </w:tcBorders>
                  <w:shd w:val="clear" w:color="auto" w:fill="DBE5F1"/>
                  <w:vAlign w:val="center"/>
                </w:tcPr>
                <w:p w14:paraId="4AE6E650"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r>
            <w:tr w:rsidR="00600DEE" w14:paraId="0F1881A6" w14:textId="77777777">
              <w:trPr>
                <w:trHeight w:val="238"/>
              </w:trPr>
              <w:tc>
                <w:tcPr>
                  <w:tcW w:w="1670" w:type="dxa"/>
                  <w:tcBorders>
                    <w:left w:val="single" w:sz="4" w:space="0" w:color="FFFFFF"/>
                    <w:bottom w:val="single" w:sz="4" w:space="0" w:color="FFFFFF"/>
                  </w:tcBorders>
                  <w:shd w:val="clear" w:color="auto" w:fill="DBE5F1"/>
                  <w:vAlign w:val="center"/>
                </w:tcPr>
                <w:p w14:paraId="0314CEF9"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BCR</w:t>
                  </w:r>
                </w:p>
              </w:tc>
              <w:tc>
                <w:tcPr>
                  <w:tcW w:w="1145" w:type="dxa"/>
                  <w:tcBorders>
                    <w:left w:val="single" w:sz="4" w:space="0" w:color="FFFFFF"/>
                    <w:bottom w:val="single" w:sz="4" w:space="0" w:color="FFFFFF"/>
                  </w:tcBorders>
                  <w:shd w:val="clear" w:color="auto" w:fill="DBE5F1"/>
                  <w:vAlign w:val="center"/>
                </w:tcPr>
                <w:p w14:paraId="5054EADE"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4" w:type="dxa"/>
                  <w:tcBorders>
                    <w:left w:val="single" w:sz="4" w:space="0" w:color="FFFFFF"/>
                    <w:bottom w:val="single" w:sz="4" w:space="0" w:color="FFFFFF"/>
                  </w:tcBorders>
                  <w:shd w:val="clear" w:color="auto" w:fill="DBE5F1"/>
                  <w:vAlign w:val="center"/>
                </w:tcPr>
                <w:p w14:paraId="64C31A45"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5" w:type="dxa"/>
                  <w:tcBorders>
                    <w:left w:val="single" w:sz="4" w:space="0" w:color="FFFFFF"/>
                    <w:bottom w:val="single" w:sz="4" w:space="0" w:color="FFFFFF"/>
                  </w:tcBorders>
                  <w:shd w:val="clear" w:color="auto" w:fill="DBE5F1"/>
                  <w:vAlign w:val="center"/>
                </w:tcPr>
                <w:p w14:paraId="2BD3AED2"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15" w:type="dxa"/>
                  <w:tcBorders>
                    <w:left w:val="single" w:sz="4" w:space="0" w:color="FFFFFF"/>
                    <w:bottom w:val="single" w:sz="4" w:space="0" w:color="FFFFFF"/>
                    <w:right w:val="single" w:sz="4" w:space="0" w:color="FFFFFF"/>
                  </w:tcBorders>
                  <w:shd w:val="clear" w:color="auto" w:fill="DBE5F1"/>
                  <w:vAlign w:val="center"/>
                </w:tcPr>
                <w:p w14:paraId="72E67B63"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r>
          </w:tbl>
          <w:p w14:paraId="3D8D69C6" w14:textId="1A0633AA" w:rsidR="00600DEE" w:rsidRPr="0039454C"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01" w:type="dxa"/>
            <w:tcBorders>
              <w:left w:val="single" w:sz="4" w:space="0" w:color="000000"/>
            </w:tcBorders>
            <w:tcMar>
              <w:left w:w="284" w:type="dxa"/>
              <w:right w:w="284" w:type="dxa"/>
            </w:tcMar>
          </w:tcPr>
          <w:p w14:paraId="751FB3E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Once all project costs and benefits have been quantified and valued in monetary terms, it is necessary to discount the value of net cash flows in each subsequent year of the analysis using the social discount rate. Then, it is necessary to sum up the cash flows of each year and add the project discounted residual value to the last year of the reference period.</w:t>
            </w:r>
          </w:p>
          <w:p w14:paraId="5C45C97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next stage involves the calculation of ENPV, ERR and BCR indicators. </w:t>
            </w:r>
          </w:p>
          <w:p w14:paraId="7C4E893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BCR index should be calculated on the basis of the current values of costs and benefits for the entire analysis period. Savings in costs and residual value should constitute the project benefits, whereas negative external effects and investment expenditures should be included in the project costs.</w:t>
            </w:r>
          </w:p>
          <w:p w14:paraId="6BF2B22F" w14:textId="63BBF66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table below, a presentation format for calculations of the socio-economic performance indicators  is presented.</w:t>
            </w:r>
          </w:p>
          <w:p w14:paraId="3CE89978" w14:textId="77777777" w:rsidR="00FD10CF" w:rsidRPr="0045151D" w:rsidRDefault="00FD10CF" w:rsidP="00FD10CF">
            <w:pPr>
              <w:pBdr>
                <w:top w:val="nil"/>
                <w:left w:val="nil"/>
                <w:bottom w:val="nil"/>
                <w:right w:val="nil"/>
                <w:between w:val="nil"/>
              </w:pBdr>
              <w:jc w:val="both"/>
              <w:rPr>
                <w:rFonts w:ascii="Calibri" w:eastAsia="Calibri" w:hAnsi="Calibri" w:cs="Calibri"/>
                <w:color w:val="000000"/>
                <w:sz w:val="20"/>
                <w:szCs w:val="20"/>
                <w:lang w:val="en-GB"/>
              </w:rPr>
            </w:pPr>
          </w:p>
          <w:p w14:paraId="58AA9FB2" w14:textId="50D4E3EF"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25</w:t>
            </w:r>
            <w:r w:rsidR="00641FB5" w:rsidRPr="0045151D">
              <w:rPr>
                <w:rFonts w:ascii="Calibri" w:eastAsia="Calibri" w:hAnsi="Calibri" w:cs="Calibri"/>
                <w:b/>
                <w:color w:val="4F81BD"/>
                <w:sz w:val="20"/>
                <w:szCs w:val="20"/>
                <w:lang w:val="en-GB"/>
              </w:rPr>
              <w:t>. Required socio-economic performance indicators</w:t>
            </w:r>
          </w:p>
          <w:tbl>
            <w:tblPr>
              <w:tblStyle w:val="affffff2"/>
              <w:tblW w:w="6219" w:type="dxa"/>
              <w:tblLayout w:type="fixed"/>
              <w:tblLook w:val="0000" w:firstRow="0" w:lastRow="0" w:firstColumn="0" w:lastColumn="0" w:noHBand="0" w:noVBand="0"/>
            </w:tblPr>
            <w:tblGrid>
              <w:gridCol w:w="1670"/>
              <w:gridCol w:w="1145"/>
              <w:gridCol w:w="1144"/>
              <w:gridCol w:w="1145"/>
              <w:gridCol w:w="1115"/>
            </w:tblGrid>
            <w:tr w:rsidR="00600DEE" w:rsidRPr="007463B9" w14:paraId="1AB9829B" w14:textId="77777777" w:rsidTr="00FD10CF">
              <w:trPr>
                <w:trHeight w:hRule="exact" w:val="680"/>
              </w:trPr>
              <w:tc>
                <w:tcPr>
                  <w:tcW w:w="1670" w:type="dxa"/>
                  <w:tcBorders>
                    <w:top w:val="single" w:sz="4" w:space="0" w:color="FFFFFF"/>
                    <w:left w:val="single" w:sz="4" w:space="0" w:color="FFFFFF"/>
                    <w:bottom w:val="single" w:sz="4" w:space="0" w:color="FFFFFF"/>
                  </w:tcBorders>
                  <w:shd w:val="clear" w:color="auto" w:fill="A6A6A6"/>
                  <w:vAlign w:val="center"/>
                </w:tcPr>
                <w:p w14:paraId="24BD5BCA"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Socio-economic indicator</w:t>
                  </w:r>
                </w:p>
              </w:tc>
              <w:tc>
                <w:tcPr>
                  <w:tcW w:w="1145" w:type="dxa"/>
                  <w:tcBorders>
                    <w:top w:val="single" w:sz="4" w:space="0" w:color="FFFFFF"/>
                    <w:left w:val="single" w:sz="4" w:space="0" w:color="FFFFFF"/>
                    <w:bottom w:val="single" w:sz="4" w:space="0" w:color="FFFFFF"/>
                  </w:tcBorders>
                  <w:shd w:val="clear" w:color="auto" w:fill="A6A6A6"/>
                  <w:vAlign w:val="center"/>
                </w:tcPr>
                <w:p w14:paraId="0F770BF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W1 </w:t>
                  </w:r>
                </w:p>
              </w:tc>
              <w:tc>
                <w:tcPr>
                  <w:tcW w:w="1144" w:type="dxa"/>
                  <w:tcBorders>
                    <w:top w:val="single" w:sz="4" w:space="0" w:color="FFFFFF"/>
                    <w:left w:val="single" w:sz="4" w:space="0" w:color="FFFFFF"/>
                    <w:bottom w:val="single" w:sz="4" w:space="0" w:color="FFFFFF"/>
                  </w:tcBorders>
                  <w:shd w:val="clear" w:color="auto" w:fill="A6A6A6"/>
                  <w:vAlign w:val="center"/>
                </w:tcPr>
                <w:p w14:paraId="65136D7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W2 </w:t>
                  </w:r>
                </w:p>
              </w:tc>
              <w:tc>
                <w:tcPr>
                  <w:tcW w:w="1145" w:type="dxa"/>
                  <w:tcBorders>
                    <w:top w:val="single" w:sz="4" w:space="0" w:color="FFFFFF"/>
                    <w:left w:val="single" w:sz="4" w:space="0" w:color="FFFFFF"/>
                    <w:bottom w:val="single" w:sz="4" w:space="0" w:color="FFFFFF"/>
                  </w:tcBorders>
                  <w:shd w:val="clear" w:color="auto" w:fill="A6A6A6"/>
                  <w:vAlign w:val="center"/>
                </w:tcPr>
                <w:p w14:paraId="355BE498"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t>
                  </w:r>
                </w:p>
              </w:tc>
              <w:tc>
                <w:tcPr>
                  <w:tcW w:w="111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15D7E0D" w14:textId="77777777" w:rsidR="00600DEE" w:rsidRPr="0045151D" w:rsidRDefault="00641FB5">
                  <w:pPr>
                    <w:jc w:val="center"/>
                    <w:rPr>
                      <w:rFonts w:ascii="Calibri" w:eastAsia="Calibri" w:hAnsi="Calibri" w:cs="Calibri"/>
                      <w:b/>
                      <w:color w:val="FFFFFF"/>
                      <w:sz w:val="18"/>
                      <w:szCs w:val="18"/>
                      <w:lang w:val="en-GB"/>
                    </w:rPr>
                  </w:pPr>
                  <w:proofErr w:type="spellStart"/>
                  <w:r w:rsidRPr="0045151D">
                    <w:rPr>
                      <w:rFonts w:ascii="Calibri" w:eastAsia="Calibri" w:hAnsi="Calibri" w:cs="Calibri"/>
                      <w:b/>
                      <w:color w:val="FFFFFF"/>
                      <w:sz w:val="18"/>
                      <w:szCs w:val="18"/>
                      <w:lang w:val="en-GB"/>
                    </w:rPr>
                    <w:t>Wn</w:t>
                  </w:r>
                  <w:proofErr w:type="spellEnd"/>
                </w:p>
              </w:tc>
            </w:tr>
            <w:tr w:rsidR="00600DEE" w:rsidRPr="007463B9" w14:paraId="0B93776A" w14:textId="77777777">
              <w:trPr>
                <w:trHeight w:val="238"/>
              </w:trPr>
              <w:tc>
                <w:tcPr>
                  <w:tcW w:w="1670" w:type="dxa"/>
                  <w:tcBorders>
                    <w:left w:val="single" w:sz="4" w:space="0" w:color="FFFFFF"/>
                    <w:bottom w:val="single" w:sz="4" w:space="0" w:color="FFFFFF"/>
                  </w:tcBorders>
                  <w:shd w:val="clear" w:color="auto" w:fill="DBE5F1"/>
                  <w:vAlign w:val="center"/>
                </w:tcPr>
                <w:p w14:paraId="59D42B8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ENPV</w:t>
                  </w:r>
                </w:p>
              </w:tc>
              <w:tc>
                <w:tcPr>
                  <w:tcW w:w="1145" w:type="dxa"/>
                  <w:tcBorders>
                    <w:left w:val="single" w:sz="4" w:space="0" w:color="FFFFFF"/>
                    <w:bottom w:val="single" w:sz="4" w:space="0" w:color="FFFFFF"/>
                  </w:tcBorders>
                  <w:shd w:val="clear" w:color="auto" w:fill="DBE5F1"/>
                  <w:vAlign w:val="center"/>
                </w:tcPr>
                <w:p w14:paraId="3B96D53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4" w:type="dxa"/>
                  <w:tcBorders>
                    <w:left w:val="single" w:sz="4" w:space="0" w:color="FFFFFF"/>
                    <w:bottom w:val="single" w:sz="4" w:space="0" w:color="FFFFFF"/>
                  </w:tcBorders>
                  <w:shd w:val="clear" w:color="auto" w:fill="DBE5F1"/>
                  <w:vAlign w:val="center"/>
                </w:tcPr>
                <w:p w14:paraId="247EDD3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5" w:type="dxa"/>
                  <w:tcBorders>
                    <w:left w:val="single" w:sz="4" w:space="0" w:color="FFFFFF"/>
                    <w:bottom w:val="single" w:sz="4" w:space="0" w:color="FFFFFF"/>
                  </w:tcBorders>
                  <w:shd w:val="clear" w:color="auto" w:fill="DBE5F1"/>
                  <w:vAlign w:val="center"/>
                </w:tcPr>
                <w:p w14:paraId="31F9B4A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15" w:type="dxa"/>
                  <w:tcBorders>
                    <w:left w:val="single" w:sz="4" w:space="0" w:color="FFFFFF"/>
                    <w:bottom w:val="single" w:sz="4" w:space="0" w:color="FFFFFF"/>
                    <w:right w:val="single" w:sz="4" w:space="0" w:color="FFFFFF"/>
                  </w:tcBorders>
                  <w:shd w:val="clear" w:color="auto" w:fill="DBE5F1"/>
                  <w:vAlign w:val="center"/>
                </w:tcPr>
                <w:p w14:paraId="5394B93F"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r>
            <w:tr w:rsidR="00600DEE" w:rsidRPr="007463B9" w14:paraId="48EABA28" w14:textId="77777777">
              <w:trPr>
                <w:trHeight w:val="238"/>
              </w:trPr>
              <w:tc>
                <w:tcPr>
                  <w:tcW w:w="1670" w:type="dxa"/>
                  <w:tcBorders>
                    <w:left w:val="single" w:sz="4" w:space="0" w:color="FFFFFF"/>
                    <w:bottom w:val="single" w:sz="4" w:space="0" w:color="FFFFFF"/>
                  </w:tcBorders>
                  <w:shd w:val="clear" w:color="auto" w:fill="DBE5F1"/>
                  <w:vAlign w:val="center"/>
                </w:tcPr>
                <w:p w14:paraId="3358C299"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ERR</w:t>
                  </w:r>
                </w:p>
              </w:tc>
              <w:tc>
                <w:tcPr>
                  <w:tcW w:w="1145" w:type="dxa"/>
                  <w:tcBorders>
                    <w:left w:val="single" w:sz="4" w:space="0" w:color="FFFFFF"/>
                    <w:bottom w:val="single" w:sz="4" w:space="0" w:color="FFFFFF"/>
                  </w:tcBorders>
                  <w:shd w:val="clear" w:color="auto" w:fill="DBE5F1"/>
                  <w:vAlign w:val="center"/>
                </w:tcPr>
                <w:p w14:paraId="6F2E3E0C"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4" w:type="dxa"/>
                  <w:tcBorders>
                    <w:left w:val="single" w:sz="4" w:space="0" w:color="FFFFFF"/>
                    <w:bottom w:val="single" w:sz="4" w:space="0" w:color="FFFFFF"/>
                  </w:tcBorders>
                  <w:shd w:val="clear" w:color="auto" w:fill="DBE5F1"/>
                  <w:vAlign w:val="center"/>
                </w:tcPr>
                <w:p w14:paraId="5C0F43B9"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5" w:type="dxa"/>
                  <w:tcBorders>
                    <w:left w:val="single" w:sz="4" w:space="0" w:color="FFFFFF"/>
                    <w:bottom w:val="single" w:sz="4" w:space="0" w:color="FFFFFF"/>
                  </w:tcBorders>
                  <w:shd w:val="clear" w:color="auto" w:fill="DBE5F1"/>
                  <w:vAlign w:val="center"/>
                </w:tcPr>
                <w:p w14:paraId="50A609A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15" w:type="dxa"/>
                  <w:tcBorders>
                    <w:left w:val="single" w:sz="4" w:space="0" w:color="FFFFFF"/>
                    <w:bottom w:val="single" w:sz="4" w:space="0" w:color="FFFFFF"/>
                    <w:right w:val="single" w:sz="4" w:space="0" w:color="FFFFFF"/>
                  </w:tcBorders>
                  <w:shd w:val="clear" w:color="auto" w:fill="DBE5F1"/>
                  <w:vAlign w:val="center"/>
                </w:tcPr>
                <w:p w14:paraId="0CCDA976"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r>
            <w:tr w:rsidR="00600DEE" w:rsidRPr="007463B9" w14:paraId="227834DC" w14:textId="77777777">
              <w:trPr>
                <w:trHeight w:val="238"/>
              </w:trPr>
              <w:tc>
                <w:tcPr>
                  <w:tcW w:w="1670" w:type="dxa"/>
                  <w:tcBorders>
                    <w:left w:val="single" w:sz="4" w:space="0" w:color="FFFFFF"/>
                    <w:bottom w:val="single" w:sz="4" w:space="0" w:color="FFFFFF"/>
                  </w:tcBorders>
                  <w:shd w:val="clear" w:color="auto" w:fill="DBE5F1"/>
                  <w:vAlign w:val="center"/>
                </w:tcPr>
                <w:p w14:paraId="6FF46366"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BCR</w:t>
                  </w:r>
                </w:p>
              </w:tc>
              <w:tc>
                <w:tcPr>
                  <w:tcW w:w="1145" w:type="dxa"/>
                  <w:tcBorders>
                    <w:left w:val="single" w:sz="4" w:space="0" w:color="FFFFFF"/>
                    <w:bottom w:val="single" w:sz="4" w:space="0" w:color="FFFFFF"/>
                  </w:tcBorders>
                  <w:shd w:val="clear" w:color="auto" w:fill="DBE5F1"/>
                  <w:vAlign w:val="center"/>
                </w:tcPr>
                <w:p w14:paraId="0D963C37"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4" w:type="dxa"/>
                  <w:tcBorders>
                    <w:left w:val="single" w:sz="4" w:space="0" w:color="FFFFFF"/>
                    <w:bottom w:val="single" w:sz="4" w:space="0" w:color="FFFFFF"/>
                  </w:tcBorders>
                  <w:shd w:val="clear" w:color="auto" w:fill="DBE5F1"/>
                  <w:vAlign w:val="center"/>
                </w:tcPr>
                <w:p w14:paraId="5790BCB5"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5" w:type="dxa"/>
                  <w:tcBorders>
                    <w:left w:val="single" w:sz="4" w:space="0" w:color="FFFFFF"/>
                    <w:bottom w:val="single" w:sz="4" w:space="0" w:color="FFFFFF"/>
                  </w:tcBorders>
                  <w:shd w:val="clear" w:color="auto" w:fill="DBE5F1"/>
                  <w:vAlign w:val="center"/>
                </w:tcPr>
                <w:p w14:paraId="66A44478"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15" w:type="dxa"/>
                  <w:tcBorders>
                    <w:left w:val="single" w:sz="4" w:space="0" w:color="FFFFFF"/>
                    <w:bottom w:val="single" w:sz="4" w:space="0" w:color="FFFFFF"/>
                    <w:right w:val="single" w:sz="4" w:space="0" w:color="FFFFFF"/>
                  </w:tcBorders>
                  <w:shd w:val="clear" w:color="auto" w:fill="DBE5F1"/>
                  <w:vAlign w:val="center"/>
                </w:tcPr>
                <w:p w14:paraId="46E38BD5"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r>
          </w:tbl>
          <w:p w14:paraId="6004A941" w14:textId="1229FB14" w:rsidR="0039454C" w:rsidRPr="0045151D" w:rsidRDefault="00641FB5" w:rsidP="0039454C">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tc>
      </w:tr>
    </w:tbl>
    <w:p w14:paraId="4AB08625" w14:textId="77777777" w:rsidR="0039454C" w:rsidRPr="0045151D" w:rsidRDefault="0039454C">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B96967D" w14:textId="77777777" w:rsidR="0039454C" w:rsidRPr="0045151D" w:rsidRDefault="0039454C">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61BEFCED" w14:textId="0BBC928D" w:rsidR="0039454C" w:rsidRPr="0045151D" w:rsidRDefault="0039454C">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5C4EEC55" w14:textId="5ACD7329" w:rsidR="00075E15" w:rsidRPr="0045151D" w:rsidRDefault="00075E15">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6C7D685" w14:textId="0B7D7201" w:rsidR="00075E15" w:rsidRPr="0045151D" w:rsidRDefault="00075E15">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668B40FD" w14:textId="77777777" w:rsidR="00075E15" w:rsidRPr="0045151D" w:rsidRDefault="00075E15">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3C2A11C6" w14:textId="3AB35D79"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26</w:t>
      </w:r>
      <w:r w:rsidR="00641FB5">
        <w:rPr>
          <w:rFonts w:ascii="Calibri" w:eastAsia="Calibri" w:hAnsi="Calibri" w:cs="Calibri"/>
          <w:b/>
          <w:color w:val="4F81BD"/>
          <w:sz w:val="20"/>
          <w:szCs w:val="20"/>
        </w:rPr>
        <w:t>. Proponowana forma prezentacji efektywności projektu [PLN]</w:t>
      </w:r>
    </w:p>
    <w:tbl>
      <w:tblPr>
        <w:tblStyle w:val="affffff3"/>
        <w:tblW w:w="14287" w:type="dxa"/>
        <w:tblInd w:w="108" w:type="dxa"/>
        <w:tblLayout w:type="fixed"/>
        <w:tblLook w:val="0000" w:firstRow="0" w:lastRow="0" w:firstColumn="0" w:lastColumn="0" w:noHBand="0" w:noVBand="0"/>
      </w:tblPr>
      <w:tblGrid>
        <w:gridCol w:w="901"/>
        <w:gridCol w:w="1738"/>
        <w:gridCol w:w="1739"/>
        <w:gridCol w:w="1739"/>
        <w:gridCol w:w="1739"/>
        <w:gridCol w:w="1739"/>
        <w:gridCol w:w="1739"/>
        <w:gridCol w:w="2953"/>
      </w:tblGrid>
      <w:tr w:rsidR="00600DEE" w14:paraId="3799B89A" w14:textId="77777777" w:rsidTr="0039454C">
        <w:trPr>
          <w:trHeight w:val="653"/>
        </w:trPr>
        <w:tc>
          <w:tcPr>
            <w:tcW w:w="1134" w:type="dxa"/>
            <w:tcBorders>
              <w:top w:val="single" w:sz="4" w:space="0" w:color="FFFFFF"/>
              <w:left w:val="single" w:sz="4" w:space="0" w:color="FFFFFF"/>
              <w:bottom w:val="single" w:sz="4" w:space="0" w:color="FFFFFF"/>
            </w:tcBorders>
            <w:shd w:val="clear" w:color="auto" w:fill="A6A6A6"/>
            <w:vAlign w:val="center"/>
          </w:tcPr>
          <w:p w14:paraId="34F8A907" w14:textId="77777777" w:rsidR="00600DEE" w:rsidRDefault="00641FB5">
            <w:pPr>
              <w:ind w:right="113"/>
              <w:jc w:val="center"/>
              <w:rPr>
                <w:rFonts w:ascii="Calibri" w:eastAsia="Calibri" w:hAnsi="Calibri" w:cs="Calibri"/>
                <w:b/>
                <w:color w:val="FFFFFF"/>
                <w:sz w:val="18"/>
                <w:szCs w:val="18"/>
              </w:rPr>
            </w:pPr>
            <w:r>
              <w:rPr>
                <w:rFonts w:ascii="Calibri" w:eastAsia="Calibri" w:hAnsi="Calibri" w:cs="Calibri"/>
                <w:b/>
                <w:color w:val="FFFFFF"/>
                <w:sz w:val="18"/>
                <w:szCs w:val="18"/>
              </w:rPr>
              <w:t>Lata</w:t>
            </w:r>
          </w:p>
        </w:tc>
        <w:tc>
          <w:tcPr>
            <w:tcW w:w="2268" w:type="dxa"/>
            <w:tcBorders>
              <w:top w:val="single" w:sz="4" w:space="0" w:color="FFFFFF"/>
              <w:left w:val="single" w:sz="4" w:space="0" w:color="FFFFFF"/>
              <w:bottom w:val="single" w:sz="4" w:space="0" w:color="FFFFFF"/>
            </w:tcBorders>
            <w:shd w:val="clear" w:color="auto" w:fill="A6A6A6"/>
            <w:vAlign w:val="center"/>
          </w:tcPr>
          <w:p w14:paraId="4279520D" w14:textId="77777777" w:rsidR="00600DEE" w:rsidRDefault="00641FB5">
            <w:pPr>
              <w:jc w:val="center"/>
              <w:rPr>
                <w:rFonts w:ascii="Calibri" w:eastAsia="Calibri" w:hAnsi="Calibri" w:cs="Calibri"/>
                <w:color w:val="FFFFFF"/>
                <w:sz w:val="18"/>
                <w:szCs w:val="18"/>
              </w:rPr>
            </w:pPr>
            <w:r>
              <w:rPr>
                <w:rFonts w:ascii="Calibri" w:eastAsia="Calibri" w:hAnsi="Calibri" w:cs="Calibri"/>
                <w:b/>
                <w:color w:val="FFFFFF"/>
                <w:sz w:val="18"/>
                <w:szCs w:val="18"/>
              </w:rPr>
              <w:t>Skorygowane nakłady inwestycyjne</w:t>
            </w:r>
          </w:p>
        </w:tc>
        <w:tc>
          <w:tcPr>
            <w:tcW w:w="2268" w:type="dxa"/>
            <w:tcBorders>
              <w:top w:val="single" w:sz="4" w:space="0" w:color="FFFFFF"/>
              <w:left w:val="single" w:sz="4" w:space="0" w:color="FFFFFF"/>
              <w:bottom w:val="single" w:sz="4" w:space="0" w:color="FFFFFF"/>
            </w:tcBorders>
            <w:shd w:val="clear" w:color="auto" w:fill="A6A6A6"/>
            <w:vAlign w:val="center"/>
          </w:tcPr>
          <w:p w14:paraId="434D94C3"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Skorygowane koszty operacyjne</w:t>
            </w:r>
          </w:p>
        </w:tc>
        <w:tc>
          <w:tcPr>
            <w:tcW w:w="2268" w:type="dxa"/>
            <w:tcBorders>
              <w:top w:val="single" w:sz="4" w:space="0" w:color="FFFFFF"/>
              <w:left w:val="single" w:sz="4" w:space="0" w:color="FFFFFF"/>
              <w:bottom w:val="single" w:sz="4" w:space="0" w:color="FFFFFF"/>
            </w:tcBorders>
            <w:shd w:val="clear" w:color="auto" w:fill="A6A6A6"/>
            <w:vAlign w:val="center"/>
          </w:tcPr>
          <w:p w14:paraId="1250E717"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Korzyści/koszty </w:t>
            </w:r>
            <w:r>
              <w:rPr>
                <w:rFonts w:ascii="Calibri" w:eastAsia="Calibri" w:hAnsi="Calibri" w:cs="Calibri"/>
                <w:sz w:val="18"/>
                <w:szCs w:val="18"/>
              </w:rPr>
              <w:t xml:space="preserve"> </w:t>
            </w:r>
            <w:r>
              <w:rPr>
                <w:rFonts w:ascii="Calibri" w:eastAsia="Calibri" w:hAnsi="Calibri" w:cs="Calibri"/>
                <w:b/>
                <w:color w:val="FFFFFF"/>
                <w:sz w:val="18"/>
                <w:szCs w:val="18"/>
              </w:rPr>
              <w:t>ekonomiczne projektu</w:t>
            </w:r>
          </w:p>
        </w:tc>
        <w:tc>
          <w:tcPr>
            <w:tcW w:w="2268" w:type="dxa"/>
            <w:tcBorders>
              <w:top w:val="single" w:sz="4" w:space="0" w:color="FFFFFF"/>
              <w:left w:val="single" w:sz="4" w:space="0" w:color="FFFFFF"/>
              <w:bottom w:val="single" w:sz="4" w:space="0" w:color="FFFFFF"/>
            </w:tcBorders>
            <w:shd w:val="clear" w:color="auto" w:fill="A6A6A6"/>
            <w:vAlign w:val="center"/>
          </w:tcPr>
          <w:p w14:paraId="44BE268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Wartość rezydualna </w:t>
            </w:r>
          </w:p>
        </w:tc>
        <w:tc>
          <w:tcPr>
            <w:tcW w:w="2268" w:type="dxa"/>
            <w:tcBorders>
              <w:top w:val="single" w:sz="4" w:space="0" w:color="FFFFFF"/>
              <w:left w:val="single" w:sz="4" w:space="0" w:color="FFFFFF"/>
              <w:bottom w:val="single" w:sz="4" w:space="0" w:color="FFFFFF"/>
            </w:tcBorders>
            <w:shd w:val="clear" w:color="auto" w:fill="A6A6A6"/>
            <w:vAlign w:val="center"/>
          </w:tcPr>
          <w:p w14:paraId="4DDA278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Przepływy  ekonomiczne razem </w:t>
            </w:r>
          </w:p>
        </w:tc>
        <w:tc>
          <w:tcPr>
            <w:tcW w:w="226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52BF968"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Współczynnik dyskonta</w:t>
            </w:r>
          </w:p>
        </w:tc>
        <w:tc>
          <w:tcPr>
            <w:tcW w:w="391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30BD290"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Zdyskontowane przepływy ekonomiczne</w:t>
            </w:r>
          </w:p>
        </w:tc>
      </w:tr>
      <w:tr w:rsidR="00600DEE" w14:paraId="3B2AFDD0"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1F4BC111"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2268" w:type="dxa"/>
            <w:tcBorders>
              <w:top w:val="single" w:sz="4" w:space="0" w:color="FFFFFF"/>
              <w:left w:val="single" w:sz="4" w:space="0" w:color="FFFFFF"/>
              <w:bottom w:val="single" w:sz="4" w:space="0" w:color="FFFFFF"/>
            </w:tcBorders>
            <w:shd w:val="clear" w:color="auto" w:fill="DBE5F1"/>
            <w:vAlign w:val="center"/>
          </w:tcPr>
          <w:p w14:paraId="383A69D7"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2268" w:type="dxa"/>
            <w:tcBorders>
              <w:top w:val="single" w:sz="4" w:space="0" w:color="FFFFFF"/>
              <w:left w:val="single" w:sz="4" w:space="0" w:color="FFFFFF"/>
              <w:bottom w:val="single" w:sz="4" w:space="0" w:color="FFFFFF"/>
            </w:tcBorders>
            <w:shd w:val="clear" w:color="auto" w:fill="DBE5F1"/>
            <w:vAlign w:val="center"/>
          </w:tcPr>
          <w:p w14:paraId="33FB2D94"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3</w:t>
            </w:r>
          </w:p>
        </w:tc>
        <w:tc>
          <w:tcPr>
            <w:tcW w:w="2268" w:type="dxa"/>
            <w:tcBorders>
              <w:top w:val="single" w:sz="4" w:space="0" w:color="FFFFFF"/>
              <w:left w:val="single" w:sz="4" w:space="0" w:color="FFFFFF"/>
              <w:bottom w:val="single" w:sz="4" w:space="0" w:color="FFFFFF"/>
            </w:tcBorders>
            <w:shd w:val="clear" w:color="auto" w:fill="DBE5F1"/>
            <w:vAlign w:val="center"/>
          </w:tcPr>
          <w:p w14:paraId="461063C0"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4</w:t>
            </w:r>
          </w:p>
        </w:tc>
        <w:tc>
          <w:tcPr>
            <w:tcW w:w="2268" w:type="dxa"/>
            <w:tcBorders>
              <w:top w:val="single" w:sz="4" w:space="0" w:color="FFFFFF"/>
              <w:left w:val="single" w:sz="4" w:space="0" w:color="FFFFFF"/>
              <w:bottom w:val="single" w:sz="4" w:space="0" w:color="FFFFFF"/>
            </w:tcBorders>
            <w:shd w:val="clear" w:color="auto" w:fill="DBE5F1"/>
            <w:vAlign w:val="center"/>
          </w:tcPr>
          <w:p w14:paraId="7DCFA68C"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5</w:t>
            </w:r>
          </w:p>
        </w:tc>
        <w:tc>
          <w:tcPr>
            <w:tcW w:w="2268" w:type="dxa"/>
            <w:tcBorders>
              <w:top w:val="single" w:sz="4" w:space="0" w:color="FFFFFF"/>
              <w:left w:val="single" w:sz="4" w:space="0" w:color="FFFFFF"/>
              <w:bottom w:val="single" w:sz="4" w:space="0" w:color="FFFFFF"/>
            </w:tcBorders>
            <w:shd w:val="clear" w:color="auto" w:fill="DBE5F1"/>
            <w:vAlign w:val="center"/>
          </w:tcPr>
          <w:p w14:paraId="223534FC"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6=</w:t>
            </w:r>
          </w:p>
          <w:p w14:paraId="6E3E5F37"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2+3+4+5</w:t>
            </w: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9D7BF9B"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7</w:t>
            </w:r>
          </w:p>
        </w:tc>
        <w:tc>
          <w:tcPr>
            <w:tcW w:w="391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4DE9C9D"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8=6*7</w:t>
            </w:r>
          </w:p>
        </w:tc>
      </w:tr>
      <w:tr w:rsidR="00600DEE" w14:paraId="583B5566"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7B57F90A"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2268" w:type="dxa"/>
            <w:tcBorders>
              <w:top w:val="single" w:sz="4" w:space="0" w:color="FFFFFF"/>
              <w:left w:val="single" w:sz="4" w:space="0" w:color="FFFFFF"/>
              <w:bottom w:val="single" w:sz="4" w:space="0" w:color="FFFFFF"/>
            </w:tcBorders>
            <w:shd w:val="clear" w:color="auto" w:fill="DBE5F1"/>
            <w:vAlign w:val="center"/>
          </w:tcPr>
          <w:p w14:paraId="78F9E4B9"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5C88339"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185ED87B"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09A3B80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68D8D4F7"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16EE670"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768B474D"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1FCF54FB"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774810C7"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2268" w:type="dxa"/>
            <w:tcBorders>
              <w:top w:val="single" w:sz="4" w:space="0" w:color="FFFFFF"/>
              <w:left w:val="single" w:sz="4" w:space="0" w:color="FFFFFF"/>
              <w:bottom w:val="single" w:sz="4" w:space="0" w:color="FFFFFF"/>
            </w:tcBorders>
            <w:shd w:val="clear" w:color="auto" w:fill="DBE5F1"/>
            <w:vAlign w:val="center"/>
          </w:tcPr>
          <w:p w14:paraId="22B8A39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069D205"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16AAD9B1"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336E26E8"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23D75053"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63142EB"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7AE0DEC6"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6D10DF23"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6FFBEF2E"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2268" w:type="dxa"/>
            <w:tcBorders>
              <w:top w:val="single" w:sz="4" w:space="0" w:color="FFFFFF"/>
              <w:left w:val="single" w:sz="4" w:space="0" w:color="FFFFFF"/>
              <w:bottom w:val="single" w:sz="4" w:space="0" w:color="FFFFFF"/>
            </w:tcBorders>
            <w:shd w:val="clear" w:color="auto" w:fill="DBE5F1"/>
            <w:vAlign w:val="center"/>
          </w:tcPr>
          <w:p w14:paraId="2F13BB49"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304B7DD"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070E52A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4B86BC4B"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0AF27658"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2B2D36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7165E50C"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1A445796"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3B4D4391"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2268" w:type="dxa"/>
            <w:tcBorders>
              <w:top w:val="single" w:sz="4" w:space="0" w:color="FFFFFF"/>
              <w:left w:val="single" w:sz="4" w:space="0" w:color="FFFFFF"/>
              <w:bottom w:val="single" w:sz="4" w:space="0" w:color="FFFFFF"/>
            </w:tcBorders>
            <w:shd w:val="clear" w:color="auto" w:fill="DBE5F1"/>
            <w:vAlign w:val="center"/>
          </w:tcPr>
          <w:p w14:paraId="1E25E346"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E8CC6DA"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69B56B8A"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6FEB7ED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386F26E0"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B332E94"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158E9705"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36E52240" w14:textId="77777777" w:rsidTr="0039454C">
        <w:trPr>
          <w:trHeight w:val="160"/>
        </w:trPr>
        <w:tc>
          <w:tcPr>
            <w:tcW w:w="1134" w:type="dxa"/>
            <w:tcBorders>
              <w:top w:val="single" w:sz="4" w:space="0" w:color="FFFFFF"/>
              <w:left w:val="single" w:sz="4" w:space="0" w:color="FFFFFF"/>
              <w:bottom w:val="single" w:sz="4" w:space="0" w:color="FFFFFF"/>
            </w:tcBorders>
            <w:shd w:val="clear" w:color="auto" w:fill="FFFFFF"/>
            <w:vAlign w:val="center"/>
          </w:tcPr>
          <w:p w14:paraId="4AE0D4E2" w14:textId="77777777" w:rsidR="00600DEE" w:rsidRDefault="00600DEE">
            <w:pP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2E53AF34"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5B753435"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3A60B8A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2B99ECD7"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tcPr>
          <w:p w14:paraId="4B1FB0B9"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9CB8107"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ENPV</w:t>
            </w: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2F219886"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37679485" w14:textId="77777777" w:rsidTr="0039454C">
        <w:trPr>
          <w:trHeight w:val="160"/>
        </w:trPr>
        <w:tc>
          <w:tcPr>
            <w:tcW w:w="1134" w:type="dxa"/>
            <w:tcBorders>
              <w:top w:val="single" w:sz="4" w:space="0" w:color="FFFFFF"/>
              <w:left w:val="single" w:sz="4" w:space="0" w:color="FFFFFF"/>
              <w:bottom w:val="single" w:sz="4" w:space="0" w:color="FFFFFF"/>
            </w:tcBorders>
            <w:shd w:val="clear" w:color="auto" w:fill="FFFFFF"/>
            <w:vAlign w:val="center"/>
          </w:tcPr>
          <w:p w14:paraId="0F5FB55D" w14:textId="77777777" w:rsidR="00600DEE" w:rsidRDefault="00600DEE">
            <w:pP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65BD6888"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2E6008A4"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35385040"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4C6B6477"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tcPr>
          <w:p w14:paraId="4EFA126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AA1E0B2"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ERR</w:t>
            </w: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5F360B97"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bl>
    <w:p w14:paraId="1BB9850A" w14:textId="4679E884" w:rsidR="00600DEE" w:rsidRDefault="00641FB5">
      <w:pPr>
        <w:pBdr>
          <w:top w:val="nil"/>
          <w:left w:val="nil"/>
          <w:bottom w:val="nil"/>
          <w:right w:val="nil"/>
          <w:between w:val="nil"/>
        </w:pBdr>
        <w:spacing w:after="120"/>
        <w:jc w:val="both"/>
        <w:rPr>
          <w:rFonts w:ascii="Calibri" w:eastAsia="Calibri" w:hAnsi="Calibri" w:cs="Calibri"/>
          <w:i/>
          <w:color w:val="000000"/>
          <w:sz w:val="20"/>
          <w:szCs w:val="20"/>
        </w:rPr>
      </w:pPr>
      <w:r>
        <w:rPr>
          <w:rFonts w:ascii="Calibri" w:eastAsia="Calibri" w:hAnsi="Calibri" w:cs="Calibri"/>
          <w:i/>
          <w:color w:val="000000"/>
          <w:sz w:val="20"/>
          <w:szCs w:val="20"/>
        </w:rPr>
        <w:t>W Kol. 2 i 3 podaje się wartości ze znakiem (-) (zakładając, że różnica kosztów operacyjnych pomiędzy W0 i </w:t>
      </w:r>
      <w:proofErr w:type="spellStart"/>
      <w:r>
        <w:rPr>
          <w:rFonts w:ascii="Calibri" w:eastAsia="Calibri" w:hAnsi="Calibri" w:cs="Calibri"/>
          <w:i/>
          <w:color w:val="000000"/>
          <w:sz w:val="20"/>
          <w:szCs w:val="20"/>
        </w:rPr>
        <w:t>Wn</w:t>
      </w:r>
      <w:proofErr w:type="spellEnd"/>
      <w:r>
        <w:rPr>
          <w:rFonts w:ascii="Calibri" w:eastAsia="Calibri" w:hAnsi="Calibri" w:cs="Calibri"/>
          <w:i/>
          <w:color w:val="000000"/>
          <w:sz w:val="20"/>
          <w:szCs w:val="20"/>
        </w:rPr>
        <w:t xml:space="preserve"> - jest kosztem; w przypadku, gdy wystąpią oszczędności w kosztach operacyjnych podaje się ze znakiem (+)), obliczone wcześniej i zaprezentowane w Tabeli 2</w:t>
      </w:r>
      <w:r w:rsidR="007463B9">
        <w:rPr>
          <w:rFonts w:ascii="Calibri" w:eastAsia="Calibri" w:hAnsi="Calibri" w:cs="Calibri"/>
          <w:i/>
          <w:color w:val="000000"/>
          <w:sz w:val="20"/>
          <w:szCs w:val="20"/>
        </w:rPr>
        <w:t>4</w:t>
      </w:r>
      <w:r>
        <w:rPr>
          <w:rFonts w:ascii="Calibri" w:eastAsia="Calibri" w:hAnsi="Calibri" w:cs="Calibri"/>
          <w:i/>
          <w:color w:val="000000"/>
          <w:sz w:val="20"/>
          <w:szCs w:val="20"/>
        </w:rPr>
        <w:t>b.</w:t>
      </w:r>
    </w:p>
    <w:p w14:paraId="3731987D" w14:textId="72E19E4C" w:rsidR="00600DEE" w:rsidRDefault="00641FB5">
      <w:pPr>
        <w:pBdr>
          <w:top w:val="nil"/>
          <w:left w:val="nil"/>
          <w:bottom w:val="nil"/>
          <w:right w:val="nil"/>
          <w:between w:val="nil"/>
        </w:pBdr>
        <w:spacing w:after="120"/>
        <w:jc w:val="both"/>
        <w:rPr>
          <w:rFonts w:ascii="Calibri" w:eastAsia="Calibri" w:hAnsi="Calibri" w:cs="Calibri"/>
          <w:i/>
          <w:color w:val="000000"/>
          <w:sz w:val="20"/>
          <w:szCs w:val="20"/>
        </w:rPr>
      </w:pPr>
      <w:r>
        <w:rPr>
          <w:rFonts w:ascii="Calibri" w:eastAsia="Calibri" w:hAnsi="Calibri" w:cs="Calibri"/>
          <w:i/>
          <w:color w:val="000000"/>
          <w:sz w:val="20"/>
          <w:szCs w:val="20"/>
        </w:rPr>
        <w:t>W kol. 4 korzyści ekonomiczne projektu są to roczne wartości wyliczone w oparciu o tabele 2</w:t>
      </w:r>
      <w:r w:rsidR="007463B9">
        <w:rPr>
          <w:rFonts w:ascii="Calibri" w:eastAsia="Calibri" w:hAnsi="Calibri" w:cs="Calibri"/>
          <w:i/>
          <w:color w:val="000000"/>
          <w:sz w:val="20"/>
          <w:szCs w:val="20"/>
        </w:rPr>
        <w:t>4</w:t>
      </w:r>
      <w:r>
        <w:rPr>
          <w:rFonts w:ascii="Calibri" w:eastAsia="Calibri" w:hAnsi="Calibri" w:cs="Calibri"/>
          <w:i/>
          <w:color w:val="000000"/>
          <w:sz w:val="20"/>
          <w:szCs w:val="20"/>
        </w:rPr>
        <w:t>a.</w:t>
      </w:r>
    </w:p>
    <w:p w14:paraId="04B3D4AC" w14:textId="5AAD1622" w:rsidR="00600DEE"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proofErr w:type="spellStart"/>
      <w:r w:rsidRPr="0045151D">
        <w:rPr>
          <w:rFonts w:ascii="Calibri" w:eastAsia="Calibri" w:hAnsi="Calibri" w:cs="Calibri"/>
          <w:b/>
          <w:i/>
          <w:color w:val="000000"/>
          <w:sz w:val="16"/>
          <w:szCs w:val="16"/>
          <w:lang w:val="en-GB"/>
        </w:rPr>
        <w:t>Źródło</w:t>
      </w:r>
      <w:proofErr w:type="spellEnd"/>
      <w:r w:rsidRPr="0045151D">
        <w:rPr>
          <w:rFonts w:ascii="Calibri" w:eastAsia="Calibri" w:hAnsi="Calibri" w:cs="Calibri"/>
          <w:b/>
          <w:i/>
          <w:color w:val="000000"/>
          <w:sz w:val="16"/>
          <w:szCs w:val="16"/>
          <w:lang w:val="en-GB"/>
        </w:rPr>
        <w:t xml:space="preserve">: </w:t>
      </w:r>
      <w:proofErr w:type="spellStart"/>
      <w:r w:rsidRPr="0045151D">
        <w:rPr>
          <w:rFonts w:ascii="Calibri" w:eastAsia="Calibri" w:hAnsi="Calibri" w:cs="Calibri"/>
          <w:b/>
          <w:i/>
          <w:color w:val="000000"/>
          <w:sz w:val="16"/>
          <w:szCs w:val="16"/>
          <w:lang w:val="en-GB"/>
        </w:rPr>
        <w:t>opracowanie</w:t>
      </w:r>
      <w:proofErr w:type="spellEnd"/>
      <w:r w:rsidRPr="0045151D">
        <w:rPr>
          <w:rFonts w:ascii="Calibri" w:eastAsia="Calibri" w:hAnsi="Calibri" w:cs="Calibri"/>
          <w:b/>
          <w:i/>
          <w:color w:val="000000"/>
          <w:sz w:val="16"/>
          <w:szCs w:val="16"/>
          <w:lang w:val="en-GB"/>
        </w:rPr>
        <w:t xml:space="preserve"> </w:t>
      </w:r>
      <w:proofErr w:type="spellStart"/>
      <w:r w:rsidRPr="0045151D">
        <w:rPr>
          <w:rFonts w:ascii="Calibri" w:eastAsia="Calibri" w:hAnsi="Calibri" w:cs="Calibri"/>
          <w:b/>
          <w:i/>
          <w:color w:val="000000"/>
          <w:sz w:val="16"/>
          <w:szCs w:val="16"/>
          <w:lang w:val="en-GB"/>
        </w:rPr>
        <w:t>własne</w:t>
      </w:r>
      <w:proofErr w:type="spellEnd"/>
      <w:r w:rsidRPr="0045151D">
        <w:rPr>
          <w:rFonts w:ascii="Calibri" w:eastAsia="Calibri" w:hAnsi="Calibri" w:cs="Calibri"/>
          <w:b/>
          <w:i/>
          <w:color w:val="000000"/>
          <w:sz w:val="16"/>
          <w:szCs w:val="16"/>
          <w:lang w:val="en-GB"/>
        </w:rPr>
        <w:t>.</w:t>
      </w:r>
    </w:p>
    <w:p w14:paraId="01F2751F" w14:textId="542FD2C1"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26</w:t>
      </w:r>
      <w:r w:rsidR="00641FB5" w:rsidRPr="0045151D">
        <w:rPr>
          <w:rFonts w:ascii="Calibri" w:eastAsia="Calibri" w:hAnsi="Calibri" w:cs="Calibri"/>
          <w:b/>
          <w:color w:val="4F81BD"/>
          <w:sz w:val="20"/>
          <w:szCs w:val="20"/>
          <w:lang w:val="en-GB"/>
        </w:rPr>
        <w:t>. Proposed presentation format of project economic performance [PLN]</w:t>
      </w:r>
    </w:p>
    <w:tbl>
      <w:tblPr>
        <w:tblStyle w:val="affffff4"/>
        <w:tblW w:w="14395" w:type="dxa"/>
        <w:tblLayout w:type="fixed"/>
        <w:tblLook w:val="0000" w:firstRow="0" w:lastRow="0" w:firstColumn="0" w:lastColumn="0" w:noHBand="0" w:noVBand="0"/>
      </w:tblPr>
      <w:tblGrid>
        <w:gridCol w:w="1075"/>
        <w:gridCol w:w="1620"/>
        <w:gridCol w:w="1800"/>
        <w:gridCol w:w="1798"/>
        <w:gridCol w:w="1622"/>
        <w:gridCol w:w="1800"/>
        <w:gridCol w:w="1800"/>
        <w:gridCol w:w="2880"/>
      </w:tblGrid>
      <w:tr w:rsidR="00600DEE" w14:paraId="783BD1AB" w14:textId="77777777" w:rsidTr="0039454C">
        <w:trPr>
          <w:trHeight w:val="675"/>
        </w:trPr>
        <w:tc>
          <w:tcPr>
            <w:tcW w:w="1075" w:type="dxa"/>
            <w:tcBorders>
              <w:top w:val="single" w:sz="4" w:space="0" w:color="FFFFFF"/>
              <w:left w:val="single" w:sz="4" w:space="0" w:color="FFFFFF"/>
              <w:bottom w:val="single" w:sz="4" w:space="0" w:color="FFFFFF"/>
            </w:tcBorders>
            <w:shd w:val="clear" w:color="auto" w:fill="A6A6A6"/>
            <w:vAlign w:val="center"/>
          </w:tcPr>
          <w:p w14:paraId="4D83E74D" w14:textId="77777777" w:rsidR="00600DEE" w:rsidRDefault="00641FB5">
            <w:pPr>
              <w:ind w:right="113"/>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Year</w:t>
            </w:r>
            <w:proofErr w:type="spellEnd"/>
          </w:p>
        </w:tc>
        <w:tc>
          <w:tcPr>
            <w:tcW w:w="1620" w:type="dxa"/>
            <w:tcBorders>
              <w:top w:val="single" w:sz="4" w:space="0" w:color="FFFFFF"/>
              <w:left w:val="single" w:sz="4" w:space="0" w:color="FFFFFF"/>
              <w:bottom w:val="single" w:sz="4" w:space="0" w:color="FFFFFF"/>
            </w:tcBorders>
            <w:shd w:val="clear" w:color="auto" w:fill="A6A6A6"/>
            <w:vAlign w:val="center"/>
          </w:tcPr>
          <w:p w14:paraId="584D41E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Investment</w:t>
            </w:r>
          </w:p>
          <w:p w14:paraId="26E7007C"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Expenditures</w:t>
            </w:r>
            <w:proofErr w:type="spellEnd"/>
          </w:p>
          <w:p w14:paraId="070A514B"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Adjusted</w:t>
            </w:r>
            <w:proofErr w:type="spellEnd"/>
          </w:p>
        </w:tc>
        <w:tc>
          <w:tcPr>
            <w:tcW w:w="1800" w:type="dxa"/>
            <w:tcBorders>
              <w:top w:val="single" w:sz="4" w:space="0" w:color="FFFFFF"/>
              <w:left w:val="single" w:sz="4" w:space="0" w:color="FFFFFF"/>
              <w:bottom w:val="single" w:sz="4" w:space="0" w:color="FFFFFF"/>
            </w:tcBorders>
            <w:shd w:val="clear" w:color="auto" w:fill="A6A6A6"/>
            <w:vAlign w:val="center"/>
          </w:tcPr>
          <w:p w14:paraId="31DD5F3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O&amp;M </w:t>
            </w:r>
            <w:proofErr w:type="spellStart"/>
            <w:r>
              <w:rPr>
                <w:rFonts w:ascii="Calibri" w:eastAsia="Calibri" w:hAnsi="Calibri" w:cs="Calibri"/>
                <w:b/>
                <w:color w:val="FFFFFF"/>
                <w:sz w:val="18"/>
                <w:szCs w:val="18"/>
              </w:rPr>
              <w:t>costs</w:t>
            </w:r>
            <w:proofErr w:type="spellEnd"/>
          </w:p>
          <w:p w14:paraId="149AD14C"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Adjusted</w:t>
            </w:r>
            <w:proofErr w:type="spellEnd"/>
          </w:p>
        </w:tc>
        <w:tc>
          <w:tcPr>
            <w:tcW w:w="1798" w:type="dxa"/>
            <w:tcBorders>
              <w:top w:val="single" w:sz="4" w:space="0" w:color="FFFFFF"/>
              <w:left w:val="single" w:sz="4" w:space="0" w:color="FFFFFF"/>
              <w:bottom w:val="single" w:sz="4" w:space="0" w:color="FFFFFF"/>
            </w:tcBorders>
            <w:shd w:val="clear" w:color="auto" w:fill="A6A6A6"/>
            <w:vAlign w:val="center"/>
          </w:tcPr>
          <w:p w14:paraId="125BFDF2"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Project  </w:t>
            </w:r>
            <w:proofErr w:type="spellStart"/>
            <w:r>
              <w:rPr>
                <w:rFonts w:ascii="Calibri" w:eastAsia="Calibri" w:hAnsi="Calibri" w:cs="Calibri"/>
                <w:b/>
                <w:color w:val="FFFFFF"/>
                <w:sz w:val="18"/>
                <w:szCs w:val="18"/>
              </w:rPr>
              <w:t>economic</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benefits</w:t>
            </w:r>
            <w:proofErr w:type="spellEnd"/>
            <w:r>
              <w:rPr>
                <w:rFonts w:ascii="Calibri" w:eastAsia="Calibri" w:hAnsi="Calibri" w:cs="Calibri"/>
                <w:b/>
                <w:color w:val="FFFFFF"/>
                <w:sz w:val="18"/>
                <w:szCs w:val="18"/>
              </w:rPr>
              <w:t>/</w:t>
            </w:r>
            <w:proofErr w:type="spellStart"/>
            <w:r>
              <w:rPr>
                <w:rFonts w:ascii="Calibri" w:eastAsia="Calibri" w:hAnsi="Calibri" w:cs="Calibri"/>
                <w:b/>
                <w:color w:val="FFFFFF"/>
                <w:sz w:val="18"/>
                <w:szCs w:val="18"/>
              </w:rPr>
              <w:t>costs</w:t>
            </w:r>
            <w:proofErr w:type="spellEnd"/>
          </w:p>
        </w:tc>
        <w:tc>
          <w:tcPr>
            <w:tcW w:w="1622"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E29DC44"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Residual</w:t>
            </w:r>
            <w:proofErr w:type="spellEnd"/>
            <w:r>
              <w:rPr>
                <w:rFonts w:ascii="Calibri" w:eastAsia="Calibri" w:hAnsi="Calibri" w:cs="Calibri"/>
                <w:b/>
                <w:color w:val="FFFFFF"/>
                <w:sz w:val="18"/>
                <w:szCs w:val="18"/>
              </w:rPr>
              <w:t xml:space="preserve"> Value </w:t>
            </w:r>
          </w:p>
        </w:tc>
        <w:tc>
          <w:tcPr>
            <w:tcW w:w="1800" w:type="dxa"/>
            <w:tcBorders>
              <w:top w:val="single" w:sz="4" w:space="0" w:color="FFFFFF"/>
              <w:left w:val="single" w:sz="4" w:space="0" w:color="FFFFFF"/>
              <w:bottom w:val="single" w:sz="4" w:space="0" w:color="FFFFFF"/>
            </w:tcBorders>
            <w:shd w:val="clear" w:color="auto" w:fill="A6A6A6"/>
            <w:vAlign w:val="center"/>
          </w:tcPr>
          <w:p w14:paraId="56F4151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Total </w:t>
            </w:r>
            <w:proofErr w:type="spellStart"/>
            <w:r>
              <w:rPr>
                <w:rFonts w:ascii="Calibri" w:eastAsia="Calibri" w:hAnsi="Calibri" w:cs="Calibri"/>
                <w:b/>
                <w:color w:val="FFFFFF"/>
                <w:sz w:val="18"/>
                <w:szCs w:val="18"/>
              </w:rPr>
              <w:t>economic</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flows</w:t>
            </w:r>
            <w:proofErr w:type="spellEnd"/>
          </w:p>
          <w:p w14:paraId="6CDACF7A" w14:textId="77777777" w:rsidR="00600DEE" w:rsidRDefault="00600DEE">
            <w:pPr>
              <w:jc w:val="center"/>
              <w:rPr>
                <w:rFonts w:ascii="Calibri" w:eastAsia="Calibri" w:hAnsi="Calibri" w:cs="Calibri"/>
                <w:b/>
                <w:color w:val="FFFFFF"/>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1566246"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Discount </w:t>
            </w:r>
            <w:proofErr w:type="spellStart"/>
            <w:r>
              <w:rPr>
                <w:rFonts w:ascii="Calibri" w:eastAsia="Calibri" w:hAnsi="Calibri" w:cs="Calibri"/>
                <w:b/>
                <w:color w:val="FFFFFF"/>
                <w:sz w:val="18"/>
                <w:szCs w:val="18"/>
              </w:rPr>
              <w:t>factor</w:t>
            </w:r>
            <w:proofErr w:type="spellEnd"/>
          </w:p>
        </w:tc>
        <w:tc>
          <w:tcPr>
            <w:tcW w:w="28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A04E116"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Discounted</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Economic</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flows</w:t>
            </w:r>
            <w:proofErr w:type="spellEnd"/>
          </w:p>
        </w:tc>
      </w:tr>
      <w:tr w:rsidR="00600DEE" w14:paraId="46D00D93"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29E794AB"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20" w:type="dxa"/>
            <w:tcBorders>
              <w:top w:val="single" w:sz="4" w:space="0" w:color="FFFFFF"/>
              <w:left w:val="single" w:sz="4" w:space="0" w:color="FFFFFF"/>
              <w:bottom w:val="single" w:sz="4" w:space="0" w:color="FFFFFF"/>
            </w:tcBorders>
            <w:shd w:val="clear" w:color="auto" w:fill="DBE5F1"/>
            <w:vAlign w:val="center"/>
          </w:tcPr>
          <w:p w14:paraId="343F2E3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w:t>
            </w:r>
          </w:p>
        </w:tc>
        <w:tc>
          <w:tcPr>
            <w:tcW w:w="1800" w:type="dxa"/>
            <w:tcBorders>
              <w:top w:val="single" w:sz="4" w:space="0" w:color="FFFFFF"/>
              <w:left w:val="single" w:sz="4" w:space="0" w:color="FFFFFF"/>
              <w:bottom w:val="single" w:sz="4" w:space="0" w:color="FFFFFF"/>
            </w:tcBorders>
            <w:shd w:val="clear" w:color="auto" w:fill="DBE5F1"/>
            <w:vAlign w:val="center"/>
          </w:tcPr>
          <w:p w14:paraId="76DD333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w:t>
            </w:r>
          </w:p>
        </w:tc>
        <w:tc>
          <w:tcPr>
            <w:tcW w:w="1798" w:type="dxa"/>
            <w:tcBorders>
              <w:top w:val="single" w:sz="4" w:space="0" w:color="FFFFFF"/>
              <w:left w:val="single" w:sz="4" w:space="0" w:color="FFFFFF"/>
              <w:bottom w:val="single" w:sz="4" w:space="0" w:color="FFFFFF"/>
            </w:tcBorders>
            <w:shd w:val="clear" w:color="auto" w:fill="DBE5F1"/>
            <w:vAlign w:val="center"/>
          </w:tcPr>
          <w:p w14:paraId="1F01F3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w:t>
            </w:r>
          </w:p>
        </w:tc>
        <w:tc>
          <w:tcPr>
            <w:tcW w:w="162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8F9D6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w:t>
            </w:r>
          </w:p>
        </w:tc>
        <w:tc>
          <w:tcPr>
            <w:tcW w:w="1800" w:type="dxa"/>
            <w:tcBorders>
              <w:top w:val="single" w:sz="4" w:space="0" w:color="FFFFFF"/>
              <w:left w:val="single" w:sz="4" w:space="0" w:color="FFFFFF"/>
              <w:bottom w:val="single" w:sz="4" w:space="0" w:color="FFFFFF"/>
            </w:tcBorders>
            <w:shd w:val="clear" w:color="auto" w:fill="DBE5F1"/>
            <w:vAlign w:val="center"/>
          </w:tcPr>
          <w:p w14:paraId="13B612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w:t>
            </w:r>
          </w:p>
          <w:p w14:paraId="4B0081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2+3+4+5</w:t>
            </w: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D6CA50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7</w:t>
            </w:r>
          </w:p>
        </w:tc>
        <w:tc>
          <w:tcPr>
            <w:tcW w:w="288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042A1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8=6*7</w:t>
            </w:r>
          </w:p>
        </w:tc>
      </w:tr>
      <w:tr w:rsidR="00600DEE" w14:paraId="760E04DD"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36A58A0F"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20" w:type="dxa"/>
            <w:tcBorders>
              <w:top w:val="single" w:sz="4" w:space="0" w:color="FFFFFF"/>
              <w:left w:val="single" w:sz="4" w:space="0" w:color="FFFFFF"/>
              <w:bottom w:val="single" w:sz="4" w:space="0" w:color="FFFFFF"/>
            </w:tcBorders>
            <w:shd w:val="clear" w:color="auto" w:fill="DBE5F1"/>
            <w:vAlign w:val="center"/>
          </w:tcPr>
          <w:p w14:paraId="07AE2A22"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3F93152C"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08A00304"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7DA0759C"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0FCCD49D"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0055716"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27EACED8"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7B944C96"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12DD8EAB"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1620" w:type="dxa"/>
            <w:tcBorders>
              <w:top w:val="single" w:sz="4" w:space="0" w:color="FFFFFF"/>
              <w:left w:val="single" w:sz="4" w:space="0" w:color="FFFFFF"/>
              <w:bottom w:val="single" w:sz="4" w:space="0" w:color="FFFFFF"/>
            </w:tcBorders>
            <w:shd w:val="clear" w:color="auto" w:fill="DBE5F1"/>
            <w:vAlign w:val="center"/>
          </w:tcPr>
          <w:p w14:paraId="58B6FDAD"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7F2EC197"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3FC5C5B3"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213E4A02"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6DA9EA5E"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A910878"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18FEA1DD"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4A1F9436"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034B0444"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1620" w:type="dxa"/>
            <w:tcBorders>
              <w:top w:val="single" w:sz="4" w:space="0" w:color="FFFFFF"/>
              <w:left w:val="single" w:sz="4" w:space="0" w:color="FFFFFF"/>
              <w:bottom w:val="single" w:sz="4" w:space="0" w:color="FFFFFF"/>
            </w:tcBorders>
            <w:shd w:val="clear" w:color="auto" w:fill="DBE5F1"/>
            <w:vAlign w:val="center"/>
          </w:tcPr>
          <w:p w14:paraId="6FEF5C39"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4CB1E767"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60072C2A"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0E36279E"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4E9AA281"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D58FAF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79A1AABA"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24585ECF"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3885B229"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1620" w:type="dxa"/>
            <w:tcBorders>
              <w:top w:val="single" w:sz="4" w:space="0" w:color="FFFFFF"/>
              <w:left w:val="single" w:sz="4" w:space="0" w:color="FFFFFF"/>
              <w:bottom w:val="single" w:sz="4" w:space="0" w:color="FFFFFF"/>
            </w:tcBorders>
            <w:shd w:val="clear" w:color="auto" w:fill="DBE5F1"/>
            <w:vAlign w:val="center"/>
          </w:tcPr>
          <w:p w14:paraId="7C10A0DD"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24F8338D"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60DE6609"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4EFD61DA"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699FC853"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1D51A14"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575649C1"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31E7F81C" w14:textId="77777777" w:rsidTr="0039454C">
        <w:trPr>
          <w:trHeight w:val="141"/>
        </w:trPr>
        <w:tc>
          <w:tcPr>
            <w:tcW w:w="1075" w:type="dxa"/>
            <w:tcBorders>
              <w:top w:val="single" w:sz="4" w:space="0" w:color="FFFFFF"/>
              <w:left w:val="single" w:sz="4" w:space="0" w:color="FFFFFF"/>
              <w:bottom w:val="single" w:sz="4" w:space="0" w:color="FFFFFF"/>
            </w:tcBorders>
            <w:shd w:val="clear" w:color="auto" w:fill="FFFFFF"/>
            <w:vAlign w:val="center"/>
          </w:tcPr>
          <w:p w14:paraId="6D3A020A" w14:textId="77777777" w:rsidR="00600DEE" w:rsidRDefault="00600DEE">
            <w:pPr>
              <w:jc w:val="center"/>
              <w:rPr>
                <w:rFonts w:ascii="Calibri" w:eastAsia="Calibri" w:hAnsi="Calibri" w:cs="Calibri"/>
                <w:b/>
                <w:color w:val="4F81BD"/>
                <w:sz w:val="18"/>
                <w:szCs w:val="18"/>
              </w:rPr>
            </w:pPr>
          </w:p>
        </w:tc>
        <w:tc>
          <w:tcPr>
            <w:tcW w:w="1620" w:type="dxa"/>
            <w:tcBorders>
              <w:top w:val="single" w:sz="4" w:space="0" w:color="FFFFFF"/>
              <w:left w:val="single" w:sz="4" w:space="0" w:color="FFFFFF"/>
              <w:bottom w:val="single" w:sz="4" w:space="0" w:color="FFFFFF"/>
            </w:tcBorders>
            <w:shd w:val="clear" w:color="auto" w:fill="FFFFFF"/>
            <w:vAlign w:val="center"/>
          </w:tcPr>
          <w:p w14:paraId="656D277A"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27905840"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FFFFFF"/>
            <w:vAlign w:val="center"/>
          </w:tcPr>
          <w:p w14:paraId="67965C6D"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FFFFFF"/>
          </w:tcPr>
          <w:p w14:paraId="0E649EE3"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45302369"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CB4EC8"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ENPV</w:t>
            </w: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2C9A2E1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5D8E0D33" w14:textId="77777777" w:rsidTr="0039454C">
        <w:trPr>
          <w:trHeight w:val="109"/>
        </w:trPr>
        <w:tc>
          <w:tcPr>
            <w:tcW w:w="1075" w:type="dxa"/>
            <w:tcBorders>
              <w:top w:val="single" w:sz="4" w:space="0" w:color="FFFFFF"/>
              <w:left w:val="single" w:sz="4" w:space="0" w:color="FFFFFF"/>
              <w:bottom w:val="single" w:sz="4" w:space="0" w:color="FFFFFF"/>
            </w:tcBorders>
            <w:shd w:val="clear" w:color="auto" w:fill="FFFFFF"/>
            <w:vAlign w:val="center"/>
          </w:tcPr>
          <w:p w14:paraId="2B262164" w14:textId="77777777" w:rsidR="00600DEE" w:rsidRDefault="00600DEE">
            <w:pPr>
              <w:jc w:val="center"/>
              <w:rPr>
                <w:rFonts w:ascii="Calibri" w:eastAsia="Calibri" w:hAnsi="Calibri" w:cs="Calibri"/>
                <w:b/>
                <w:color w:val="4F81BD"/>
                <w:sz w:val="18"/>
                <w:szCs w:val="18"/>
              </w:rPr>
            </w:pPr>
          </w:p>
        </w:tc>
        <w:tc>
          <w:tcPr>
            <w:tcW w:w="1620" w:type="dxa"/>
            <w:tcBorders>
              <w:top w:val="single" w:sz="4" w:space="0" w:color="FFFFFF"/>
              <w:left w:val="single" w:sz="4" w:space="0" w:color="FFFFFF"/>
              <w:bottom w:val="single" w:sz="4" w:space="0" w:color="FFFFFF"/>
            </w:tcBorders>
            <w:shd w:val="clear" w:color="auto" w:fill="FFFFFF"/>
            <w:vAlign w:val="center"/>
          </w:tcPr>
          <w:p w14:paraId="70DBBD49"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38F9900F"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FFFFFF"/>
            <w:vAlign w:val="center"/>
          </w:tcPr>
          <w:p w14:paraId="591850B6"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FFFFFF"/>
          </w:tcPr>
          <w:p w14:paraId="14DD37FA"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05B92DD7"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C20578A"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ERR</w:t>
            </w: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6FCB1914"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bl>
    <w:p w14:paraId="2D9D3DF6" w14:textId="7CBB0333" w:rsidR="00600DEE" w:rsidRPr="0045151D" w:rsidRDefault="00641FB5">
      <w:pPr>
        <w:pBdr>
          <w:top w:val="nil"/>
          <w:left w:val="nil"/>
          <w:bottom w:val="nil"/>
          <w:right w:val="nil"/>
          <w:between w:val="nil"/>
        </w:pBdr>
        <w:spacing w:after="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 xml:space="preserve">In columns 2 and 3 values are quoted with sign (-) (assuming that incremental value—from W0 to </w:t>
      </w:r>
      <w:proofErr w:type="spellStart"/>
      <w:r w:rsidRPr="0045151D">
        <w:rPr>
          <w:rFonts w:ascii="Calibri" w:eastAsia="Calibri" w:hAnsi="Calibri" w:cs="Calibri"/>
          <w:i/>
          <w:color w:val="000000"/>
          <w:sz w:val="20"/>
          <w:szCs w:val="20"/>
          <w:lang w:val="en-GB"/>
        </w:rPr>
        <w:t>Wn</w:t>
      </w:r>
      <w:proofErr w:type="spellEnd"/>
      <w:r w:rsidRPr="0045151D">
        <w:rPr>
          <w:rFonts w:ascii="Calibri" w:eastAsia="Calibri" w:hAnsi="Calibri" w:cs="Calibri"/>
          <w:i/>
          <w:color w:val="000000"/>
          <w:sz w:val="20"/>
          <w:szCs w:val="20"/>
          <w:lang w:val="en-GB"/>
        </w:rPr>
        <w:t>—of O&amp;M expenditures represents a cost; in the case that there are O&amp;M costs savings, this would be (+)), adjusted as described earlier and presented in Table 2</w:t>
      </w:r>
      <w:r w:rsidR="007463B9">
        <w:rPr>
          <w:rFonts w:ascii="Calibri" w:eastAsia="Calibri" w:hAnsi="Calibri" w:cs="Calibri"/>
          <w:i/>
          <w:color w:val="000000"/>
          <w:sz w:val="20"/>
          <w:szCs w:val="20"/>
          <w:lang w:val="en-GB"/>
        </w:rPr>
        <w:t>4</w:t>
      </w:r>
      <w:r w:rsidRPr="0045151D">
        <w:rPr>
          <w:rFonts w:ascii="Calibri" w:eastAsia="Calibri" w:hAnsi="Calibri" w:cs="Calibri"/>
          <w:i/>
          <w:color w:val="000000"/>
          <w:sz w:val="20"/>
          <w:szCs w:val="20"/>
          <w:lang w:val="en-GB"/>
        </w:rPr>
        <w:t>b.</w:t>
      </w:r>
    </w:p>
    <w:p w14:paraId="045ED772" w14:textId="2329FE19" w:rsidR="00600DEE" w:rsidRPr="0045151D" w:rsidRDefault="00641FB5">
      <w:pPr>
        <w:pBdr>
          <w:top w:val="nil"/>
          <w:left w:val="nil"/>
          <w:bottom w:val="nil"/>
          <w:right w:val="nil"/>
          <w:between w:val="nil"/>
        </w:pBdr>
        <w:spacing w:after="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In column 4, project economic benefits are the yearly total amounts calculated in table 2</w:t>
      </w:r>
      <w:r w:rsidR="007463B9">
        <w:rPr>
          <w:rFonts w:ascii="Calibri" w:eastAsia="Calibri" w:hAnsi="Calibri" w:cs="Calibri"/>
          <w:i/>
          <w:color w:val="000000"/>
          <w:sz w:val="20"/>
          <w:szCs w:val="20"/>
          <w:lang w:val="en-GB"/>
        </w:rPr>
        <w:t>4</w:t>
      </w:r>
      <w:r w:rsidRPr="0045151D">
        <w:rPr>
          <w:rFonts w:ascii="Calibri" w:eastAsia="Calibri" w:hAnsi="Calibri" w:cs="Calibri"/>
          <w:i/>
          <w:color w:val="000000"/>
          <w:sz w:val="20"/>
          <w:szCs w:val="20"/>
          <w:lang w:val="en-GB"/>
        </w:rPr>
        <w:t>a.</w:t>
      </w:r>
    </w:p>
    <w:p w14:paraId="457BD20F" w14:textId="02FFF44B"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 xml:space="preserve">Source: </w:t>
      </w:r>
      <w:proofErr w:type="spellStart"/>
      <w:r>
        <w:rPr>
          <w:rFonts w:ascii="Calibri" w:eastAsia="Calibri" w:hAnsi="Calibri" w:cs="Calibri"/>
          <w:b/>
          <w:i/>
          <w:color w:val="000000"/>
          <w:sz w:val="16"/>
          <w:szCs w:val="16"/>
        </w:rPr>
        <w:t>proprietary</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work</w:t>
      </w:r>
      <w:proofErr w:type="spellEnd"/>
      <w:r>
        <w:rPr>
          <w:rFonts w:ascii="Calibri" w:eastAsia="Calibri" w:hAnsi="Calibri" w:cs="Calibri"/>
          <w:b/>
          <w:i/>
          <w:color w:val="000000"/>
          <w:sz w:val="16"/>
          <w:szCs w:val="16"/>
        </w:rPr>
        <w:t>.</w:t>
      </w:r>
    </w:p>
    <w:p w14:paraId="304B8D4E" w14:textId="5D78BBAF" w:rsidR="00FD10CF" w:rsidRDefault="00FD10CF">
      <w:pPr>
        <w:pBdr>
          <w:top w:val="nil"/>
          <w:left w:val="nil"/>
          <w:bottom w:val="nil"/>
          <w:right w:val="nil"/>
          <w:between w:val="nil"/>
        </w:pBdr>
        <w:spacing w:before="120"/>
        <w:jc w:val="both"/>
        <w:rPr>
          <w:rFonts w:ascii="Calibri" w:eastAsia="Calibri" w:hAnsi="Calibri" w:cs="Calibri"/>
          <w:b/>
          <w:i/>
          <w:color w:val="000000"/>
          <w:sz w:val="16"/>
          <w:szCs w:val="16"/>
        </w:rPr>
      </w:pPr>
    </w:p>
    <w:p w14:paraId="7BC50AF4" w14:textId="77777777" w:rsidR="00FD10CF" w:rsidRDefault="00FD10CF">
      <w:pPr>
        <w:pBdr>
          <w:top w:val="nil"/>
          <w:left w:val="nil"/>
          <w:bottom w:val="nil"/>
          <w:right w:val="nil"/>
          <w:between w:val="nil"/>
        </w:pBdr>
        <w:spacing w:before="120"/>
        <w:jc w:val="both"/>
        <w:rPr>
          <w:rFonts w:ascii="Calibri" w:eastAsia="Calibri" w:hAnsi="Calibri" w:cs="Calibri"/>
          <w:color w:val="000000"/>
          <w:sz w:val="20"/>
          <w:szCs w:val="20"/>
        </w:rPr>
      </w:pPr>
    </w:p>
    <w:tbl>
      <w:tblPr>
        <w:tblStyle w:val="affffff5"/>
        <w:tblW w:w="14571" w:type="dxa"/>
        <w:tblLayout w:type="fixed"/>
        <w:tblLook w:val="0400" w:firstRow="0" w:lastRow="0" w:firstColumn="0" w:lastColumn="0" w:noHBand="0" w:noVBand="1"/>
      </w:tblPr>
      <w:tblGrid>
        <w:gridCol w:w="7370"/>
        <w:gridCol w:w="7201"/>
      </w:tblGrid>
      <w:tr w:rsidR="00600DEE" w:rsidRPr="007463B9" w14:paraId="264F2B6D" w14:textId="77777777">
        <w:tc>
          <w:tcPr>
            <w:tcW w:w="7370" w:type="dxa"/>
            <w:tcBorders>
              <w:right w:val="single" w:sz="4" w:space="0" w:color="000000"/>
            </w:tcBorders>
            <w:tcMar>
              <w:left w:w="284" w:type="dxa"/>
              <w:right w:w="284" w:type="dxa"/>
            </w:tcMar>
          </w:tcPr>
          <w:p w14:paraId="3A365248" w14:textId="3E398E0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Na zakończenie analizy społeczno-ekonomicznej zaleca się sporządzenie krótkiego podsumowania, które m.in. odnosiłoby się do zakładanych celów projektu określonych wcześniej (np. cel związany z zamiarem zredukowania czasu podróży powinien zostać potwierdzony w ramach AKK). Po obliczeniu trzech podstawowych wskaźników efektywności ekonomicznej należy dołączyć komentarz w formie interpretacji wyników.</w:t>
            </w:r>
          </w:p>
          <w:p w14:paraId="50FF5CE9" w14:textId="148D5BC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Korzyści ekonomiczne generowane przez projekt (oszczędności kosztów eksploatacji pojazdów, kosztów czasu, wypadków i środowiska – tych wykazujących korzyść) należy wyr</w:t>
            </w:r>
            <w:r w:rsidR="007463B9">
              <w:rPr>
                <w:rFonts w:ascii="Calibri" w:eastAsia="Calibri" w:hAnsi="Calibri" w:cs="Calibri"/>
                <w:color w:val="000000"/>
                <w:sz w:val="20"/>
                <w:szCs w:val="20"/>
              </w:rPr>
              <w:t>azić procentowo (patrz tabela 24</w:t>
            </w:r>
            <w:r>
              <w:rPr>
                <w:rFonts w:ascii="Calibri" w:eastAsia="Calibri" w:hAnsi="Calibri" w:cs="Calibri"/>
                <w:color w:val="000000"/>
                <w:sz w:val="20"/>
                <w:szCs w:val="20"/>
              </w:rPr>
              <w:t>b powyżej).  Składniki o największym udziale w korzyściach generowanych przez projekt należy odpowiednio w</w:t>
            </w:r>
            <w:r w:rsidR="007463B9">
              <w:rPr>
                <w:rFonts w:ascii="Calibri" w:eastAsia="Calibri" w:hAnsi="Calibri" w:cs="Calibri"/>
                <w:color w:val="000000"/>
                <w:sz w:val="20"/>
                <w:szCs w:val="20"/>
              </w:rPr>
              <w:t>yeksponować (zgodnie z tabelą 24</w:t>
            </w:r>
            <w:r>
              <w:rPr>
                <w:rFonts w:ascii="Calibri" w:eastAsia="Calibri" w:hAnsi="Calibri" w:cs="Calibri"/>
                <w:color w:val="000000"/>
                <w:sz w:val="20"/>
                <w:szCs w:val="20"/>
              </w:rPr>
              <w:t>b).</w:t>
            </w:r>
          </w:p>
        </w:tc>
        <w:tc>
          <w:tcPr>
            <w:tcW w:w="7201" w:type="dxa"/>
            <w:tcBorders>
              <w:left w:val="single" w:sz="4" w:space="0" w:color="000000"/>
            </w:tcBorders>
            <w:tcMar>
              <w:left w:w="284" w:type="dxa"/>
              <w:right w:w="284" w:type="dxa"/>
            </w:tcMar>
          </w:tcPr>
          <w:p w14:paraId="6F9C3ECB" w14:textId="495CD2C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At the end of the socio-economic analysis, it is recommended to present a short summary providing a link to project objectives defined at the beginning (e.g. if the objective is a reduction of travel time, then this should be confirmed within the CBA). Apart from the calculation of three basic economic performance indicators, it is recommended that they are accompanied by comments, in the form of results interpretation.</w:t>
            </w:r>
          </w:p>
          <w:p w14:paraId="5821DE04" w14:textId="0A0A22BF"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benefits generated by the project (vehicle operating costs savings, time savings, road accidents savings and all related environment costs savings – those constituting a benefit) should be presen</w:t>
            </w:r>
            <w:r w:rsidR="007463B9">
              <w:rPr>
                <w:rFonts w:ascii="Calibri" w:eastAsia="Calibri" w:hAnsi="Calibri" w:cs="Calibri"/>
                <w:color w:val="000000"/>
                <w:sz w:val="20"/>
                <w:szCs w:val="20"/>
                <w:lang w:val="en-GB"/>
              </w:rPr>
              <w:t>ted in percentages (see table 24</w:t>
            </w:r>
            <w:r w:rsidRPr="0045151D">
              <w:rPr>
                <w:rFonts w:ascii="Calibri" w:eastAsia="Calibri" w:hAnsi="Calibri" w:cs="Calibri"/>
                <w:color w:val="000000"/>
                <w:sz w:val="20"/>
                <w:szCs w:val="20"/>
                <w:lang w:val="en-GB"/>
              </w:rPr>
              <w:t>b above). Project economic benefits components generating the greatest share should be d</w:t>
            </w:r>
            <w:r w:rsidR="007463B9">
              <w:rPr>
                <w:rFonts w:ascii="Calibri" w:eastAsia="Calibri" w:hAnsi="Calibri" w:cs="Calibri"/>
                <w:color w:val="000000"/>
                <w:sz w:val="20"/>
                <w:szCs w:val="20"/>
                <w:lang w:val="en-GB"/>
              </w:rPr>
              <w:t>uly highlighted (as per table 24</w:t>
            </w:r>
            <w:r w:rsidRPr="0045151D">
              <w:rPr>
                <w:rFonts w:ascii="Calibri" w:eastAsia="Calibri" w:hAnsi="Calibri" w:cs="Calibri"/>
                <w:color w:val="000000"/>
                <w:sz w:val="20"/>
                <w:szCs w:val="20"/>
                <w:lang w:val="en-GB"/>
              </w:rPr>
              <w:t>b above).</w:t>
            </w:r>
          </w:p>
        </w:tc>
      </w:tr>
    </w:tbl>
    <w:p w14:paraId="4641C49F" w14:textId="42F18B4F" w:rsidR="00600DEE" w:rsidRPr="00E301CF" w:rsidRDefault="00641FB5" w:rsidP="00D5736B">
      <w:pPr>
        <w:pStyle w:val="Nagwek1"/>
        <w:numPr>
          <w:ilvl w:val="0"/>
          <w:numId w:val="17"/>
        </w:numPr>
        <w:ind w:left="709" w:hanging="709"/>
        <w:rPr>
          <w:rFonts w:ascii="Calibri" w:eastAsia="Calibri" w:hAnsi="Calibri" w:cs="Calibri"/>
          <w:color w:val="0070C0"/>
          <w:lang w:val="es-ES"/>
        </w:rPr>
      </w:pPr>
      <w:bookmarkStart w:id="96" w:name="_Toc95378001"/>
      <w:r w:rsidRPr="00E301CF">
        <w:rPr>
          <w:rFonts w:ascii="Calibri" w:eastAsia="Calibri" w:hAnsi="Calibri" w:cs="Calibri"/>
          <w:color w:val="0070C0"/>
          <w:lang w:val="es-ES"/>
        </w:rPr>
        <w:lastRenderedPageBreak/>
        <w:t>Faza III: Analiza Finansowa</w:t>
      </w:r>
      <w:r w:rsidRPr="00E301CF">
        <w:rPr>
          <w:rFonts w:ascii="Calibri" w:eastAsia="Calibri" w:hAnsi="Calibri" w:cs="Calibri"/>
          <w:color w:val="0070C0"/>
          <w:lang w:val="es-ES"/>
        </w:rPr>
        <w:br/>
      </w:r>
      <w:r w:rsidRPr="00E301CF">
        <w:rPr>
          <w:rFonts w:ascii="Calibri" w:eastAsia="Calibri" w:hAnsi="Calibri" w:cs="Calibri"/>
          <w:i/>
          <w:color w:val="0070C0"/>
          <w:lang w:val="es-ES"/>
        </w:rPr>
        <w:t>Phase III: Financial Analysis</w:t>
      </w:r>
      <w:bookmarkEnd w:id="96"/>
      <w:r w:rsidRPr="00E301CF">
        <w:rPr>
          <w:rFonts w:ascii="Calibri" w:eastAsia="Calibri" w:hAnsi="Calibri" w:cs="Calibri"/>
          <w:color w:val="0070C0"/>
          <w:lang w:val="es-ES"/>
        </w:rPr>
        <w:t xml:space="preserve"> </w:t>
      </w:r>
    </w:p>
    <w:tbl>
      <w:tblPr>
        <w:tblStyle w:val="affffff6"/>
        <w:tblW w:w="14571" w:type="dxa"/>
        <w:tblLayout w:type="fixed"/>
        <w:tblLook w:val="0400" w:firstRow="0" w:lastRow="0" w:firstColumn="0" w:lastColumn="0" w:noHBand="0" w:noVBand="1"/>
      </w:tblPr>
      <w:tblGrid>
        <w:gridCol w:w="7370"/>
        <w:gridCol w:w="7201"/>
      </w:tblGrid>
      <w:tr w:rsidR="00600DEE" w:rsidRPr="007463B9" w14:paraId="05C6BA8A" w14:textId="77777777">
        <w:tc>
          <w:tcPr>
            <w:tcW w:w="7370" w:type="dxa"/>
            <w:tcBorders>
              <w:right w:val="single" w:sz="4" w:space="0" w:color="000000"/>
            </w:tcBorders>
            <w:tcMar>
              <w:left w:w="284" w:type="dxa"/>
              <w:right w:w="284" w:type="dxa"/>
            </w:tcMar>
          </w:tcPr>
          <w:p w14:paraId="6420E14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Celem analizy finansowej jest uzyskanie informacji, czy planowany projekt wymaga dofinansowania z funduszy UE, a jeśli tak to: (i) ustalenie zakresu dofinansowania i (ii) sprawdzenie, czy planowany wariant inwestycyjny w fazie budowy i eksploatacji jest trwały finansowo i/lub czy zadeklarowane zobowiązania są wystarczające do zapewnienia jego trwałości.</w:t>
            </w:r>
          </w:p>
          <w:p w14:paraId="5C70232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praktyce oznacza to, że analiza finansowa powinna odpowiedzieć na następujące pytania:</w:t>
            </w:r>
          </w:p>
          <w:p w14:paraId="5500B939"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 jaki sposób projekt będzie finansowany?</w:t>
            </w:r>
          </w:p>
          <w:p w14:paraId="17CEB2CD"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Jaka jest rentowność finansowa projektu?</w:t>
            </w:r>
          </w:p>
          <w:p w14:paraId="6FAE15F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Jaki będzie wkład UE?</w:t>
            </w:r>
          </w:p>
          <w:p w14:paraId="048CDCF4"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 projekt będzie trwały finansowo?</w:t>
            </w:r>
          </w:p>
          <w:p w14:paraId="2B052FD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Biorąc pod uwagę powyższe, zaleca się następującą strukturę analizy finansowej:</w:t>
            </w:r>
          </w:p>
          <w:p w14:paraId="0108411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przyjęcie założeń do analizy,</w:t>
            </w:r>
          </w:p>
          <w:p w14:paraId="34B5D2D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ustalenie wszystkich przepływów pieniężnych dla każdego roku analizy (kalkulacja wpływów i wydatków dla projektu),</w:t>
            </w:r>
          </w:p>
          <w:p w14:paraId="3E675B6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określenie wysokości wkładu finansowego z funduszy UE, </w:t>
            </w:r>
          </w:p>
          <w:p w14:paraId="1E29573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obliczenie wskaźników finansowych (wartość bieżąca netto (FNPV), rentowność (FRR)),</w:t>
            </w:r>
          </w:p>
          <w:p w14:paraId="3303B95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weryfikacja trwałości finansowej projektu i stabilności finansowej Beneficjenta.</w:t>
            </w:r>
          </w:p>
          <w:p w14:paraId="30EA08B6"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1D5CFA3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aim of financial analysis is to check whether the proposed project needs co-financing from EU funds; and if so,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xml:space="preserve">) to determine the co-financing contribution and (ii) to check whether the proposed project investment option is financially sustainable during construction and operation phases and/or whether there are adequate commitments to ensure its sustainability. </w:t>
            </w:r>
          </w:p>
          <w:p w14:paraId="12F90B5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practice, it means that the financial analysis should answer the following questions:</w:t>
            </w:r>
          </w:p>
          <w:p w14:paraId="7734FB3E"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How will the project be financed?</w:t>
            </w:r>
          </w:p>
          <w:p w14:paraId="46977647"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What is the project financial profitability?</w:t>
            </w:r>
          </w:p>
          <w:p w14:paraId="3BA16C44"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What will be the EU contribution?</w:t>
            </w:r>
          </w:p>
          <w:p w14:paraId="3AC34AD0"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Will the project be financially sustainable?</w:t>
            </w:r>
          </w:p>
          <w:p w14:paraId="7119ECC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Taking into consideration the above, the following sequence of financial analysis is recommended:</w:t>
            </w:r>
          </w:p>
          <w:p w14:paraId="0A9E22C8"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setting assumptions for the analysis,</w:t>
            </w:r>
          </w:p>
          <w:p w14:paraId="6FA91005"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determination of all cash flows for each year of analysis (calculation of project financial inflows and outflows),</w:t>
            </w:r>
          </w:p>
          <w:p w14:paraId="43D886F4"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co-financing contribution from EU funds.</w:t>
            </w:r>
          </w:p>
          <w:p w14:paraId="64BE1149"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calculation of financial indicators (net present value (FNPV), profitability (FRR)), </w:t>
            </w:r>
          </w:p>
          <w:p w14:paraId="6AAA04C5"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verification of the project financial sustainability and Beneficiary’s financial stability. </w:t>
            </w:r>
          </w:p>
          <w:p w14:paraId="1785DEF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33EF04B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393DBDB" w14:textId="0537346E"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97" w:name="_Toc95378002"/>
      <w:r w:rsidRPr="0045151D">
        <w:rPr>
          <w:rFonts w:ascii="Calibri" w:eastAsia="Calibri" w:hAnsi="Calibri" w:cs="Calibri"/>
          <w:color w:val="4F81BD"/>
          <w:lang w:val="pl-PL"/>
        </w:rPr>
        <w:lastRenderedPageBreak/>
        <w:t>Projekt infrastruktury drogowej – droga niepłatna a analiza finansowa</w:t>
      </w:r>
      <w:r w:rsidRPr="0045151D">
        <w:rPr>
          <w:rFonts w:ascii="Calibri" w:eastAsia="Calibri" w:hAnsi="Calibri" w:cs="Calibri"/>
          <w:color w:val="4F81BD"/>
          <w:lang w:val="pl-PL"/>
        </w:rPr>
        <w:br/>
      </w:r>
      <w:r w:rsidRPr="0045151D">
        <w:rPr>
          <w:rFonts w:ascii="Calibri" w:eastAsia="Calibri" w:hAnsi="Calibri" w:cs="Calibri"/>
          <w:i/>
          <w:color w:val="4F81BD"/>
          <w:lang w:val="pl-PL"/>
        </w:rPr>
        <w:t xml:space="preserve">3.1    Road </w:t>
      </w:r>
      <w:proofErr w:type="spellStart"/>
      <w:r w:rsidRPr="0045151D">
        <w:rPr>
          <w:rFonts w:ascii="Calibri" w:eastAsia="Calibri" w:hAnsi="Calibri" w:cs="Calibri"/>
          <w:i/>
          <w:color w:val="4F81BD"/>
          <w:lang w:val="pl-PL"/>
        </w:rPr>
        <w:t>infrastructure</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project</w:t>
      </w:r>
      <w:proofErr w:type="spellEnd"/>
      <w:r w:rsidRPr="0045151D">
        <w:rPr>
          <w:rFonts w:ascii="Calibri" w:eastAsia="Calibri" w:hAnsi="Calibri" w:cs="Calibri"/>
          <w:i/>
          <w:color w:val="4F81BD"/>
          <w:lang w:val="pl-PL"/>
        </w:rPr>
        <w:t xml:space="preserve"> – non-</w:t>
      </w:r>
      <w:proofErr w:type="spellStart"/>
      <w:r w:rsidRPr="0045151D">
        <w:rPr>
          <w:rFonts w:ascii="Calibri" w:eastAsia="Calibri" w:hAnsi="Calibri" w:cs="Calibri"/>
          <w:i/>
          <w:color w:val="4F81BD"/>
          <w:lang w:val="pl-PL"/>
        </w:rPr>
        <w:t>toll</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roads</w:t>
      </w:r>
      <w:proofErr w:type="spellEnd"/>
      <w:r w:rsidRPr="0045151D">
        <w:rPr>
          <w:rFonts w:ascii="Calibri" w:eastAsia="Calibri" w:hAnsi="Calibri" w:cs="Calibri"/>
          <w:i/>
          <w:color w:val="4F81BD"/>
          <w:lang w:val="pl-PL"/>
        </w:rPr>
        <w:t xml:space="preserve"> and </w:t>
      </w:r>
      <w:proofErr w:type="spellStart"/>
      <w:r w:rsidRPr="0045151D">
        <w:rPr>
          <w:rFonts w:ascii="Calibri" w:eastAsia="Calibri" w:hAnsi="Calibri" w:cs="Calibri"/>
          <w:i/>
          <w:color w:val="4F81BD"/>
          <w:lang w:val="pl-PL"/>
        </w:rPr>
        <w:t>financial</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analysis</w:t>
      </w:r>
      <w:bookmarkEnd w:id="97"/>
      <w:proofErr w:type="spellEnd"/>
    </w:p>
    <w:tbl>
      <w:tblPr>
        <w:tblStyle w:val="affffff7"/>
        <w:tblW w:w="14571" w:type="dxa"/>
        <w:tblLayout w:type="fixed"/>
        <w:tblLook w:val="0400" w:firstRow="0" w:lastRow="0" w:firstColumn="0" w:lastColumn="0" w:noHBand="0" w:noVBand="1"/>
      </w:tblPr>
      <w:tblGrid>
        <w:gridCol w:w="7370"/>
        <w:gridCol w:w="7201"/>
      </w:tblGrid>
      <w:tr w:rsidR="00600DEE" w:rsidRPr="007463B9" w14:paraId="4472ECDD" w14:textId="77777777">
        <w:tc>
          <w:tcPr>
            <w:tcW w:w="7370" w:type="dxa"/>
            <w:tcBorders>
              <w:right w:val="single" w:sz="4" w:space="0" w:color="000000"/>
            </w:tcBorders>
            <w:tcMar>
              <w:left w:w="284" w:type="dxa"/>
              <w:right w:w="284" w:type="dxa"/>
            </w:tcMar>
          </w:tcPr>
          <w:p w14:paraId="0A664D6F" w14:textId="77777777" w:rsidR="00600DEE" w:rsidRDefault="00641FB5" w:rsidP="0039454C">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Należy wprowadzić rozróżnienie projektów infrastruktury drogowej na drogi płatne i drogi niepłatne.</w:t>
            </w:r>
          </w:p>
          <w:p w14:paraId="11B54BF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Dla autostrad, dróg ekspresowych i wybranych dróg krajowych objętych systemem elektronicznego poboru opłat od pojazdów ciężarowych powyżej 3,5 tony, będących przedmiotem analizy kosztów i korzyści, rekomenduje się przeprowadzenie  uproszczonej analizy finansowej. </w:t>
            </w:r>
          </w:p>
          <w:p w14:paraId="732FA50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takim przypadku analizę finansową ogranicza się do wykazania, że projekt jest trwały finansowo, a Beneficjent ma zdolność finansową do utrzymania nowej infrastruktury drogowej w odpowiednim stanie technicznym (pokrycia wszelkich niezbędnych kosztów eksploatacji i utrzymania w trakcie okresu referencyjnego).</w:t>
            </w:r>
          </w:p>
          <w:p w14:paraId="05DC0CFD" w14:textId="21AD628D" w:rsidR="00600DEE" w:rsidRDefault="00641FB5">
            <w:pPr>
              <w:pBdr>
                <w:top w:val="nil"/>
                <w:left w:val="nil"/>
                <w:bottom w:val="nil"/>
                <w:right w:val="nil"/>
                <w:between w:val="nil"/>
              </w:pBdr>
              <w:spacing w:before="120"/>
              <w:jc w:val="both"/>
              <w:rPr>
                <w:rFonts w:ascii="Calibri" w:eastAsia="Calibri" w:hAnsi="Calibri" w:cs="Calibri"/>
                <w:b/>
                <w:color w:val="323299"/>
                <w:sz w:val="20"/>
                <w:szCs w:val="20"/>
              </w:rPr>
            </w:pPr>
            <w:r>
              <w:rPr>
                <w:rFonts w:ascii="Calibri" w:eastAsia="Calibri" w:hAnsi="Calibri" w:cs="Calibri"/>
                <w:color w:val="000000"/>
                <w:sz w:val="20"/>
                <w:szCs w:val="20"/>
              </w:rPr>
              <w:t>Dodatkowo, w przypadku projektów dróg o niepłatnej dostępności (lub takich, gdzie przychody z opłat nie są wystarczające na pokrycie kosztów utrzymania) realizowanych przez GDDKiA lub innych Beneficjentów, konieczne jest pokazanie niezbędnych nakładów finansowych na utrzymanie i eksploatację zapewniających trwałość projektu (w ramach analizy trwałości finansow</w:t>
            </w:r>
            <w:r w:rsidR="007E2ECA">
              <w:rPr>
                <w:rFonts w:ascii="Calibri" w:eastAsia="Calibri" w:hAnsi="Calibri" w:cs="Calibri"/>
                <w:color w:val="000000"/>
                <w:sz w:val="20"/>
                <w:szCs w:val="20"/>
              </w:rPr>
              <w:t>ej projektu – patrz rozdział 3.5</w:t>
            </w:r>
            <w:r>
              <w:rPr>
                <w:rFonts w:ascii="Calibri" w:eastAsia="Calibri" w:hAnsi="Calibri" w:cs="Calibri"/>
                <w:color w:val="000000"/>
                <w:sz w:val="20"/>
                <w:szCs w:val="20"/>
              </w:rPr>
              <w:t>).</w:t>
            </w:r>
          </w:p>
          <w:p w14:paraId="65EB05F9"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045106EA" w14:textId="77777777" w:rsidR="00600DEE" w:rsidRPr="0045151D" w:rsidRDefault="00641FB5" w:rsidP="0039454C">
            <w:pPr>
              <w:pBdr>
                <w:top w:val="nil"/>
                <w:left w:val="nil"/>
                <w:bottom w:val="nil"/>
                <w:right w:val="nil"/>
                <w:between w:val="nil"/>
              </w:pBdr>
              <w:spacing w:before="100" w:beforeAutospacing="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 distinction has to be made between proposed toll road projects and non-toll road projects.</w:t>
            </w:r>
          </w:p>
          <w:p w14:paraId="3382F03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all motorways, expressways and selected national roads covered by the ETC for trucks above 3.5 tons, that are subject of CBA, simplified financial analysis is recommended. </w:t>
            </w:r>
          </w:p>
          <w:p w14:paraId="4147149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such case, the financial analysis will be limited to the verification of the project’s financial sustainability and the Beneficiary’s financial capability to maintain the new road infrastructure (to cover all necessary O&amp;M costs during the project reference period).</w:t>
            </w:r>
          </w:p>
          <w:p w14:paraId="5EEE1383" w14:textId="52C079D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addition, in case of non-toll road projects (or projects where revenues are not sufficient to cover O&amp;M costs) implemented by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xml:space="preserve"> or other Beneficiaries, the estimated O&amp;M financial expenditures to ensure project sustainability must be presented as part of the project financial sustainability anal</w:t>
            </w:r>
            <w:r w:rsidR="007E2ECA">
              <w:rPr>
                <w:rFonts w:ascii="Calibri" w:eastAsia="Calibri" w:hAnsi="Calibri" w:cs="Calibri"/>
                <w:color w:val="000000"/>
                <w:sz w:val="20"/>
                <w:szCs w:val="20"/>
                <w:lang w:val="en-GB"/>
              </w:rPr>
              <w:t>ysis (see respective chapter 3.5</w:t>
            </w:r>
            <w:r w:rsidRPr="0045151D">
              <w:rPr>
                <w:rFonts w:ascii="Calibri" w:eastAsia="Calibri" w:hAnsi="Calibri" w:cs="Calibri"/>
                <w:color w:val="000000"/>
                <w:sz w:val="20"/>
                <w:szCs w:val="20"/>
                <w:lang w:val="en-GB"/>
              </w:rPr>
              <w:t xml:space="preserve">). </w:t>
            </w:r>
          </w:p>
          <w:p w14:paraId="6E6F71F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07F5AAB0" w14:textId="3C347A87" w:rsidR="00600DEE" w:rsidRDefault="00641FB5" w:rsidP="00D5736B">
      <w:pPr>
        <w:pStyle w:val="Nagwek2"/>
        <w:numPr>
          <w:ilvl w:val="1"/>
          <w:numId w:val="17"/>
        </w:numPr>
        <w:ind w:left="0" w:firstLine="0"/>
        <w:rPr>
          <w:rFonts w:ascii="Calibri" w:eastAsia="Calibri" w:hAnsi="Calibri" w:cs="Calibri"/>
          <w:color w:val="4F81BD"/>
        </w:rPr>
      </w:pPr>
      <w:bookmarkStart w:id="98" w:name="_Toc95378003"/>
      <w:proofErr w:type="spellStart"/>
      <w:r>
        <w:rPr>
          <w:rFonts w:ascii="Calibri" w:eastAsia="Calibri" w:hAnsi="Calibri" w:cs="Calibri"/>
          <w:color w:val="4F81BD"/>
        </w:rPr>
        <w:t>Założenia</w:t>
      </w:r>
      <w:proofErr w:type="spellEnd"/>
      <w:r>
        <w:rPr>
          <w:rFonts w:ascii="Calibri" w:eastAsia="Calibri" w:hAnsi="Calibri" w:cs="Calibri"/>
          <w:color w:val="4F81BD"/>
        </w:rPr>
        <w:t xml:space="preserve"> </w:t>
      </w:r>
      <w:proofErr w:type="spellStart"/>
      <w:r>
        <w:rPr>
          <w:rFonts w:ascii="Calibri" w:eastAsia="Calibri" w:hAnsi="Calibri" w:cs="Calibri"/>
          <w:color w:val="4F81BD"/>
        </w:rPr>
        <w:t>i</w:t>
      </w:r>
      <w:proofErr w:type="spellEnd"/>
      <w:r>
        <w:rPr>
          <w:rFonts w:ascii="Calibri" w:eastAsia="Calibri" w:hAnsi="Calibri" w:cs="Calibri"/>
          <w:color w:val="4F81BD"/>
        </w:rPr>
        <w:t> </w:t>
      </w:r>
      <w:proofErr w:type="spellStart"/>
      <w:r>
        <w:rPr>
          <w:rFonts w:ascii="Calibri" w:eastAsia="Calibri" w:hAnsi="Calibri" w:cs="Calibri"/>
          <w:color w:val="4F81BD"/>
        </w:rPr>
        <w:t>param</w:t>
      </w:r>
      <w:r w:rsidR="007E2ECA">
        <w:rPr>
          <w:rFonts w:ascii="Calibri" w:eastAsia="Calibri" w:hAnsi="Calibri" w:cs="Calibri"/>
          <w:color w:val="4F81BD"/>
        </w:rPr>
        <w:t>etry</w:t>
      </w:r>
      <w:proofErr w:type="spellEnd"/>
      <w:r w:rsidR="007E2ECA">
        <w:rPr>
          <w:rFonts w:ascii="Calibri" w:eastAsia="Calibri" w:hAnsi="Calibri" w:cs="Calibri"/>
          <w:color w:val="4F81BD"/>
        </w:rPr>
        <w:t xml:space="preserve"> </w:t>
      </w:r>
      <w:proofErr w:type="spellStart"/>
      <w:r w:rsidR="007E2ECA">
        <w:rPr>
          <w:rFonts w:ascii="Calibri" w:eastAsia="Calibri" w:hAnsi="Calibri" w:cs="Calibri"/>
          <w:color w:val="4F81BD"/>
        </w:rPr>
        <w:t>analizy</w:t>
      </w:r>
      <w:proofErr w:type="spellEnd"/>
      <w:r w:rsidR="007E2ECA">
        <w:rPr>
          <w:rFonts w:ascii="Calibri" w:eastAsia="Calibri" w:hAnsi="Calibri" w:cs="Calibri"/>
          <w:color w:val="4F81BD"/>
        </w:rPr>
        <w:t xml:space="preserve"> </w:t>
      </w:r>
      <w:proofErr w:type="spellStart"/>
      <w:r w:rsidR="007E2ECA">
        <w:rPr>
          <w:rFonts w:ascii="Calibri" w:eastAsia="Calibri" w:hAnsi="Calibri" w:cs="Calibri"/>
          <w:color w:val="4F81BD"/>
        </w:rPr>
        <w:t>finansowej</w:t>
      </w:r>
      <w:proofErr w:type="spellEnd"/>
      <w:r w:rsidR="007E2ECA">
        <w:rPr>
          <w:rFonts w:ascii="Calibri" w:eastAsia="Calibri" w:hAnsi="Calibri" w:cs="Calibri"/>
          <w:color w:val="4F81BD"/>
        </w:rPr>
        <w:tab/>
      </w:r>
      <w:r w:rsidR="007E2ECA">
        <w:rPr>
          <w:rFonts w:ascii="Calibri" w:eastAsia="Calibri" w:hAnsi="Calibri" w:cs="Calibri"/>
          <w:color w:val="4F81BD"/>
        </w:rPr>
        <w:tab/>
        <w:t xml:space="preserve">    </w:t>
      </w:r>
      <w:r w:rsidR="007E2ECA">
        <w:rPr>
          <w:rFonts w:ascii="Calibri" w:eastAsia="Calibri" w:hAnsi="Calibri" w:cs="Calibri"/>
          <w:i/>
          <w:color w:val="4F81BD"/>
        </w:rPr>
        <w:t>3.2</w:t>
      </w:r>
      <w:r w:rsidR="007E2ECA">
        <w:rPr>
          <w:rFonts w:ascii="Calibri" w:eastAsia="Calibri" w:hAnsi="Calibri" w:cs="Calibri"/>
          <w:color w:val="4F81BD"/>
        </w:rPr>
        <w:t xml:space="preserve">   </w:t>
      </w:r>
      <w:r w:rsidR="007E2ECA">
        <w:rPr>
          <w:rFonts w:ascii="Calibri" w:eastAsia="Calibri" w:hAnsi="Calibri" w:cs="Calibri"/>
          <w:i/>
          <w:color w:val="4F81BD"/>
        </w:rPr>
        <w:t>Financial analysis - assumptions and parameters</w:t>
      </w:r>
      <w:bookmarkEnd w:id="98"/>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Pr>
          <w:rFonts w:ascii="Calibri" w:eastAsia="Calibri" w:hAnsi="Calibri" w:cs="Calibri"/>
          <w:color w:val="4F81BD"/>
        </w:rPr>
        <w:t xml:space="preserve"> </w:t>
      </w:r>
    </w:p>
    <w:tbl>
      <w:tblPr>
        <w:tblStyle w:val="affffff8"/>
        <w:tblW w:w="14571" w:type="dxa"/>
        <w:tblLayout w:type="fixed"/>
        <w:tblLook w:val="0400" w:firstRow="0" w:lastRow="0" w:firstColumn="0" w:lastColumn="0" w:noHBand="0" w:noVBand="1"/>
      </w:tblPr>
      <w:tblGrid>
        <w:gridCol w:w="7370"/>
        <w:gridCol w:w="7201"/>
      </w:tblGrid>
      <w:tr w:rsidR="00600DEE" w:rsidRPr="007463B9" w14:paraId="5FAB5C32" w14:textId="77777777">
        <w:tc>
          <w:tcPr>
            <w:tcW w:w="7370" w:type="dxa"/>
            <w:tcBorders>
              <w:right w:val="single" w:sz="4" w:space="0" w:color="000000"/>
            </w:tcBorders>
            <w:tcMar>
              <w:left w:w="284" w:type="dxa"/>
              <w:right w:w="284" w:type="dxa"/>
            </w:tcMar>
          </w:tcPr>
          <w:p w14:paraId="76A1D197" w14:textId="77777777" w:rsidR="00600DEE" w:rsidRDefault="00641FB5" w:rsidP="0039454C">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Najważniejszą zasadą analizy finansowej jest rozpatrywanie wyłącznie faktycznych przepływów pieniężnych (bez amortyzacji, rezerw na nieprzewidziane okoliczności, korekt fiskalnych, itd.).</w:t>
            </w:r>
          </w:p>
          <w:p w14:paraId="38F27BC7" w14:textId="53D1E95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Analiza finansowa sporządzana dla projektów infrastruktury drogowej powinna być oparta na cenach stałych w całym okresie analizy tzn. bez uwzględniania inflacyjnego wzrostu cen. Rok </w:t>
            </w:r>
            <w:r w:rsidR="007E2ECA">
              <w:rPr>
                <w:rFonts w:ascii="Calibri" w:eastAsia="Calibri" w:hAnsi="Calibri" w:cs="Calibri"/>
                <w:color w:val="000000"/>
                <w:sz w:val="20"/>
                <w:szCs w:val="20"/>
              </w:rPr>
              <w:t>bazowy</w:t>
            </w:r>
            <w:r>
              <w:rPr>
                <w:rFonts w:ascii="Calibri" w:eastAsia="Calibri" w:hAnsi="Calibri" w:cs="Calibri"/>
                <w:color w:val="000000"/>
                <w:sz w:val="20"/>
                <w:szCs w:val="20"/>
              </w:rPr>
              <w:t xml:space="preserve"> przyjęty w analizie powinien być wyraźnie określony.</w:t>
            </w:r>
          </w:p>
          <w:p w14:paraId="498346C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przedstawić następujące założenia analizy finansowej: </w:t>
            </w:r>
          </w:p>
          <w:p w14:paraId="4C3E1C33" w14:textId="77777777"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horyzont czasowy – 25 lat, w tym okres realizacji projektu zgodnie z rekomendacją KE,</w:t>
            </w:r>
          </w:p>
          <w:p w14:paraId="05CCB250" w14:textId="11458C4C"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finansowa stopa dyskontowa (realna stopa – </w:t>
            </w:r>
            <w:r w:rsidR="007463B9" w:rsidRPr="007463B9">
              <w:rPr>
                <w:rFonts w:ascii="Calibri" w:eastAsia="Calibri" w:hAnsi="Calibri" w:cs="Calibri"/>
                <w:color w:val="000000"/>
                <w:sz w:val="20"/>
                <w:szCs w:val="20"/>
              </w:rPr>
              <w:t>4</w:t>
            </w:r>
            <w:r w:rsidRPr="007463B9">
              <w:rPr>
                <w:rFonts w:ascii="Calibri" w:eastAsia="Calibri" w:hAnsi="Calibri" w:cs="Calibri"/>
                <w:color w:val="000000"/>
                <w:sz w:val="20"/>
                <w:szCs w:val="20"/>
              </w:rPr>
              <w:t>%</w:t>
            </w:r>
            <w:r>
              <w:rPr>
                <w:rFonts w:ascii="Calibri" w:eastAsia="Calibri" w:hAnsi="Calibri" w:cs="Calibri"/>
                <w:color w:val="000000"/>
                <w:sz w:val="20"/>
                <w:szCs w:val="20"/>
              </w:rPr>
              <w:t>),</w:t>
            </w:r>
          </w:p>
          <w:p w14:paraId="18E15C1D" w14:textId="77777777"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rezydualna projektu inwestycyjnego na koniec okresu analizy (patrz rozdział 1.11),</w:t>
            </w:r>
          </w:p>
          <w:p w14:paraId="18978F17" w14:textId="4A3430CA"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kosztów projektu inwestycyjnego</w:t>
            </w:r>
            <w:r w:rsidR="00B250FD">
              <w:rPr>
                <w:rStyle w:val="Odwoanieprzypisudolnego"/>
                <w:rFonts w:ascii="Calibri" w:eastAsia="Calibri" w:hAnsi="Calibri" w:cs="Calibri"/>
                <w:color w:val="000000"/>
                <w:sz w:val="20"/>
                <w:szCs w:val="20"/>
              </w:rPr>
              <w:footnoteReference w:id="16"/>
            </w:r>
            <w:r>
              <w:rPr>
                <w:rFonts w:ascii="Calibri" w:eastAsia="Calibri" w:hAnsi="Calibri" w:cs="Calibri"/>
                <w:color w:val="000000"/>
                <w:sz w:val="20"/>
                <w:szCs w:val="20"/>
              </w:rPr>
              <w:t>,</w:t>
            </w:r>
          </w:p>
          <w:p w14:paraId="095934EF" w14:textId="412E7419"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oraz rok </w:t>
            </w:r>
            <w:r w:rsidR="007E2ECA">
              <w:rPr>
                <w:rFonts w:ascii="Calibri" w:eastAsia="Calibri" w:hAnsi="Calibri" w:cs="Calibri"/>
                <w:color w:val="000000"/>
                <w:sz w:val="20"/>
                <w:szCs w:val="20"/>
              </w:rPr>
              <w:t>bazowy</w:t>
            </w:r>
            <w:r>
              <w:rPr>
                <w:rFonts w:ascii="Calibri" w:eastAsia="Calibri" w:hAnsi="Calibri" w:cs="Calibri"/>
                <w:color w:val="000000"/>
                <w:sz w:val="20"/>
                <w:szCs w:val="20"/>
              </w:rPr>
              <w:t xml:space="preserve"> przyjęty dla analizy. </w:t>
            </w:r>
          </w:p>
          <w:p w14:paraId="3E50648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Wszystkie dane wejściowe i założenia analizy muszą być zgodne z założeniami analizy ekonomicznej i prognozą transportową (szczególnie prognozą ruchu).</w:t>
            </w:r>
          </w:p>
          <w:p w14:paraId="2D2E6A1D"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68A99BCC" w14:textId="77777777" w:rsidR="00600DEE" w:rsidRPr="0045151D" w:rsidRDefault="00641FB5" w:rsidP="0039454C">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most important financial analysis principle is to consider only actual cash inflows and outflows (i.e. amortisation, reserves for unforeseen circumstances, or fiscal adjustments are disregarded).</w:t>
            </w:r>
          </w:p>
          <w:p w14:paraId="4DCAC2F7" w14:textId="73C5C3D1"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Financial analysis for road infrastructure projects should be based on constant prices over the entire reference period, i.e. without taking into account price increases due to inflation. The </w:t>
            </w:r>
            <w:r w:rsidR="007E2ECA">
              <w:rPr>
                <w:rFonts w:ascii="Calibri" w:eastAsia="Calibri" w:hAnsi="Calibri" w:cs="Calibri"/>
                <w:color w:val="000000"/>
                <w:sz w:val="20"/>
                <w:szCs w:val="20"/>
                <w:lang w:val="en-GB"/>
              </w:rPr>
              <w:t>base</w:t>
            </w:r>
            <w:r w:rsidRPr="0045151D">
              <w:rPr>
                <w:rFonts w:ascii="Calibri" w:eastAsia="Calibri" w:hAnsi="Calibri" w:cs="Calibri"/>
                <w:color w:val="000000"/>
                <w:sz w:val="20"/>
                <w:szCs w:val="20"/>
                <w:lang w:val="en-GB"/>
              </w:rPr>
              <w:t xml:space="preserve"> year considered for the analysis should be clearly indicated.</w:t>
            </w:r>
          </w:p>
          <w:p w14:paraId="76A6601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following assumptions should be presented for financial analysis:</w:t>
            </w:r>
          </w:p>
          <w:p w14:paraId="67C1FEF7" w14:textId="77777777"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reference period – 25 years, including the project implementation period, as recommended in EC guidelines,</w:t>
            </w:r>
          </w:p>
          <w:p w14:paraId="185F400C" w14:textId="0479A483"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financial discount rate (real rate – </w:t>
            </w:r>
            <w:r w:rsidR="007463B9" w:rsidRPr="007463B9">
              <w:rPr>
                <w:rFonts w:ascii="Calibri" w:eastAsia="Calibri" w:hAnsi="Calibri" w:cs="Calibri"/>
                <w:color w:val="000000"/>
                <w:sz w:val="20"/>
                <w:szCs w:val="20"/>
                <w:lang w:val="en-GB"/>
              </w:rPr>
              <w:t>4</w:t>
            </w:r>
            <w:r w:rsidRPr="007463B9">
              <w:rPr>
                <w:rFonts w:ascii="Calibri" w:eastAsia="Calibri" w:hAnsi="Calibri" w:cs="Calibri"/>
                <w:color w:val="000000"/>
                <w:sz w:val="20"/>
                <w:szCs w:val="20"/>
                <w:lang w:val="en-GB"/>
              </w:rPr>
              <w:t>%</w:t>
            </w:r>
            <w:r w:rsidRPr="0045151D">
              <w:rPr>
                <w:rFonts w:ascii="Calibri" w:eastAsia="Calibri" w:hAnsi="Calibri" w:cs="Calibri"/>
                <w:color w:val="000000"/>
                <w:sz w:val="20"/>
                <w:szCs w:val="20"/>
                <w:lang w:val="en-GB"/>
              </w:rPr>
              <w:t>),</w:t>
            </w:r>
          </w:p>
          <w:p w14:paraId="1928B892" w14:textId="77777777"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financial residual value of the investment project at the end of the reference period (refer to chapter 1.11 above),</w:t>
            </w:r>
          </w:p>
          <w:p w14:paraId="4A3D72F5" w14:textId="7BA831B5"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investment project costs value</w:t>
            </w:r>
            <w:r w:rsidR="00B250FD">
              <w:rPr>
                <w:rFonts w:ascii="Calibri" w:eastAsia="Calibri" w:hAnsi="Calibri" w:cs="Calibri"/>
                <w:color w:val="000000"/>
                <w:sz w:val="20"/>
                <w:szCs w:val="20"/>
                <w:vertAlign w:val="superscript"/>
                <w:lang w:val="en-GB"/>
              </w:rPr>
              <w:t>16</w:t>
            </w:r>
            <w:r w:rsidRPr="0045151D">
              <w:rPr>
                <w:rFonts w:ascii="Calibri" w:eastAsia="Calibri" w:hAnsi="Calibri" w:cs="Calibri"/>
                <w:color w:val="000000"/>
                <w:sz w:val="20"/>
                <w:szCs w:val="20"/>
                <w:lang w:val="en-GB"/>
              </w:rPr>
              <w:t>,</w:t>
            </w:r>
          </w:p>
          <w:p w14:paraId="32700A81" w14:textId="77777777"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and the base year </w:t>
            </w:r>
            <w:proofErr w:type="spellStart"/>
            <w:r w:rsidRPr="0045151D">
              <w:rPr>
                <w:rFonts w:ascii="Calibri" w:eastAsia="Calibri" w:hAnsi="Calibri" w:cs="Calibri"/>
                <w:color w:val="000000"/>
                <w:sz w:val="20"/>
                <w:szCs w:val="20"/>
                <w:lang w:val="en-GB"/>
              </w:rPr>
              <w:t>year</w:t>
            </w:r>
            <w:proofErr w:type="spellEnd"/>
            <w:r w:rsidRPr="0045151D">
              <w:rPr>
                <w:rFonts w:ascii="Calibri" w:eastAsia="Calibri" w:hAnsi="Calibri" w:cs="Calibri"/>
                <w:color w:val="000000"/>
                <w:sz w:val="20"/>
                <w:szCs w:val="20"/>
                <w:lang w:val="en-GB"/>
              </w:rPr>
              <w:t xml:space="preserve"> used for the analysis.</w:t>
            </w:r>
          </w:p>
          <w:p w14:paraId="0F4FC71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 input data and assumptions for the analysis must be coherent with economic analysis data and transport forecasts (in particular, traffic forecast).</w:t>
            </w:r>
          </w:p>
          <w:p w14:paraId="02966B9F"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BFCD52A" w14:textId="0ACCAA94"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99" w:name="_Toc95378004"/>
      <w:r w:rsidRPr="0045151D">
        <w:rPr>
          <w:rFonts w:ascii="Calibri" w:eastAsia="Calibri" w:hAnsi="Calibri" w:cs="Calibri"/>
          <w:color w:val="4F81BD"/>
          <w:lang w:val="pl-PL"/>
        </w:rPr>
        <w:lastRenderedPageBreak/>
        <w:t>Zestawienie finansowych przepływów pieniężnych</w:t>
      </w:r>
      <w:r w:rsidR="007E2ECA">
        <w:rPr>
          <w:rFonts w:ascii="Calibri" w:eastAsia="Calibri" w:hAnsi="Calibri" w:cs="Calibri"/>
          <w:color w:val="4F81BD"/>
          <w:lang w:val="pl-PL"/>
        </w:rPr>
        <w:t xml:space="preserve"> </w:t>
      </w:r>
      <w:r w:rsidRPr="0045151D">
        <w:rPr>
          <w:rFonts w:ascii="Calibri" w:eastAsia="Calibri" w:hAnsi="Calibri" w:cs="Calibri"/>
          <w:color w:val="4F81BD"/>
          <w:lang w:val="pl-PL"/>
        </w:rPr>
        <w:t xml:space="preserve">      </w:t>
      </w:r>
      <w:r w:rsidR="007E2ECA" w:rsidRPr="0045151D">
        <w:rPr>
          <w:rFonts w:ascii="Calibri" w:eastAsia="Calibri" w:hAnsi="Calibri" w:cs="Calibri"/>
          <w:i/>
          <w:color w:val="4F81BD"/>
          <w:lang w:val="pl-PL"/>
        </w:rPr>
        <w:t xml:space="preserve">3.3   </w:t>
      </w:r>
      <w:proofErr w:type="spellStart"/>
      <w:r w:rsidR="007E2ECA" w:rsidRPr="0045151D">
        <w:rPr>
          <w:rFonts w:ascii="Calibri" w:eastAsia="Calibri" w:hAnsi="Calibri" w:cs="Calibri"/>
          <w:i/>
          <w:color w:val="4F81BD"/>
          <w:lang w:val="pl-PL"/>
        </w:rPr>
        <w:t>Determination</w:t>
      </w:r>
      <w:proofErr w:type="spellEnd"/>
      <w:r w:rsidR="007E2ECA" w:rsidRPr="0045151D">
        <w:rPr>
          <w:rFonts w:ascii="Calibri" w:eastAsia="Calibri" w:hAnsi="Calibri" w:cs="Calibri"/>
          <w:i/>
          <w:color w:val="4F81BD"/>
          <w:lang w:val="pl-PL"/>
        </w:rPr>
        <w:t xml:space="preserve"> of </w:t>
      </w:r>
      <w:proofErr w:type="spellStart"/>
      <w:r w:rsidR="007E2ECA" w:rsidRPr="0045151D">
        <w:rPr>
          <w:rFonts w:ascii="Calibri" w:eastAsia="Calibri" w:hAnsi="Calibri" w:cs="Calibri"/>
          <w:i/>
          <w:color w:val="4F81BD"/>
          <w:lang w:val="pl-PL"/>
        </w:rPr>
        <w:t>financial</w:t>
      </w:r>
      <w:proofErr w:type="spellEnd"/>
      <w:r w:rsidR="007E2ECA" w:rsidRPr="0045151D">
        <w:rPr>
          <w:rFonts w:ascii="Calibri" w:eastAsia="Calibri" w:hAnsi="Calibri" w:cs="Calibri"/>
          <w:i/>
          <w:color w:val="4F81BD"/>
          <w:lang w:val="pl-PL"/>
        </w:rPr>
        <w:t xml:space="preserve"> </w:t>
      </w:r>
      <w:proofErr w:type="spellStart"/>
      <w:r w:rsidR="007E2ECA" w:rsidRPr="0045151D">
        <w:rPr>
          <w:rFonts w:ascii="Calibri" w:eastAsia="Calibri" w:hAnsi="Calibri" w:cs="Calibri"/>
          <w:i/>
          <w:color w:val="4F81BD"/>
          <w:lang w:val="pl-PL"/>
        </w:rPr>
        <w:t>cash</w:t>
      </w:r>
      <w:proofErr w:type="spellEnd"/>
      <w:r w:rsidR="007E2ECA" w:rsidRPr="0045151D">
        <w:rPr>
          <w:rFonts w:ascii="Calibri" w:eastAsia="Calibri" w:hAnsi="Calibri" w:cs="Calibri"/>
          <w:i/>
          <w:color w:val="4F81BD"/>
          <w:lang w:val="pl-PL"/>
        </w:rPr>
        <w:t xml:space="preserve"> </w:t>
      </w:r>
      <w:proofErr w:type="spellStart"/>
      <w:r w:rsidR="007E2ECA" w:rsidRPr="0045151D">
        <w:rPr>
          <w:rFonts w:ascii="Calibri" w:eastAsia="Calibri" w:hAnsi="Calibri" w:cs="Calibri"/>
          <w:i/>
          <w:color w:val="4F81BD"/>
          <w:lang w:val="pl-PL"/>
        </w:rPr>
        <w:t>flows</w:t>
      </w:r>
      <w:bookmarkEnd w:id="99"/>
      <w:proofErr w:type="spellEnd"/>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Pr="0045151D">
        <w:rPr>
          <w:rFonts w:ascii="Calibri" w:eastAsia="Calibri" w:hAnsi="Calibri" w:cs="Calibri"/>
          <w:i/>
          <w:color w:val="4F81BD"/>
          <w:lang w:val="pl-PL"/>
        </w:rPr>
        <w:t xml:space="preserve"> </w:t>
      </w:r>
    </w:p>
    <w:tbl>
      <w:tblPr>
        <w:tblStyle w:val="affffff9"/>
        <w:tblW w:w="14571" w:type="dxa"/>
        <w:tblLayout w:type="fixed"/>
        <w:tblLook w:val="0400" w:firstRow="0" w:lastRow="0" w:firstColumn="0" w:lastColumn="0" w:noHBand="0" w:noVBand="1"/>
      </w:tblPr>
      <w:tblGrid>
        <w:gridCol w:w="7370"/>
        <w:gridCol w:w="7201"/>
      </w:tblGrid>
      <w:tr w:rsidR="00600DEE" w:rsidRPr="007463B9" w14:paraId="71702F36" w14:textId="77777777">
        <w:trPr>
          <w:trHeight w:val="6493"/>
        </w:trPr>
        <w:tc>
          <w:tcPr>
            <w:tcW w:w="7370" w:type="dxa"/>
            <w:tcBorders>
              <w:right w:val="single" w:sz="4" w:space="0" w:color="000000"/>
            </w:tcBorders>
            <w:tcMar>
              <w:left w:w="284" w:type="dxa"/>
              <w:right w:w="284" w:type="dxa"/>
            </w:tcMar>
          </w:tcPr>
          <w:p w14:paraId="3D8A856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tej części analizy finansowej następuje określenie (oszacowanie) przepływów finansowych dla projektu zarówno dla etapu budowy (realizacji) projektu, jak również dla jego eksploatacji (faza operacyjna). Określenia przepływów finansowych należy dokonać dla wariantu bezinwestycyjnego oraz wariantu inwestycyjnego w celu późniejszego obliczenia przyrostowych przepływów, wykorzystywanych do kalkulacji wskaźników finansowych i określenia wysokości wkładu finansowego z funduszy UE.</w:t>
            </w:r>
          </w:p>
          <w:p w14:paraId="062D5FE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Niezależnie od charakteru projektu inwestycyjnego (publiczny, komercyjny), należy obliczyć saldo finansowych przepływów pieniężnych obejmujących wszystkie koszty eksploatacji i utrzymania, zarówno dla wariantu bezinwestycyjnego, jak i wariantu inwestycyjnego. Należy uwzględnić wszystkie kategorie kosztów eksploatacji i utrzymania stosowane w analizie ekonomicznej projektów drogowych opisanej powyżej (patrz rozdział 1.9). Strumień przychodów powinien być określony w oparciu o analizę przychodów (patrz rozdział 1.10).</w:t>
            </w:r>
          </w:p>
          <w:p w14:paraId="15C5927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 wyliczeniu dla każdego roku analizy, wszystkich przepływów pieniężnych związanych z kosztami i przychodami, zarówno dla scenariusza bezinwestycyjnego, jak i wariantów inwestycyjnych, można ustalić przepływy pieniężne netto dla każdego roku analizy.</w:t>
            </w:r>
          </w:p>
          <w:p w14:paraId="5791904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Wartość rezydualną określoną zgodnie z rozdziałem 1.11 należy uwzględnić w ostatnim roku analizy.</w:t>
            </w:r>
          </w:p>
          <w:p w14:paraId="065845C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Jeśli Beneficjent jest płatnikiem podatku VAT, to wszystkie wydatki finansowe powinny być przedstawione w cenach netto (bez VAT). Natomiast w przypadku Beneficjentów, którzy nie są płatnikami VAT, analiza finansowa powinna być przeprowadzona w cenach brutto.</w:t>
            </w:r>
          </w:p>
        </w:tc>
        <w:tc>
          <w:tcPr>
            <w:tcW w:w="7201" w:type="dxa"/>
            <w:tcBorders>
              <w:left w:val="single" w:sz="4" w:space="0" w:color="000000"/>
            </w:tcBorders>
            <w:tcMar>
              <w:left w:w="284" w:type="dxa"/>
              <w:right w:w="284" w:type="dxa"/>
            </w:tcMar>
          </w:tcPr>
          <w:p w14:paraId="037A1BF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This part of the financial analysis deals with the determination (estimation) of financial flows for the project, both for the construction (implementation) stage of the project and its operation. Determination of financial flows should be made for the non-investment option and the investment option for the purpose of further calculation of incremental flows used in the calculation of financial indicators and specification of the amount of the financial contribution from EU funds.</w:t>
            </w:r>
          </w:p>
          <w:p w14:paraId="7E90AF4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Regardless of the character of the investment project (public, commercial), financial cash flow balance including all O&amp;M costs, for both without-the-project and investment options, ought to be calculated. All categories of operating and maintenance costs used in the road project economic analysis described above (see Chapter 1.9) should be taken into account. The revenue stream should be defined on the basis of the revenue analysis (see Chapter 1.10).</w:t>
            </w:r>
          </w:p>
          <w:p w14:paraId="0FA1D02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When all cash flows related to costs and revenues are calculated for each year of the analysis, both for the ”without-the-project” option and investment option, net cash flows can be determined for each year of analysis.</w:t>
            </w:r>
          </w:p>
          <w:p w14:paraId="4DBB1E0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residual value calculated according to chapter 1.11 should be included in the last year of the reference period.</w:t>
            </w:r>
          </w:p>
          <w:p w14:paraId="1E7C567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the Beneficiary is a VAT payer, the total financial expenditures are presented in net prices (without VAT). The remaining Beneficiaries, which are not VAT payers perform the financial analysis in gross prices.</w:t>
            </w:r>
          </w:p>
          <w:p w14:paraId="76F6B44F" w14:textId="6A3ABD34" w:rsidR="00600DEE" w:rsidRPr="0045151D" w:rsidRDefault="00600DEE">
            <w:pPr>
              <w:pBdr>
                <w:top w:val="nil"/>
                <w:left w:val="nil"/>
                <w:bottom w:val="nil"/>
                <w:right w:val="nil"/>
                <w:between w:val="nil"/>
              </w:pBdr>
              <w:spacing w:before="120"/>
              <w:jc w:val="both"/>
              <w:rPr>
                <w:rFonts w:ascii="Calibri" w:eastAsia="Calibri" w:hAnsi="Calibri" w:cs="Calibri"/>
                <w:b/>
                <w:i/>
                <w:color w:val="000000"/>
                <w:sz w:val="32"/>
                <w:szCs w:val="32"/>
                <w:lang w:val="en-GB"/>
              </w:rPr>
            </w:pPr>
          </w:p>
        </w:tc>
      </w:tr>
    </w:tbl>
    <w:p w14:paraId="77D015D6" w14:textId="77777777" w:rsidR="00600DEE" w:rsidRDefault="00641FB5" w:rsidP="007022E3">
      <w:pPr>
        <w:pStyle w:val="Nagwek2"/>
        <w:numPr>
          <w:ilvl w:val="0"/>
          <w:numId w:val="0"/>
        </w:numPr>
        <w:rPr>
          <w:rFonts w:ascii="Calibri" w:eastAsia="Calibri" w:hAnsi="Calibri" w:cs="Calibri"/>
          <w:i/>
          <w:color w:val="4F81BD"/>
        </w:rPr>
      </w:pP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bookmarkStart w:id="100" w:name="_Toc91596267"/>
      <w:bookmarkEnd w:id="100"/>
    </w:p>
    <w:tbl>
      <w:tblPr>
        <w:tblStyle w:val="affffffa"/>
        <w:tblW w:w="14571" w:type="dxa"/>
        <w:tblLayout w:type="fixed"/>
        <w:tblLook w:val="0400" w:firstRow="0" w:lastRow="0" w:firstColumn="0" w:lastColumn="0" w:noHBand="0" w:noVBand="1"/>
      </w:tblPr>
      <w:tblGrid>
        <w:gridCol w:w="7370"/>
        <w:gridCol w:w="7201"/>
      </w:tblGrid>
      <w:tr w:rsidR="00600DEE" w:rsidRPr="007463B9" w14:paraId="4499B2B0" w14:textId="77777777">
        <w:tc>
          <w:tcPr>
            <w:tcW w:w="7370" w:type="dxa"/>
            <w:tcBorders>
              <w:right w:val="single" w:sz="4" w:space="0" w:color="000000"/>
            </w:tcBorders>
            <w:tcMar>
              <w:left w:w="284" w:type="dxa"/>
              <w:right w:w="284" w:type="dxa"/>
            </w:tcMar>
          </w:tcPr>
          <w:p w14:paraId="04E2B04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c>
          <w:tcPr>
            <w:tcW w:w="7201" w:type="dxa"/>
            <w:tcBorders>
              <w:left w:val="single" w:sz="4" w:space="0" w:color="000000"/>
            </w:tcBorders>
            <w:tcMar>
              <w:left w:w="284" w:type="dxa"/>
              <w:right w:w="284" w:type="dxa"/>
            </w:tcMar>
          </w:tcPr>
          <w:p w14:paraId="0790445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5768ECEB" w14:textId="5724D3B6"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01" w:name="_Toc95378005"/>
      <w:r w:rsidRPr="0045151D">
        <w:rPr>
          <w:rFonts w:ascii="Calibri" w:eastAsia="Calibri" w:hAnsi="Calibri" w:cs="Calibri"/>
          <w:color w:val="4F81BD"/>
          <w:lang w:val="pl-PL"/>
        </w:rPr>
        <w:lastRenderedPageBreak/>
        <w:t>Rentowność finansowa projektu</w:t>
      </w:r>
      <w:r w:rsidRPr="0045151D">
        <w:rPr>
          <w:rFonts w:ascii="Calibri" w:eastAsia="Calibri" w:hAnsi="Calibri" w:cs="Calibri"/>
          <w:color w:val="4F81BD"/>
          <w:lang w:val="pl-PL"/>
        </w:rPr>
        <w:tab/>
      </w:r>
      <w:r w:rsidRPr="0045151D">
        <w:rPr>
          <w:rFonts w:ascii="Calibri" w:eastAsia="Calibri" w:hAnsi="Calibri" w:cs="Calibri"/>
          <w:color w:val="4F81BD"/>
          <w:lang w:val="pl-PL"/>
        </w:rPr>
        <w:tab/>
      </w:r>
      <w:r w:rsidRPr="0045151D">
        <w:rPr>
          <w:rFonts w:ascii="Calibri" w:eastAsia="Calibri" w:hAnsi="Calibri" w:cs="Calibri"/>
          <w:color w:val="4F81BD"/>
          <w:lang w:val="pl-PL"/>
        </w:rPr>
        <w:tab/>
        <w:t xml:space="preserve">       </w:t>
      </w:r>
      <w:r w:rsidR="00A27FD9" w:rsidRPr="0045151D">
        <w:rPr>
          <w:rFonts w:ascii="Calibri" w:eastAsia="Calibri" w:hAnsi="Calibri" w:cs="Calibri"/>
          <w:color w:val="4F81BD"/>
          <w:lang w:val="pl-PL"/>
        </w:rPr>
        <w:tab/>
      </w:r>
      <w:r w:rsidRPr="0045151D">
        <w:rPr>
          <w:rFonts w:ascii="Calibri" w:eastAsia="Calibri" w:hAnsi="Calibri" w:cs="Calibri"/>
          <w:color w:val="4F81BD"/>
          <w:lang w:val="pl-PL"/>
        </w:rPr>
        <w:t xml:space="preserve"> </w:t>
      </w:r>
      <w:r w:rsidRPr="0045151D">
        <w:rPr>
          <w:rFonts w:ascii="Calibri" w:eastAsia="Calibri" w:hAnsi="Calibri" w:cs="Calibri"/>
          <w:i/>
          <w:color w:val="4F81BD"/>
          <w:lang w:val="pl-PL"/>
        </w:rPr>
        <w:t>3.</w:t>
      </w:r>
      <w:r w:rsidR="007022E3" w:rsidRPr="0045151D">
        <w:rPr>
          <w:rFonts w:ascii="Calibri" w:eastAsia="Calibri" w:hAnsi="Calibri" w:cs="Calibri"/>
          <w:i/>
          <w:color w:val="4F81BD"/>
          <w:lang w:val="pl-PL"/>
        </w:rPr>
        <w:t>4</w:t>
      </w:r>
      <w:r w:rsidRPr="0045151D">
        <w:rPr>
          <w:rFonts w:ascii="Calibri" w:eastAsia="Calibri" w:hAnsi="Calibri" w:cs="Calibri"/>
          <w:i/>
          <w:color w:val="4F81BD"/>
          <w:lang w:val="pl-PL"/>
        </w:rPr>
        <w:t xml:space="preserve">   Project </w:t>
      </w:r>
      <w:proofErr w:type="spellStart"/>
      <w:r w:rsidRPr="0045151D">
        <w:rPr>
          <w:rFonts w:ascii="Calibri" w:eastAsia="Calibri" w:hAnsi="Calibri" w:cs="Calibri"/>
          <w:i/>
          <w:color w:val="4F81BD"/>
          <w:lang w:val="pl-PL"/>
        </w:rPr>
        <w:t>financial</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profitability</w:t>
      </w:r>
      <w:bookmarkEnd w:id="101"/>
      <w:proofErr w:type="spellEnd"/>
    </w:p>
    <w:tbl>
      <w:tblPr>
        <w:tblStyle w:val="affffffb"/>
        <w:tblW w:w="14571" w:type="dxa"/>
        <w:tblLayout w:type="fixed"/>
        <w:tblLook w:val="0400" w:firstRow="0" w:lastRow="0" w:firstColumn="0" w:lastColumn="0" w:noHBand="0" w:noVBand="1"/>
      </w:tblPr>
      <w:tblGrid>
        <w:gridCol w:w="7354"/>
        <w:gridCol w:w="7217"/>
      </w:tblGrid>
      <w:tr w:rsidR="00600DEE" w:rsidRPr="007463B9" w14:paraId="7283C21E" w14:textId="77777777">
        <w:tc>
          <w:tcPr>
            <w:tcW w:w="7354" w:type="dxa"/>
            <w:tcBorders>
              <w:right w:val="single" w:sz="4" w:space="0" w:color="000000"/>
            </w:tcBorders>
            <w:tcMar>
              <w:left w:w="284" w:type="dxa"/>
              <w:right w:w="284" w:type="dxa"/>
            </w:tcMar>
          </w:tcPr>
          <w:p w14:paraId="6F55CB2F"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Ocena rentowności finansowej wiąże się z obliczaniem wskaźników efektywności finansowej i interpretacją wyników (tylko dla dróg płatnych).</w:t>
            </w:r>
          </w:p>
          <w:p w14:paraId="4960C5C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tym punkcie analizy finansowej następuje obliczenie wskaźników finansowych dla projektu, na podstawie których dokonywana jest ocena jego rentowności. Wyróżnia się dwie podstawowe grupy wskaźników:</w:t>
            </w:r>
          </w:p>
          <w:p w14:paraId="20905F4D"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Wskaźniki rentowności dla całej inwestycji (kosztów projektu) – tzw. wskaźniki na (C)</w:t>
            </w:r>
          </w:p>
          <w:p w14:paraId="5DA4D80D"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Wskaźniki rentowności dla kapitału krajowego – wskaźniki na (K).</w:t>
            </w:r>
          </w:p>
          <w:p w14:paraId="180144B7" w14:textId="77777777" w:rsidR="00600DEE" w:rsidRDefault="00641FB5">
            <w:p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Do podstawowych wskaźników należą: </w:t>
            </w:r>
          </w:p>
          <w:p w14:paraId="03B5D9BB"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bieżąca netto (FNPV), będąca sumą zdyskontowanych przepływów finansowych projektu,</w:t>
            </w:r>
          </w:p>
          <w:p w14:paraId="726E85B7"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Wewnętrzna stopa zwrotu (FRR), określająca wartość stopy dyskontowej, dla której wartość bieżąca netto osiąga wartość zero.</w:t>
            </w:r>
          </w:p>
          <w:p w14:paraId="150CB2D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przypadku obliczania powyższych wskaźników dla całej inwestycji (wskaźniki na C), należy uwzględnić wszystkie przepływy projektu, w całym horyzoncie czasowym analizy, tj.:</w:t>
            </w:r>
          </w:p>
          <w:p w14:paraId="2334E726"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Przychody</w:t>
            </w:r>
          </w:p>
          <w:p w14:paraId="3F9473DF"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Nakłady inwestycyjne</w:t>
            </w:r>
          </w:p>
          <w:p w14:paraId="3D2E0E66"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eksploatacji i utrzymania (obejmu</w:t>
            </w:r>
            <w:r>
              <w:rPr>
                <w:rFonts w:ascii="Calibri" w:eastAsia="Calibri" w:hAnsi="Calibri" w:cs="Calibri"/>
                <w:color w:val="222222"/>
                <w:sz w:val="20"/>
                <w:szCs w:val="20"/>
              </w:rPr>
              <w:t>jące zabiegi utrzymaniowe przywracające stan pierwotny określane także jako nakłady odtworzeniowe</w:t>
            </w:r>
            <w:r>
              <w:rPr>
                <w:rFonts w:ascii="Calibri" w:eastAsia="Calibri" w:hAnsi="Calibri" w:cs="Calibri"/>
                <w:color w:val="000000"/>
                <w:sz w:val="20"/>
                <w:szCs w:val="20"/>
              </w:rPr>
              <w:t>)</w:t>
            </w:r>
          </w:p>
          <w:p w14:paraId="2AEB3779"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rezydualna.</w:t>
            </w:r>
          </w:p>
          <w:p w14:paraId="1CBBDD5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Przy wskaźnikach dla kapitału krajowego (wskaźniki na (K)), należy uwzględnić wartość projektu w kwocie nakładów przypadających na finansowanie ze środków krajowych, tj. z pominięciem środków pozyskanych z funduszy europejskich i finansowania dłużnego (dedykowanego dla finansowania nakładów inwestycyjnych projektu) oraz przepływy związane ze spłatą finansowania dłużnego (kapitał, odsetki, prowizje i opłaty), w okresach ich wystąpienia. Przychody, koszty eksploatacji </w:t>
            </w:r>
            <w:r>
              <w:rPr>
                <w:rFonts w:ascii="Calibri" w:eastAsia="Calibri" w:hAnsi="Calibri" w:cs="Calibri"/>
                <w:color w:val="000000"/>
                <w:sz w:val="20"/>
                <w:szCs w:val="20"/>
              </w:rPr>
              <w:lastRenderedPageBreak/>
              <w:t>i utrzymania oraz wartość rezydualną ujmuje się w takich samych wartościach, jak we wskaźniku na  (C).</w:t>
            </w:r>
          </w:p>
          <w:p w14:paraId="6E266DC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Ramowe zestawienie poszczególnych kategorii przepływów uwzględnianych </w:t>
            </w:r>
            <w:r>
              <w:rPr>
                <w:rFonts w:ascii="Calibri" w:eastAsia="Calibri" w:hAnsi="Calibri" w:cs="Calibri"/>
                <w:color w:val="000000"/>
                <w:sz w:val="20"/>
                <w:szCs w:val="20"/>
              </w:rPr>
              <w:br/>
              <w:t xml:space="preserve">w kalkulacji wskaźników z uwzględnieniem znaku, z jakim należy je uwzględniać, przedstawia tabela. Każda kategoria przepływów powinna być ujęta w analizie </w:t>
            </w:r>
            <w:r>
              <w:rPr>
                <w:rFonts w:ascii="Calibri" w:eastAsia="Calibri" w:hAnsi="Calibri" w:cs="Calibri"/>
                <w:color w:val="000000"/>
                <w:sz w:val="20"/>
                <w:szCs w:val="20"/>
              </w:rPr>
              <w:br/>
              <w:t>w okresie (latach) jej występowania.</w:t>
            </w:r>
          </w:p>
          <w:p w14:paraId="534D4C38" w14:textId="556CF695"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proofErr w:type="spellStart"/>
            <w:r>
              <w:rPr>
                <w:rFonts w:ascii="Calibri" w:eastAsia="Calibri" w:hAnsi="Calibri" w:cs="Calibri"/>
                <w:b/>
                <w:color w:val="4F81BD"/>
                <w:sz w:val="20"/>
                <w:szCs w:val="20"/>
              </w:rPr>
              <w:t>Table</w:t>
            </w:r>
            <w:proofErr w:type="spellEnd"/>
            <w:r>
              <w:rPr>
                <w:rFonts w:ascii="Calibri" w:eastAsia="Calibri" w:hAnsi="Calibri" w:cs="Calibri"/>
                <w:b/>
                <w:color w:val="4F81BD"/>
                <w:sz w:val="20"/>
                <w:szCs w:val="20"/>
              </w:rPr>
              <w:t xml:space="preserve"> 27</w:t>
            </w:r>
            <w:r w:rsidR="00641FB5">
              <w:rPr>
                <w:rFonts w:ascii="Calibri" w:eastAsia="Calibri" w:hAnsi="Calibri" w:cs="Calibri"/>
                <w:b/>
                <w:color w:val="4F81BD"/>
                <w:sz w:val="20"/>
                <w:szCs w:val="20"/>
              </w:rPr>
              <w:t>. Elementy analizy (C) i (K)</w:t>
            </w:r>
          </w:p>
          <w:tbl>
            <w:tblPr>
              <w:tblStyle w:val="affffffc"/>
              <w:tblW w:w="69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305"/>
              <w:gridCol w:w="2305"/>
              <w:gridCol w:w="2305"/>
            </w:tblGrid>
            <w:tr w:rsidR="00600DEE" w14:paraId="1E538DA8" w14:textId="77777777" w:rsidTr="00B250FD">
              <w:trPr>
                <w:trHeight w:val="632"/>
              </w:trPr>
              <w:tc>
                <w:tcPr>
                  <w:tcW w:w="2305" w:type="dxa"/>
                  <w:shd w:val="clear" w:color="auto" w:fill="A6A6A6"/>
                  <w:vAlign w:val="center"/>
                </w:tcPr>
                <w:p w14:paraId="5771E8B8"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Przepływy finansowe</w:t>
                  </w:r>
                </w:p>
              </w:tc>
              <w:tc>
                <w:tcPr>
                  <w:tcW w:w="2305" w:type="dxa"/>
                  <w:shd w:val="clear" w:color="auto" w:fill="A6A6A6"/>
                  <w:vAlign w:val="center"/>
                </w:tcPr>
                <w:p w14:paraId="47F9B5A8"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Wskaźniki rentowności dla całej inwestycji</w:t>
                  </w:r>
                </w:p>
                <w:p w14:paraId="51BACD90"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(na (C))</w:t>
                  </w:r>
                </w:p>
              </w:tc>
              <w:tc>
                <w:tcPr>
                  <w:tcW w:w="2305" w:type="dxa"/>
                  <w:shd w:val="clear" w:color="auto" w:fill="A6A6A6"/>
                  <w:vAlign w:val="center"/>
                </w:tcPr>
                <w:p w14:paraId="066CFDDC"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Wskaźniki rentowności dla kapitału krajowego (na (K))</w:t>
                  </w:r>
                </w:p>
              </w:tc>
            </w:tr>
            <w:tr w:rsidR="00600DEE" w14:paraId="7E79C8C2" w14:textId="77777777" w:rsidTr="00B250FD">
              <w:trPr>
                <w:trHeight w:val="205"/>
              </w:trPr>
              <w:tc>
                <w:tcPr>
                  <w:tcW w:w="2305" w:type="dxa"/>
                  <w:shd w:val="clear" w:color="auto" w:fill="DBE5F1"/>
                </w:tcPr>
                <w:p w14:paraId="066E2A5F"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Całkowite nakłady inwestycyjne</w:t>
                  </w:r>
                </w:p>
              </w:tc>
              <w:tc>
                <w:tcPr>
                  <w:tcW w:w="2305" w:type="dxa"/>
                  <w:shd w:val="clear" w:color="auto" w:fill="DBE5F1"/>
                  <w:vAlign w:val="center"/>
                </w:tcPr>
                <w:p w14:paraId="4B5C24CD"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28FC9F58"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nie dotyczy</w:t>
                  </w:r>
                </w:p>
              </w:tc>
            </w:tr>
            <w:tr w:rsidR="00600DEE" w14:paraId="669E5EC4" w14:textId="77777777" w:rsidTr="00B250FD">
              <w:trPr>
                <w:trHeight w:hRule="exact" w:val="1177"/>
              </w:trPr>
              <w:tc>
                <w:tcPr>
                  <w:tcW w:w="2305" w:type="dxa"/>
                  <w:shd w:val="clear" w:color="auto" w:fill="DBE5F1"/>
                </w:tcPr>
                <w:p w14:paraId="2117B9DB"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Środki krajowe finansujące nakłady (bez wkładu UE i finansowania długiem)</w:t>
                  </w:r>
                </w:p>
              </w:tc>
              <w:tc>
                <w:tcPr>
                  <w:tcW w:w="2305" w:type="dxa"/>
                  <w:shd w:val="clear" w:color="auto" w:fill="DBE5F1"/>
                  <w:vAlign w:val="center"/>
                </w:tcPr>
                <w:p w14:paraId="2641D84F"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nie dotyczy</w:t>
                  </w:r>
                </w:p>
              </w:tc>
              <w:tc>
                <w:tcPr>
                  <w:tcW w:w="2305" w:type="dxa"/>
                  <w:shd w:val="clear" w:color="auto" w:fill="DBE5F1"/>
                  <w:vAlign w:val="center"/>
                </w:tcPr>
                <w:p w14:paraId="471408B2"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5ED1C186" w14:textId="77777777" w:rsidTr="00B250FD">
              <w:trPr>
                <w:trHeight w:val="412"/>
              </w:trPr>
              <w:tc>
                <w:tcPr>
                  <w:tcW w:w="2305" w:type="dxa"/>
                  <w:shd w:val="clear" w:color="auto" w:fill="DBE5F1"/>
                </w:tcPr>
                <w:p w14:paraId="64A677B1"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Koszty utrzymania i eksploatacji (przyrostowo W1-W0)</w:t>
                  </w:r>
                </w:p>
              </w:tc>
              <w:tc>
                <w:tcPr>
                  <w:tcW w:w="2305" w:type="dxa"/>
                  <w:shd w:val="clear" w:color="auto" w:fill="DBE5F1"/>
                  <w:vAlign w:val="center"/>
                </w:tcPr>
                <w:p w14:paraId="614AB01E"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0953618B"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328F9A03" w14:textId="77777777" w:rsidTr="00B250FD">
              <w:trPr>
                <w:trHeight w:val="205"/>
              </w:trPr>
              <w:tc>
                <w:tcPr>
                  <w:tcW w:w="2305" w:type="dxa"/>
                  <w:shd w:val="clear" w:color="auto" w:fill="DBE5F1"/>
                </w:tcPr>
                <w:p w14:paraId="2FFA1C14"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Przychody (przyrostowo W1-W0)</w:t>
                  </w:r>
                </w:p>
              </w:tc>
              <w:tc>
                <w:tcPr>
                  <w:tcW w:w="2305" w:type="dxa"/>
                  <w:shd w:val="clear" w:color="auto" w:fill="DBE5F1"/>
                  <w:vAlign w:val="center"/>
                </w:tcPr>
                <w:p w14:paraId="29140269"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7FAD3322"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5255C287" w14:textId="77777777" w:rsidTr="00B250FD">
              <w:trPr>
                <w:trHeight w:val="1177"/>
              </w:trPr>
              <w:tc>
                <w:tcPr>
                  <w:tcW w:w="2305" w:type="dxa"/>
                  <w:shd w:val="clear" w:color="auto" w:fill="DBE5F1"/>
                </w:tcPr>
                <w:p w14:paraId="4A1425E7"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Spłata rat kapitałowych, odsetki oraz inne opłaty i prowizje dla finansowania dłużnego</w:t>
                  </w:r>
                </w:p>
              </w:tc>
              <w:tc>
                <w:tcPr>
                  <w:tcW w:w="2305" w:type="dxa"/>
                  <w:shd w:val="clear" w:color="auto" w:fill="DBE5F1"/>
                  <w:vAlign w:val="center"/>
                </w:tcPr>
                <w:p w14:paraId="01FEED55"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nie dotyczy</w:t>
                  </w:r>
                </w:p>
              </w:tc>
              <w:tc>
                <w:tcPr>
                  <w:tcW w:w="2305" w:type="dxa"/>
                  <w:shd w:val="clear" w:color="auto" w:fill="DBE5F1"/>
                  <w:vAlign w:val="center"/>
                </w:tcPr>
                <w:p w14:paraId="2BE38443"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48155ADD" w14:textId="77777777" w:rsidTr="00B250FD">
              <w:trPr>
                <w:trHeight w:val="220"/>
              </w:trPr>
              <w:tc>
                <w:tcPr>
                  <w:tcW w:w="2305" w:type="dxa"/>
                  <w:shd w:val="clear" w:color="auto" w:fill="DBE5F1"/>
                </w:tcPr>
                <w:p w14:paraId="3F148AC3"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Wartość rezydualna</w:t>
                  </w:r>
                </w:p>
              </w:tc>
              <w:tc>
                <w:tcPr>
                  <w:tcW w:w="2305" w:type="dxa"/>
                  <w:shd w:val="clear" w:color="auto" w:fill="DBE5F1"/>
                  <w:vAlign w:val="center"/>
                </w:tcPr>
                <w:p w14:paraId="121C2CE4"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5DF2D655"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bl>
          <w:p w14:paraId="0F8EB3B3" w14:textId="6122EDCE" w:rsidR="000117E4" w:rsidRPr="00841992" w:rsidRDefault="00641FB5" w:rsidP="00841992">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0A597C45" w14:textId="77777777" w:rsidR="007E2ECA" w:rsidRDefault="007E2ECA" w:rsidP="007E2ECA">
            <w:pPr>
              <w:pStyle w:val="anxnormal"/>
              <w:spacing w:after="120"/>
              <w:ind w:left="0"/>
              <w:rPr>
                <w:rFonts w:asciiTheme="minorHAnsi" w:hAnsiTheme="minorHAnsi"/>
              </w:rPr>
            </w:pPr>
            <w:r w:rsidRPr="007E2ECA">
              <w:rPr>
                <w:rFonts w:asciiTheme="minorHAnsi" w:hAnsiTheme="minorHAnsi"/>
              </w:rPr>
              <w:t>W przypadku dużych projektów realizowanych w systemie PPP, analiza finansowa powinna uwzględniać poniższe aspekty zgodnie z „Przewodnikiem do analizy kosztów i korzyści projektów inwestycyjnych - Narzędzie oceny ekonomicznej dla polityki spójności 2014-2020”.</w:t>
            </w:r>
            <w:r>
              <w:rPr>
                <w:rFonts w:asciiTheme="minorHAnsi" w:hAnsiTheme="minorHAnsi"/>
              </w:rPr>
              <w:t xml:space="preserve"> </w:t>
            </w:r>
          </w:p>
          <w:p w14:paraId="4DF5D46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Po pierwsze, należy przeprowadzić analizę skonsolidowaną w celu obliczenia ogólnej rentowności inwestycji. Po drugie, w celu sprawdzenia rentowności kapitału i aby </w:t>
            </w:r>
            <w:r>
              <w:rPr>
                <w:rFonts w:ascii="Calibri" w:eastAsia="Calibri" w:hAnsi="Calibri" w:cs="Calibri"/>
                <w:color w:val="000000"/>
                <w:sz w:val="20"/>
                <w:szCs w:val="20"/>
              </w:rPr>
              <w:lastRenderedPageBreak/>
              <w:t>uniknąć nadmiernie wysokiego zysku ze wsparcia UE, zwrot z kapitału jest obliczany oddzielnie dla partnera prywatnego i partnera publicznego. Wyniki dla partnera prywatnego należy porównać z krajowymi standardami dotyczącymi oczekiwanego zysku w danym sektorze. Zawsze, gdy partner prywatny jest wybierany na podstawie najkorzystniejszego ekonomicznie kryterium przetargowego, w drodze otwartego zamówienia publicznego, zakłada się, że takie dostosowanie do standardów krajowych jest automatycznie spełnione. Wynik dla partnera publicznego powinien być porównywany z finansową stopą dyskontową, w celu sprawdzenia czy projekt nie jest nadmiernie dofinansowany.</w:t>
            </w:r>
          </w:p>
          <w:p w14:paraId="6AE153E5"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Stopa zwrotu z kapitału prywatnego - FRR (</w:t>
            </w:r>
            <w:proofErr w:type="spellStart"/>
            <w:r>
              <w:rPr>
                <w:rFonts w:ascii="Calibri" w:eastAsia="Calibri" w:hAnsi="Calibri" w:cs="Calibri"/>
                <w:color w:val="000000"/>
                <w:sz w:val="20"/>
                <w:szCs w:val="20"/>
              </w:rPr>
              <w:t>Kp</w:t>
            </w:r>
            <w:proofErr w:type="spellEnd"/>
            <w:r>
              <w:rPr>
                <w:rFonts w:ascii="Calibri" w:eastAsia="Calibri" w:hAnsi="Calibri" w:cs="Calibri"/>
                <w:color w:val="000000"/>
                <w:sz w:val="20"/>
                <w:szCs w:val="20"/>
              </w:rPr>
              <w:t xml:space="preserve">) </w:t>
            </w:r>
            <w:r>
              <w:rPr>
                <w:rFonts w:ascii="Calibri" w:eastAsia="Calibri" w:hAnsi="Calibri" w:cs="Calibri"/>
                <w:color w:val="333399"/>
                <w:sz w:val="20"/>
                <w:szCs w:val="20"/>
              </w:rPr>
              <w:t>–</w:t>
            </w:r>
            <w:r>
              <w:rPr>
                <w:rFonts w:ascii="Calibri" w:eastAsia="Calibri" w:hAnsi="Calibri" w:cs="Calibri"/>
                <w:color w:val="000000"/>
                <w:sz w:val="20"/>
                <w:szCs w:val="20"/>
              </w:rPr>
              <w:t xml:space="preserve"> oblicza się porównując wszystkie przychody partnera prywatnego, po potrąceniu kosztów operacyjnych, w tym opłaty koncesyjnej, (jeśli była wniesiona), z nakładami finansowymi ponoszonymi w trakcie realizacji inwestycji (zarówno z kapitału własnego jak i pożyczek).</w:t>
            </w:r>
          </w:p>
          <w:p w14:paraId="3D353F2E" w14:textId="0E64FD0D"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Stopa zwrotu z kapitału publicznego - FRR (Kg) </w:t>
            </w:r>
            <w:r>
              <w:rPr>
                <w:rFonts w:ascii="Calibri" w:eastAsia="Calibri" w:hAnsi="Calibri" w:cs="Calibri"/>
                <w:color w:val="333399"/>
                <w:sz w:val="20"/>
                <w:szCs w:val="20"/>
              </w:rPr>
              <w:t>–</w:t>
            </w:r>
            <w:r>
              <w:rPr>
                <w:rFonts w:ascii="Calibri" w:eastAsia="Calibri" w:hAnsi="Calibri" w:cs="Calibri"/>
                <w:color w:val="000000"/>
                <w:sz w:val="20"/>
                <w:szCs w:val="20"/>
              </w:rPr>
              <w:t xml:space="preserve"> porównuje przychody partnera publicznego, zwykle pochodzące z opłaty koncesyjnej, </w:t>
            </w:r>
            <w:r>
              <w:rPr>
                <w:rFonts w:ascii="Calibri" w:eastAsia="Calibri" w:hAnsi="Calibri" w:cs="Calibri"/>
                <w:color w:val="000000"/>
                <w:sz w:val="20"/>
                <w:szCs w:val="20"/>
              </w:rPr>
              <w:br/>
              <w:t>z wyłączeniem kosztów zarządzania umową, z nakładami finansowymi ponoszonymi w czasie realizacji inwestycji (zarówno z kapitału własnego jak i pożyczek).</w:t>
            </w:r>
          </w:p>
          <w:p w14:paraId="3C388DE6"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C4DDC5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1B1F6E4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524C3AD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2D27A03B"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C2E222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9DFE65B"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7A24451"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5E575AC1"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615C5D0B" w14:textId="6723AAAB"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tc>
        <w:tc>
          <w:tcPr>
            <w:tcW w:w="7217" w:type="dxa"/>
            <w:tcBorders>
              <w:left w:val="single" w:sz="4" w:space="0" w:color="000000"/>
            </w:tcBorders>
            <w:tcMar>
              <w:left w:w="284" w:type="dxa"/>
              <w:right w:w="284" w:type="dxa"/>
            </w:tcMar>
          </w:tcPr>
          <w:p w14:paraId="2F6A5BB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Assessing financial profitability means calculating financial performance indicators and interpreting the results (only for toll roads).</w:t>
            </w:r>
          </w:p>
          <w:p w14:paraId="1E4D6AD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sidRPr="0045151D">
              <w:rPr>
                <w:rFonts w:ascii="Calibri" w:eastAsia="Calibri" w:hAnsi="Calibri" w:cs="Calibri"/>
                <w:color w:val="000000"/>
                <w:sz w:val="20"/>
                <w:szCs w:val="20"/>
                <w:lang w:val="en-GB"/>
              </w:rPr>
              <w:t xml:space="preserve">This point of the analysis involves calculation of financial indicators for the project, on the basis of which the profitability assessment is performed. </w:t>
            </w:r>
            <w:proofErr w:type="spellStart"/>
            <w:r>
              <w:rPr>
                <w:rFonts w:ascii="Calibri" w:eastAsia="Calibri" w:hAnsi="Calibri" w:cs="Calibri"/>
                <w:color w:val="000000"/>
                <w:sz w:val="20"/>
                <w:szCs w:val="20"/>
              </w:rPr>
              <w:t>Two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basic</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groups</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indicators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are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distinguished</w:t>
            </w:r>
            <w:proofErr w:type="spellEnd"/>
            <w:r>
              <w:rPr>
                <w:rFonts w:ascii="Calibri" w:eastAsia="Calibri" w:hAnsi="Calibri" w:cs="Calibri"/>
                <w:color w:val="000000"/>
                <w:sz w:val="20"/>
                <w:szCs w:val="20"/>
              </w:rPr>
              <w:t>:</w:t>
            </w:r>
          </w:p>
          <w:p w14:paraId="1B07F759"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Profitability indicators for the entire investment (project costs) – the so-called indicators with (C),</w:t>
            </w:r>
          </w:p>
          <w:p w14:paraId="1BA8CAE1"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Profitability indicators for the domestic capital – indicators with (K).</w:t>
            </w:r>
          </w:p>
          <w:p w14:paraId="357BE066" w14:textId="77777777" w:rsidR="00600DEE" w:rsidRDefault="00641FB5">
            <w:p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 xml:space="preserve">Basic </w:t>
            </w:r>
            <w:proofErr w:type="spellStart"/>
            <w:r>
              <w:rPr>
                <w:rFonts w:ascii="Calibri" w:eastAsia="Calibri" w:hAnsi="Calibri" w:cs="Calibri"/>
                <w:color w:val="000000"/>
                <w:sz w:val="20"/>
                <w:szCs w:val="20"/>
              </w:rPr>
              <w:t>indicators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include</w:t>
            </w:r>
            <w:proofErr w:type="spellEnd"/>
            <w:r>
              <w:rPr>
                <w:rFonts w:ascii="Calibri" w:eastAsia="Calibri" w:hAnsi="Calibri" w:cs="Calibri"/>
                <w:color w:val="000000"/>
                <w:sz w:val="20"/>
                <w:szCs w:val="20"/>
              </w:rPr>
              <w:t xml:space="preserve">: </w:t>
            </w:r>
          </w:p>
          <w:p w14:paraId="6C5C678B"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Net present value (FNPV) which is the sum of the discounted financial flows of the project,</w:t>
            </w:r>
          </w:p>
          <w:p w14:paraId="2FFD2C12"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Internal rate of return (FRR), specifying the value of the discount rate, for which the net present value reaches zero.</w:t>
            </w:r>
          </w:p>
          <w:p w14:paraId="1E9069A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case of calculating the above indicators for the entire investment (indicators with C), it is necessary to include all project flows in the entire time horizon of the analysis, that is:</w:t>
            </w:r>
          </w:p>
          <w:p w14:paraId="253237F0" w14:textId="77777777" w:rsidR="00600DEE"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Revenue</w:t>
            </w:r>
            <w:proofErr w:type="spellEnd"/>
          </w:p>
          <w:p w14:paraId="1298A6DD" w14:textId="77777777" w:rsidR="00600DEE"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 xml:space="preserve">Capital </w:t>
            </w:r>
            <w:proofErr w:type="spellStart"/>
            <w:r>
              <w:rPr>
                <w:rFonts w:ascii="Calibri" w:eastAsia="Calibri" w:hAnsi="Calibri" w:cs="Calibri"/>
                <w:color w:val="000000"/>
                <w:sz w:val="20"/>
                <w:szCs w:val="20"/>
              </w:rPr>
              <w:t>expenditures</w:t>
            </w:r>
            <w:proofErr w:type="spellEnd"/>
          </w:p>
          <w:p w14:paraId="05463A5D" w14:textId="77777777" w:rsidR="00600DEE" w:rsidRPr="0045151D"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Operating and maintenance costs (including heavy/periodic maintenance also referred to as replacement costs)</w:t>
            </w:r>
          </w:p>
          <w:p w14:paraId="7239BF99" w14:textId="77777777" w:rsidR="00600DEE"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Residual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value</w:t>
            </w:r>
            <w:proofErr w:type="spellEnd"/>
            <w:r>
              <w:rPr>
                <w:rFonts w:ascii="Calibri" w:eastAsia="Calibri" w:hAnsi="Calibri" w:cs="Calibri"/>
                <w:color w:val="000000"/>
                <w:sz w:val="20"/>
                <w:szCs w:val="20"/>
              </w:rPr>
              <w:t>.</w:t>
            </w:r>
          </w:p>
          <w:p w14:paraId="2C784B2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case of indicators for the domestic capital (indicators with (K)), it is necessary to take into account the project value in the amount of expenditures for the financing from domestic funds, i.e. omitting funds acquired from European funds and debt financing (dedicated to financing the capital expenditures of the project), and flows connected with repayment of debt financing (principal, interest, commission and fees), in the periods in which they occur. Revenue, operating and </w:t>
            </w:r>
            <w:r w:rsidRPr="0045151D">
              <w:rPr>
                <w:rFonts w:ascii="Calibri" w:eastAsia="Calibri" w:hAnsi="Calibri" w:cs="Calibri"/>
                <w:color w:val="000000"/>
                <w:sz w:val="20"/>
                <w:szCs w:val="20"/>
                <w:lang w:val="en-GB"/>
              </w:rPr>
              <w:lastRenderedPageBreak/>
              <w:t>maintenance costs, as well as residual value, are recognised in the same values as in the indicator with  (C).</w:t>
            </w:r>
          </w:p>
          <w:p w14:paraId="1DE86A65"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following table presents a framework summary of individual categories of flows included in the calculation of indicators, including the sign with which those flows are to be included. Each category of flows should be recognised in the analysis within the period (years) of its occurrence.</w:t>
            </w:r>
          </w:p>
          <w:p w14:paraId="784659E3" w14:textId="7B6C7A82"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27</w:t>
            </w:r>
            <w:r w:rsidR="00641FB5" w:rsidRPr="0045151D">
              <w:rPr>
                <w:rFonts w:ascii="Calibri" w:eastAsia="Calibri" w:hAnsi="Calibri" w:cs="Calibri"/>
                <w:b/>
                <w:color w:val="4F81BD"/>
                <w:sz w:val="20"/>
                <w:szCs w:val="20"/>
                <w:lang w:val="en-GB"/>
              </w:rPr>
              <w:t>. Elements of analysis (C) and (K)</w:t>
            </w:r>
          </w:p>
          <w:tbl>
            <w:tblPr>
              <w:tblStyle w:val="affffffd"/>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53"/>
              <w:gridCol w:w="2311"/>
              <w:gridCol w:w="2375"/>
            </w:tblGrid>
            <w:tr w:rsidR="00600DEE" w:rsidRPr="007463B9" w14:paraId="48D55A2E" w14:textId="77777777">
              <w:trPr>
                <w:trHeight w:val="670"/>
              </w:trPr>
              <w:tc>
                <w:tcPr>
                  <w:tcW w:w="2253" w:type="dxa"/>
                  <w:shd w:val="clear" w:color="auto" w:fill="A6A6A6"/>
                  <w:vAlign w:val="center"/>
                </w:tcPr>
                <w:p w14:paraId="3DF35852"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Financial </w:t>
                  </w:r>
                  <w:proofErr w:type="spellStart"/>
                  <w:r>
                    <w:rPr>
                      <w:rFonts w:ascii="Calibri" w:eastAsia="Calibri" w:hAnsi="Calibri" w:cs="Calibri"/>
                      <w:b/>
                      <w:color w:val="FFFFFF"/>
                      <w:sz w:val="20"/>
                      <w:szCs w:val="20"/>
                    </w:rPr>
                    <w:t>flows</w:t>
                  </w:r>
                  <w:proofErr w:type="spellEnd"/>
                </w:p>
              </w:tc>
              <w:tc>
                <w:tcPr>
                  <w:tcW w:w="2311" w:type="dxa"/>
                  <w:shd w:val="clear" w:color="auto" w:fill="A6A6A6"/>
                  <w:vAlign w:val="center"/>
                </w:tcPr>
                <w:p w14:paraId="3B900932" w14:textId="77777777" w:rsidR="00600DEE" w:rsidRPr="0045151D" w:rsidRDefault="00641FB5">
                  <w:pPr>
                    <w:jc w:val="center"/>
                    <w:rPr>
                      <w:rFonts w:ascii="Calibri" w:eastAsia="Calibri" w:hAnsi="Calibri" w:cs="Calibri"/>
                      <w:b/>
                      <w:color w:val="FFFFFF"/>
                      <w:sz w:val="20"/>
                      <w:szCs w:val="20"/>
                      <w:lang w:val="en-GB"/>
                    </w:rPr>
                  </w:pPr>
                  <w:r w:rsidRPr="0045151D">
                    <w:rPr>
                      <w:rFonts w:ascii="Calibri" w:eastAsia="Calibri" w:hAnsi="Calibri" w:cs="Calibri"/>
                      <w:b/>
                      <w:color w:val="FFFFFF"/>
                      <w:sz w:val="20"/>
                      <w:szCs w:val="20"/>
                      <w:lang w:val="en-GB"/>
                    </w:rPr>
                    <w:t>Profitability indicators for the entire investment (with (C))</w:t>
                  </w:r>
                </w:p>
              </w:tc>
              <w:tc>
                <w:tcPr>
                  <w:tcW w:w="2375" w:type="dxa"/>
                  <w:shd w:val="clear" w:color="auto" w:fill="A6A6A6"/>
                  <w:vAlign w:val="center"/>
                </w:tcPr>
                <w:p w14:paraId="1FBDA0FA" w14:textId="77777777" w:rsidR="00600DEE" w:rsidRPr="0045151D" w:rsidRDefault="00641FB5">
                  <w:pPr>
                    <w:jc w:val="center"/>
                    <w:rPr>
                      <w:rFonts w:ascii="Calibri" w:eastAsia="Calibri" w:hAnsi="Calibri" w:cs="Calibri"/>
                      <w:b/>
                      <w:color w:val="FFFFFF"/>
                      <w:sz w:val="20"/>
                      <w:szCs w:val="20"/>
                      <w:lang w:val="en-GB"/>
                    </w:rPr>
                  </w:pPr>
                  <w:r w:rsidRPr="0045151D">
                    <w:rPr>
                      <w:rFonts w:ascii="Calibri" w:eastAsia="Calibri" w:hAnsi="Calibri" w:cs="Calibri"/>
                      <w:b/>
                      <w:color w:val="FFFFFF"/>
                      <w:sz w:val="20"/>
                      <w:szCs w:val="20"/>
                      <w:lang w:val="en-GB"/>
                    </w:rPr>
                    <w:t>Profitability indicators for the domestic capital (with (K))</w:t>
                  </w:r>
                </w:p>
              </w:tc>
            </w:tr>
            <w:tr w:rsidR="00600DEE" w14:paraId="740CE4F8" w14:textId="77777777">
              <w:trPr>
                <w:trHeight w:val="218"/>
              </w:trPr>
              <w:tc>
                <w:tcPr>
                  <w:tcW w:w="2253" w:type="dxa"/>
                  <w:shd w:val="clear" w:color="auto" w:fill="DBE5F1"/>
                </w:tcPr>
                <w:p w14:paraId="3BF17BDD" w14:textId="77777777" w:rsidR="00600DEE" w:rsidRDefault="00641FB5" w:rsidP="00841992">
                  <w:pPr>
                    <w:jc w:val="center"/>
                    <w:rPr>
                      <w:rFonts w:ascii="Calibri" w:eastAsia="Calibri" w:hAnsi="Calibri" w:cs="Calibri"/>
                      <w:color w:val="4F81BD"/>
                      <w:sz w:val="20"/>
                      <w:szCs w:val="20"/>
                    </w:rPr>
                  </w:pPr>
                  <w:r>
                    <w:rPr>
                      <w:rFonts w:ascii="Calibri" w:eastAsia="Calibri" w:hAnsi="Calibri" w:cs="Calibri"/>
                      <w:color w:val="4F81BD"/>
                      <w:sz w:val="20"/>
                      <w:szCs w:val="20"/>
                    </w:rPr>
                    <w:t xml:space="preserve">Total </w:t>
                  </w:r>
                  <w:proofErr w:type="spellStart"/>
                  <w:r>
                    <w:rPr>
                      <w:rFonts w:ascii="Calibri" w:eastAsia="Calibri" w:hAnsi="Calibri" w:cs="Calibri"/>
                      <w:color w:val="4F81BD"/>
                      <w:sz w:val="20"/>
                      <w:szCs w:val="20"/>
                    </w:rPr>
                    <w:t>capital</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expenditure</w:t>
                  </w:r>
                  <w:proofErr w:type="spellEnd"/>
                </w:p>
              </w:tc>
              <w:tc>
                <w:tcPr>
                  <w:tcW w:w="2311" w:type="dxa"/>
                  <w:shd w:val="clear" w:color="auto" w:fill="DBE5F1"/>
                  <w:vAlign w:val="center"/>
                </w:tcPr>
                <w:p w14:paraId="3A29AF5E"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75" w:type="dxa"/>
                  <w:shd w:val="clear" w:color="auto" w:fill="DBE5F1"/>
                  <w:vAlign w:val="center"/>
                </w:tcPr>
                <w:p w14:paraId="6C397A12" w14:textId="77777777" w:rsidR="00600DEE" w:rsidRDefault="00641FB5">
                  <w:pPr>
                    <w:jc w:val="center"/>
                    <w:rPr>
                      <w:rFonts w:ascii="Calibri" w:eastAsia="Calibri" w:hAnsi="Calibri" w:cs="Calibri"/>
                      <w:i/>
                      <w:color w:val="4F81BD"/>
                      <w:sz w:val="20"/>
                      <w:szCs w:val="20"/>
                    </w:rPr>
                  </w:pPr>
                  <w:r>
                    <w:rPr>
                      <w:rFonts w:ascii="Calibri" w:eastAsia="Calibri" w:hAnsi="Calibri" w:cs="Calibri"/>
                      <w:i/>
                      <w:color w:val="4F81BD"/>
                      <w:sz w:val="20"/>
                      <w:szCs w:val="20"/>
                    </w:rPr>
                    <w:t xml:space="preserve">not </w:t>
                  </w:r>
                  <w:proofErr w:type="spellStart"/>
                  <w:r>
                    <w:rPr>
                      <w:rFonts w:ascii="Calibri" w:eastAsia="Calibri" w:hAnsi="Calibri" w:cs="Calibri"/>
                      <w:i/>
                      <w:color w:val="4F81BD"/>
                      <w:sz w:val="20"/>
                      <w:szCs w:val="20"/>
                    </w:rPr>
                    <w:t>applicable</w:t>
                  </w:r>
                  <w:proofErr w:type="spellEnd"/>
                </w:p>
              </w:tc>
            </w:tr>
            <w:tr w:rsidR="00600DEE" w14:paraId="59CBA574" w14:textId="77777777" w:rsidTr="00841992">
              <w:trPr>
                <w:trHeight w:hRule="exact" w:val="1247"/>
              </w:trPr>
              <w:tc>
                <w:tcPr>
                  <w:tcW w:w="2253" w:type="dxa"/>
                  <w:shd w:val="clear" w:color="auto" w:fill="DBE5F1"/>
                </w:tcPr>
                <w:p w14:paraId="2DB8F59B" w14:textId="77777777" w:rsidR="00600DEE" w:rsidRPr="0045151D" w:rsidRDefault="00641FB5" w:rsidP="00841992">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Domestic funds financing expenditure (without EU contribution and debt financing)</w:t>
                  </w:r>
                </w:p>
              </w:tc>
              <w:tc>
                <w:tcPr>
                  <w:tcW w:w="2311" w:type="dxa"/>
                  <w:shd w:val="clear" w:color="auto" w:fill="DBE5F1"/>
                  <w:vAlign w:val="center"/>
                </w:tcPr>
                <w:p w14:paraId="2BB30A5C" w14:textId="77777777" w:rsidR="00600DEE" w:rsidRDefault="00641FB5">
                  <w:pPr>
                    <w:jc w:val="center"/>
                    <w:rPr>
                      <w:rFonts w:ascii="Calibri" w:eastAsia="Calibri" w:hAnsi="Calibri" w:cs="Calibri"/>
                      <w:i/>
                      <w:color w:val="4F81BD"/>
                      <w:sz w:val="20"/>
                      <w:szCs w:val="20"/>
                    </w:rPr>
                  </w:pPr>
                  <w:r>
                    <w:rPr>
                      <w:rFonts w:ascii="Calibri" w:eastAsia="Calibri" w:hAnsi="Calibri" w:cs="Calibri"/>
                      <w:i/>
                      <w:color w:val="4F81BD"/>
                      <w:sz w:val="20"/>
                      <w:szCs w:val="20"/>
                    </w:rPr>
                    <w:t xml:space="preserve">not </w:t>
                  </w:r>
                  <w:proofErr w:type="spellStart"/>
                  <w:r>
                    <w:rPr>
                      <w:rFonts w:ascii="Calibri" w:eastAsia="Calibri" w:hAnsi="Calibri" w:cs="Calibri"/>
                      <w:i/>
                      <w:color w:val="4F81BD"/>
                      <w:sz w:val="20"/>
                      <w:szCs w:val="20"/>
                    </w:rPr>
                    <w:t>applicable</w:t>
                  </w:r>
                  <w:proofErr w:type="spellEnd"/>
                </w:p>
              </w:tc>
              <w:tc>
                <w:tcPr>
                  <w:tcW w:w="2375" w:type="dxa"/>
                  <w:shd w:val="clear" w:color="auto" w:fill="DBE5F1"/>
                  <w:vAlign w:val="center"/>
                </w:tcPr>
                <w:p w14:paraId="0EA1371A"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7A93C295" w14:textId="77777777">
              <w:trPr>
                <w:trHeight w:val="437"/>
              </w:trPr>
              <w:tc>
                <w:tcPr>
                  <w:tcW w:w="2253" w:type="dxa"/>
                  <w:shd w:val="clear" w:color="auto" w:fill="DBE5F1"/>
                </w:tcPr>
                <w:p w14:paraId="74973824" w14:textId="77777777" w:rsidR="00600DEE" w:rsidRPr="0045151D" w:rsidRDefault="00641FB5" w:rsidP="00841992">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Maintenance and operating costs (incremental W1 – W0)</w:t>
                  </w:r>
                </w:p>
              </w:tc>
              <w:tc>
                <w:tcPr>
                  <w:tcW w:w="2311" w:type="dxa"/>
                  <w:shd w:val="clear" w:color="auto" w:fill="DBE5F1"/>
                  <w:vAlign w:val="center"/>
                </w:tcPr>
                <w:p w14:paraId="6851B795"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75" w:type="dxa"/>
                  <w:shd w:val="clear" w:color="auto" w:fill="DBE5F1"/>
                  <w:vAlign w:val="center"/>
                </w:tcPr>
                <w:p w14:paraId="21FCCEBC"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2884A556" w14:textId="77777777">
              <w:trPr>
                <w:trHeight w:val="218"/>
              </w:trPr>
              <w:tc>
                <w:tcPr>
                  <w:tcW w:w="2253" w:type="dxa"/>
                  <w:shd w:val="clear" w:color="auto" w:fill="DBE5F1"/>
                </w:tcPr>
                <w:p w14:paraId="119CC87D" w14:textId="77777777" w:rsidR="00600DEE" w:rsidRDefault="00641FB5" w:rsidP="00841992">
                  <w:pPr>
                    <w:jc w:val="center"/>
                    <w:rPr>
                      <w:rFonts w:ascii="Calibri" w:eastAsia="Calibri" w:hAnsi="Calibri" w:cs="Calibri"/>
                      <w:color w:val="4F81BD"/>
                      <w:sz w:val="20"/>
                      <w:szCs w:val="20"/>
                    </w:rPr>
                  </w:pPr>
                  <w:proofErr w:type="spellStart"/>
                  <w:r>
                    <w:rPr>
                      <w:rFonts w:ascii="Calibri" w:eastAsia="Calibri" w:hAnsi="Calibri" w:cs="Calibri"/>
                      <w:color w:val="4F81BD"/>
                      <w:sz w:val="20"/>
                      <w:szCs w:val="20"/>
                    </w:rPr>
                    <w:t>Revenue</w:t>
                  </w:r>
                  <w:proofErr w:type="spellEnd"/>
                  <w:r>
                    <w:rPr>
                      <w:rFonts w:ascii="Calibri" w:eastAsia="Calibri" w:hAnsi="Calibri" w:cs="Calibri"/>
                      <w:color w:val="4F81BD"/>
                      <w:sz w:val="20"/>
                      <w:szCs w:val="20"/>
                    </w:rPr>
                    <w:t xml:space="preserve"> (</w:t>
                  </w:r>
                  <w:proofErr w:type="spellStart"/>
                  <w:r>
                    <w:rPr>
                      <w:rFonts w:ascii="Calibri" w:eastAsia="Calibri" w:hAnsi="Calibri" w:cs="Calibri"/>
                      <w:color w:val="4F81BD"/>
                      <w:sz w:val="20"/>
                      <w:szCs w:val="20"/>
                    </w:rPr>
                    <w:t>incremental</w:t>
                  </w:r>
                  <w:proofErr w:type="spellEnd"/>
                  <w:r>
                    <w:rPr>
                      <w:rFonts w:ascii="Calibri" w:eastAsia="Calibri" w:hAnsi="Calibri" w:cs="Calibri"/>
                      <w:color w:val="4F81BD"/>
                      <w:sz w:val="20"/>
                      <w:szCs w:val="20"/>
                    </w:rPr>
                    <w:t xml:space="preserve"> W1 – W0)</w:t>
                  </w:r>
                </w:p>
              </w:tc>
              <w:tc>
                <w:tcPr>
                  <w:tcW w:w="2311" w:type="dxa"/>
                  <w:shd w:val="clear" w:color="auto" w:fill="DBE5F1"/>
                  <w:vAlign w:val="center"/>
                </w:tcPr>
                <w:p w14:paraId="46C42EB7"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75" w:type="dxa"/>
                  <w:shd w:val="clear" w:color="auto" w:fill="DBE5F1"/>
                  <w:vAlign w:val="center"/>
                </w:tcPr>
                <w:p w14:paraId="6F40EB02"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rsidRPr="007463B9" w14:paraId="1693B5BD" w14:textId="77777777" w:rsidTr="00841992">
              <w:trPr>
                <w:trHeight w:val="1247"/>
              </w:trPr>
              <w:tc>
                <w:tcPr>
                  <w:tcW w:w="2253" w:type="dxa"/>
                  <w:shd w:val="clear" w:color="auto" w:fill="DBE5F1"/>
                </w:tcPr>
                <w:p w14:paraId="03C7A698" w14:textId="77777777" w:rsidR="00600DEE" w:rsidRPr="0045151D" w:rsidRDefault="00641FB5" w:rsidP="00841992">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Repayment of principal instalments, interest and other fees and commission for debt financing</w:t>
                  </w:r>
                </w:p>
              </w:tc>
              <w:tc>
                <w:tcPr>
                  <w:tcW w:w="2311" w:type="dxa"/>
                  <w:shd w:val="clear" w:color="auto" w:fill="DBE5F1"/>
                  <w:vAlign w:val="center"/>
                </w:tcPr>
                <w:p w14:paraId="1D4EBA3C"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i/>
                      <w:color w:val="4F81BD"/>
                      <w:sz w:val="20"/>
                      <w:szCs w:val="20"/>
                      <w:lang w:val="en-GB"/>
                    </w:rPr>
                    <w:t>not applicable</w:t>
                  </w:r>
                </w:p>
              </w:tc>
              <w:tc>
                <w:tcPr>
                  <w:tcW w:w="2375" w:type="dxa"/>
                  <w:shd w:val="clear" w:color="auto" w:fill="DBE5F1"/>
                  <w:vAlign w:val="center"/>
                </w:tcPr>
                <w:p w14:paraId="704B5F4B"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t>
                  </w:r>
                </w:p>
              </w:tc>
            </w:tr>
            <w:tr w:rsidR="00600DEE" w:rsidRPr="007463B9" w14:paraId="5D6A63D1" w14:textId="77777777">
              <w:trPr>
                <w:trHeight w:val="233"/>
              </w:trPr>
              <w:tc>
                <w:tcPr>
                  <w:tcW w:w="2253" w:type="dxa"/>
                  <w:shd w:val="clear" w:color="auto" w:fill="DBE5F1"/>
                </w:tcPr>
                <w:p w14:paraId="3BAFBFF2" w14:textId="77777777" w:rsidR="00600DEE" w:rsidRPr="0045151D" w:rsidRDefault="00641FB5">
                  <w:pP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Residual value</w:t>
                  </w:r>
                </w:p>
              </w:tc>
              <w:tc>
                <w:tcPr>
                  <w:tcW w:w="2311" w:type="dxa"/>
                  <w:shd w:val="clear" w:color="auto" w:fill="DBE5F1"/>
                  <w:vAlign w:val="center"/>
                </w:tcPr>
                <w:p w14:paraId="606367CD"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t>
                  </w:r>
                </w:p>
              </w:tc>
              <w:tc>
                <w:tcPr>
                  <w:tcW w:w="2375" w:type="dxa"/>
                  <w:shd w:val="clear" w:color="auto" w:fill="DBE5F1"/>
                  <w:vAlign w:val="center"/>
                </w:tcPr>
                <w:p w14:paraId="609208D9"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t>
                  </w:r>
                </w:p>
              </w:tc>
            </w:tr>
          </w:tbl>
          <w:p w14:paraId="558433D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7282F7C0" w14:textId="77777777" w:rsidR="007E2ECA" w:rsidRDefault="007E2ECA" w:rsidP="007E2ECA">
            <w:pPr>
              <w:pStyle w:val="anxnormal"/>
              <w:spacing w:after="120"/>
              <w:ind w:left="0"/>
              <w:rPr>
                <w:rFonts w:asciiTheme="minorHAnsi" w:hAnsiTheme="minorHAnsi"/>
                <w:lang w:val="en-GB"/>
              </w:rPr>
            </w:pPr>
            <w:r w:rsidRPr="00B52A29">
              <w:rPr>
                <w:rFonts w:asciiTheme="minorHAnsi" w:hAnsiTheme="minorHAnsi"/>
                <w:lang w:val="en-GB"/>
              </w:rPr>
              <w:t>For major projects implemented as a PPP, financial analysis should consider the aspects below in accordance with the ”Guide to Cost-benefit Analysis of Investment Projects - Economic appraisal tool for Cohesion Policy 2014-2020”.</w:t>
            </w:r>
            <w:r>
              <w:rPr>
                <w:rFonts w:asciiTheme="minorHAnsi" w:hAnsiTheme="minorHAnsi"/>
                <w:lang w:val="en-GB"/>
              </w:rPr>
              <w:t xml:space="preserve"> </w:t>
            </w:r>
          </w:p>
          <w:p w14:paraId="4BC5ED63" w14:textId="77777777" w:rsidR="00600DEE" w:rsidRPr="0045151D" w:rsidRDefault="00641FB5" w:rsidP="000117E4">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Firstly, a consolidated analysis should be carried out in order to calculate the overall investment profitability. Secondly, in order to check profitability of the capital to avoid unduly high profit generated by the EU support, the return on </w:t>
            </w:r>
            <w:r w:rsidRPr="0045151D">
              <w:rPr>
                <w:rFonts w:ascii="Calibri" w:eastAsia="Calibri" w:hAnsi="Calibri" w:cs="Calibri"/>
                <w:color w:val="000000"/>
                <w:sz w:val="20"/>
                <w:szCs w:val="20"/>
                <w:lang w:val="en-GB"/>
              </w:rPr>
              <w:lastRenderedPageBreak/>
              <w:t>capital shall be calculated separately for the private partner and public partner. The results for the private partner shall be compared with national benchmarks on expected profitability in the given sector. Whenever the private partner is selected on the basis of the most economically advantageous tender criterion, through open public procurement, it is expected that such alignment with national benchmarks is automatically fulfilled. The result for the public partner should be compared with the financial discount rate in order to ensure the project is not over-financed.</w:t>
            </w:r>
          </w:p>
          <w:p w14:paraId="0330DBD7"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46E77AA"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rate of return on private equity – FRR(</w:t>
            </w:r>
            <w:proofErr w:type="spellStart"/>
            <w:r w:rsidRPr="0045151D">
              <w:rPr>
                <w:rFonts w:ascii="Calibri" w:eastAsia="Calibri" w:hAnsi="Calibri" w:cs="Calibri"/>
                <w:color w:val="000000"/>
                <w:sz w:val="20"/>
                <w:szCs w:val="20"/>
                <w:lang w:val="en-GB"/>
              </w:rPr>
              <w:t>Kp</w:t>
            </w:r>
            <w:proofErr w:type="spellEnd"/>
            <w:r w:rsidRPr="0045151D">
              <w:rPr>
                <w:rFonts w:ascii="Calibri" w:eastAsia="Calibri" w:hAnsi="Calibri" w:cs="Calibri"/>
                <w:color w:val="000000"/>
                <w:sz w:val="20"/>
                <w:szCs w:val="20"/>
                <w:lang w:val="en-GB"/>
              </w:rPr>
              <w:t xml:space="preserve">) – compares all the revenues accrued by the private partner, net of the operational costs borne, including the concession fee (if any), with the financial resources provided during investment (either through equity or loans). </w:t>
            </w:r>
          </w:p>
          <w:p w14:paraId="1CF15CD9"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rate of return on public equity - FRR(Kg) – compares all the revenues accrued by the public partner, usually coming from the concession fee, net of the managerial costs of the contract, with the resources provided during investment (either through equity or loans).</w:t>
            </w:r>
          </w:p>
        </w:tc>
      </w:tr>
    </w:tbl>
    <w:p w14:paraId="43BAECED" w14:textId="47471ACC"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02" w:name="_Toc95378006"/>
      <w:r w:rsidRPr="0045151D">
        <w:rPr>
          <w:rFonts w:ascii="Calibri" w:eastAsia="Calibri" w:hAnsi="Calibri" w:cs="Calibri"/>
          <w:color w:val="4F81BD"/>
          <w:lang w:val="pl-PL"/>
        </w:rPr>
        <w:lastRenderedPageBreak/>
        <w:t xml:space="preserve">Trwałość finansowa i trwałość funkcjonalna projektu       </w:t>
      </w:r>
      <w:r w:rsidRPr="0045151D">
        <w:rPr>
          <w:rFonts w:ascii="Calibri" w:eastAsia="Calibri" w:hAnsi="Calibri" w:cs="Calibri"/>
          <w:i/>
          <w:color w:val="4F81BD"/>
          <w:lang w:val="pl-PL"/>
        </w:rPr>
        <w:t>3.</w:t>
      </w:r>
      <w:r w:rsidR="007022E3" w:rsidRPr="0045151D">
        <w:rPr>
          <w:rFonts w:ascii="Calibri" w:eastAsia="Calibri" w:hAnsi="Calibri" w:cs="Calibri"/>
          <w:i/>
          <w:color w:val="4F81BD"/>
          <w:lang w:val="pl-PL"/>
        </w:rPr>
        <w:t>5</w:t>
      </w:r>
      <w:r w:rsidRPr="0045151D">
        <w:rPr>
          <w:rFonts w:ascii="Calibri" w:eastAsia="Calibri" w:hAnsi="Calibri" w:cs="Calibri"/>
          <w:color w:val="4F81BD"/>
          <w:lang w:val="pl-PL"/>
        </w:rPr>
        <w:t xml:space="preserve">   </w:t>
      </w:r>
      <w:r w:rsidRPr="0045151D">
        <w:rPr>
          <w:rFonts w:ascii="Calibri" w:eastAsia="Calibri" w:hAnsi="Calibri" w:cs="Calibri"/>
          <w:i/>
          <w:color w:val="4F81BD"/>
          <w:lang w:val="pl-PL"/>
        </w:rPr>
        <w:t xml:space="preserve">Financial and </w:t>
      </w:r>
      <w:proofErr w:type="spellStart"/>
      <w:r w:rsidRPr="0045151D">
        <w:rPr>
          <w:rFonts w:ascii="Calibri" w:eastAsia="Calibri" w:hAnsi="Calibri" w:cs="Calibri"/>
          <w:i/>
          <w:color w:val="4F81BD"/>
          <w:lang w:val="pl-PL"/>
        </w:rPr>
        <w:t>functional</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sustainability</w:t>
      </w:r>
      <w:proofErr w:type="spellEnd"/>
      <w:r w:rsidRPr="0045151D">
        <w:rPr>
          <w:rFonts w:ascii="Calibri" w:eastAsia="Calibri" w:hAnsi="Calibri" w:cs="Calibri"/>
          <w:i/>
          <w:color w:val="4F81BD"/>
          <w:lang w:val="pl-PL"/>
        </w:rPr>
        <w:t xml:space="preserve"> of the </w:t>
      </w:r>
      <w:proofErr w:type="spellStart"/>
      <w:r w:rsidRPr="0045151D">
        <w:rPr>
          <w:rFonts w:ascii="Calibri" w:eastAsia="Calibri" w:hAnsi="Calibri" w:cs="Calibri"/>
          <w:i/>
          <w:color w:val="4F81BD"/>
          <w:lang w:val="pl-PL"/>
        </w:rPr>
        <w:t>project</w:t>
      </w:r>
      <w:bookmarkEnd w:id="102"/>
      <w:proofErr w:type="spellEnd"/>
    </w:p>
    <w:tbl>
      <w:tblPr>
        <w:tblStyle w:val="affffffe"/>
        <w:tblW w:w="14571" w:type="dxa"/>
        <w:tblLayout w:type="fixed"/>
        <w:tblLook w:val="0400" w:firstRow="0" w:lastRow="0" w:firstColumn="0" w:lastColumn="0" w:noHBand="0" w:noVBand="1"/>
      </w:tblPr>
      <w:tblGrid>
        <w:gridCol w:w="7370"/>
        <w:gridCol w:w="7201"/>
      </w:tblGrid>
      <w:tr w:rsidR="00600DEE" w:rsidRPr="007463B9" w14:paraId="5B8FA4B2" w14:textId="77777777">
        <w:tc>
          <w:tcPr>
            <w:tcW w:w="7370" w:type="dxa"/>
            <w:tcBorders>
              <w:right w:val="single" w:sz="4" w:space="0" w:color="000000"/>
            </w:tcBorders>
            <w:tcMar>
              <w:left w:w="284" w:type="dxa"/>
              <w:right w:w="284" w:type="dxa"/>
            </w:tcMar>
          </w:tcPr>
          <w:p w14:paraId="7520113E" w14:textId="1AFA5608"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Projekt uważa się za trwały finansowo, jeżeli nie stwierdzono ryzyka niedoboru finansowego zarówno w fazie budowy jak i eksploatacji. Celem weryfikacji (sprawdzenia) trwałości finansowej projektów infrastruktury drogowej jest wykazanie zdolności Beneficjenta do ponoszenia wszystkich wydatków finansowych niezbędnych do eksploatacji i utrzymania infrastruktury drogowej (w tym obiektów inżynierskich, systemów zarządzania ruchem i poboru opłat) we właściwym stanie w całym okresie eksploatacji projektu. Należy uwzględnić wszystkie koszty, w tym koszty bieżącego utrzymania i eksploatacji, a także koszty remontów. Wprawdzie taka analiza dotyczy aspektów utrzymaniowych związanych z danym projektem, tym niemniej trwałość na poziomie całej sieci drogowej powinna być przedmiotem właściwej troski i skutecznego podejścia do jej z</w:t>
            </w:r>
            <w:r w:rsidR="00B250FD">
              <w:rPr>
                <w:rFonts w:ascii="Calibri" w:eastAsia="Calibri" w:hAnsi="Calibri" w:cs="Calibri"/>
                <w:color w:val="000000"/>
                <w:sz w:val="20"/>
                <w:szCs w:val="20"/>
              </w:rPr>
              <w:t>apewnienia. Mając to na uwadze,</w:t>
            </w:r>
            <w:r>
              <w:rPr>
                <w:rFonts w:ascii="Calibri" w:eastAsia="Calibri" w:hAnsi="Calibri" w:cs="Calibri"/>
                <w:color w:val="000000"/>
                <w:sz w:val="20"/>
                <w:szCs w:val="20"/>
              </w:rPr>
              <w:t xml:space="preserve"> potencjalne przychody generowane z opłat od użytkowników (myto) powinny być w pierwszej kolejności przeznaczone na utrzymanie istniejącej sieci, a nie na budowę nowych odcinków.</w:t>
            </w:r>
          </w:p>
          <w:p w14:paraId="6A426CD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Beneficjent projektu musi udowodnić lub jednoznacznie się zobowiązać, że dysponuje wystarczającymi zasobami finansowymi, które w kolejnych latach w pełni pokryją niezbędne wydatki związane z zapewnieniem odpowiedniego standardu infrastruktury drogowej. W przypadku projektów generujących dochód, przychody te muszą być wystarczające na pokrycie kosztów eksploatacji i utrzymania; w przeciwnym wypadku powinny być uzupełnione o dotacje operacyjne tak, aby zapewnić utrzymanie na właściwym poziomie. Oznacza to, że skumulowane (niezdyskontowane) przepływy pieniężne netto powinny być nieujemne we wszystkich latach rozpatrywanego horyzontu czasowego. W przypadku projektów, które nie generują dochodu, powinno się wykazać długoterminowe zobowiązanie Beneficjenta/operatora do zapewnienia odpowiednich środków z innych źródeł służących zapewnieniu trwałości projektu.</w:t>
            </w:r>
          </w:p>
          <w:p w14:paraId="11571F2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celu sprawdzenia trwałości finansowej projektu należy wykorzystać następujące zestawienia przepływów pieniężnych:</w:t>
            </w:r>
          </w:p>
          <w:p w14:paraId="5652A582" w14:textId="77777777"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koszty eksploatacji i utrzymania                                                  (-)</w:t>
            </w:r>
          </w:p>
          <w:p w14:paraId="3BA4489D" w14:textId="77777777"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pożyczki i kredyty (jeżeli ma zastosowanie)                               (-)</w:t>
            </w:r>
          </w:p>
          <w:p w14:paraId="28828774" w14:textId="77777777"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przychody                                                                                     (+)</w:t>
            </w:r>
          </w:p>
          <w:p w14:paraId="32932D81" w14:textId="0560D642"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wszystkie zasoby finansowe (subsydia</w:t>
            </w:r>
            <w:r w:rsidR="00B250FD">
              <w:rPr>
                <w:rFonts w:ascii="Calibri" w:eastAsia="Calibri" w:hAnsi="Calibri" w:cs="Calibri"/>
                <w:color w:val="000000"/>
                <w:sz w:val="20"/>
                <w:szCs w:val="20"/>
              </w:rPr>
              <w:t xml:space="preserve"> krajowe)                   </w:t>
            </w:r>
            <w:r>
              <w:rPr>
                <w:rFonts w:ascii="Calibri" w:eastAsia="Calibri" w:hAnsi="Calibri" w:cs="Calibri"/>
                <w:color w:val="000000"/>
                <w:sz w:val="20"/>
                <w:szCs w:val="20"/>
              </w:rPr>
              <w:t>(+)</w:t>
            </w:r>
          </w:p>
          <w:p w14:paraId="534588D3" w14:textId="768F8856"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Zalecana forma prezentacji znajduje się poniżej.</w:t>
            </w:r>
          </w:p>
          <w:p w14:paraId="7B6E3CE8" w14:textId="77777777" w:rsidR="000117E4" w:rsidRDefault="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2D9EF420" w14:textId="26AC1247" w:rsidR="00600DEE" w:rsidRDefault="00B67038">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28</w:t>
            </w:r>
            <w:r w:rsidR="00641FB5">
              <w:rPr>
                <w:rFonts w:ascii="Calibri" w:eastAsia="Calibri" w:hAnsi="Calibri" w:cs="Calibri"/>
                <w:b/>
                <w:color w:val="4F81BD"/>
                <w:sz w:val="20"/>
                <w:szCs w:val="20"/>
              </w:rPr>
              <w:t xml:space="preserve">. Wymagane przepływy pieniężne mające wpływ na trwałość finansową </w:t>
            </w:r>
            <w:r w:rsidR="00641FB5">
              <w:rPr>
                <w:rFonts w:ascii="Calibri" w:eastAsia="Calibri" w:hAnsi="Calibri" w:cs="Calibri"/>
                <w:b/>
                <w:color w:val="4F81BD"/>
                <w:sz w:val="20"/>
                <w:szCs w:val="20"/>
              </w:rPr>
              <w:br/>
              <w:t>projektu</w:t>
            </w:r>
          </w:p>
          <w:tbl>
            <w:tblPr>
              <w:tblStyle w:val="afffffff"/>
              <w:tblW w:w="6408" w:type="dxa"/>
              <w:tblLayout w:type="fixed"/>
              <w:tblLook w:val="0000" w:firstRow="0" w:lastRow="0" w:firstColumn="0" w:lastColumn="0" w:noHBand="0" w:noVBand="0"/>
            </w:tblPr>
            <w:tblGrid>
              <w:gridCol w:w="2037"/>
              <w:gridCol w:w="421"/>
              <w:gridCol w:w="480"/>
              <w:gridCol w:w="509"/>
              <w:gridCol w:w="550"/>
              <w:gridCol w:w="439"/>
              <w:gridCol w:w="493"/>
              <w:gridCol w:w="493"/>
              <w:gridCol w:w="493"/>
              <w:gridCol w:w="493"/>
            </w:tblGrid>
            <w:tr w:rsidR="00600DEE" w14:paraId="299E2330" w14:textId="77777777" w:rsidTr="000117E4">
              <w:trPr>
                <w:trHeight w:hRule="exact" w:val="454"/>
              </w:trPr>
              <w:tc>
                <w:tcPr>
                  <w:tcW w:w="2038" w:type="dxa"/>
                  <w:vMerge w:val="restart"/>
                  <w:tcBorders>
                    <w:top w:val="single" w:sz="4" w:space="0" w:color="FFFFFF"/>
                    <w:left w:val="single" w:sz="4" w:space="0" w:color="FFFFFF"/>
                  </w:tcBorders>
                  <w:shd w:val="clear" w:color="auto" w:fill="A6A6A6"/>
                  <w:vAlign w:val="center"/>
                </w:tcPr>
                <w:p w14:paraId="46083190"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Przepływy pieniężne</w:t>
                  </w:r>
                </w:p>
              </w:tc>
              <w:tc>
                <w:tcPr>
                  <w:tcW w:w="4371" w:type="dxa"/>
                  <w:gridSpan w:val="9"/>
                  <w:tcBorders>
                    <w:top w:val="single" w:sz="4" w:space="0" w:color="FFFFFF"/>
                    <w:left w:val="single" w:sz="4" w:space="0" w:color="FFFFFF"/>
                  </w:tcBorders>
                  <w:shd w:val="clear" w:color="auto" w:fill="A6A6A6"/>
                  <w:vAlign w:val="center"/>
                </w:tcPr>
                <w:p w14:paraId="43623528"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Rok</w:t>
                  </w:r>
                </w:p>
              </w:tc>
            </w:tr>
            <w:tr w:rsidR="00600DEE" w14:paraId="2C1FA491" w14:textId="77777777">
              <w:trPr>
                <w:trHeight w:val="232"/>
              </w:trPr>
              <w:tc>
                <w:tcPr>
                  <w:tcW w:w="2038" w:type="dxa"/>
                  <w:vMerge/>
                  <w:tcBorders>
                    <w:top w:val="single" w:sz="4" w:space="0" w:color="FFFFFF"/>
                    <w:left w:val="single" w:sz="4" w:space="0" w:color="FFFFFF"/>
                  </w:tcBorders>
                  <w:shd w:val="clear" w:color="auto" w:fill="A6A6A6"/>
                  <w:vAlign w:val="center"/>
                </w:tcPr>
                <w:p w14:paraId="32B8B23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421" w:type="dxa"/>
                  <w:tcBorders>
                    <w:top w:val="single" w:sz="4" w:space="0" w:color="FFFFFF"/>
                    <w:left w:val="single" w:sz="4" w:space="0" w:color="FFFFFF"/>
                    <w:bottom w:val="single" w:sz="4" w:space="0" w:color="FFFFFF"/>
                  </w:tcBorders>
                  <w:shd w:val="clear" w:color="auto" w:fill="A6A6A6"/>
                  <w:vAlign w:val="center"/>
                </w:tcPr>
                <w:p w14:paraId="729ACB23"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w:t>
                  </w:r>
                </w:p>
              </w:tc>
              <w:tc>
                <w:tcPr>
                  <w:tcW w:w="480" w:type="dxa"/>
                  <w:tcBorders>
                    <w:top w:val="single" w:sz="4" w:space="0" w:color="FFFFFF"/>
                    <w:left w:val="single" w:sz="4" w:space="0" w:color="FFFFFF"/>
                    <w:bottom w:val="single" w:sz="4" w:space="0" w:color="FFFFFF"/>
                  </w:tcBorders>
                  <w:shd w:val="clear" w:color="auto" w:fill="A6A6A6"/>
                  <w:vAlign w:val="center"/>
                </w:tcPr>
                <w:p w14:paraId="376FFD0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w:t>
                  </w:r>
                </w:p>
              </w:tc>
              <w:tc>
                <w:tcPr>
                  <w:tcW w:w="509" w:type="dxa"/>
                  <w:tcBorders>
                    <w:top w:val="single" w:sz="4" w:space="0" w:color="FFFFFF"/>
                    <w:left w:val="single" w:sz="4" w:space="0" w:color="FFFFFF"/>
                    <w:bottom w:val="single" w:sz="4" w:space="0" w:color="FFFFFF"/>
                  </w:tcBorders>
                  <w:shd w:val="clear" w:color="auto" w:fill="A6A6A6"/>
                  <w:vAlign w:val="center"/>
                </w:tcPr>
                <w:p w14:paraId="5E4A73A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3</w:t>
                  </w:r>
                </w:p>
              </w:tc>
              <w:tc>
                <w:tcPr>
                  <w:tcW w:w="550" w:type="dxa"/>
                  <w:tcBorders>
                    <w:top w:val="single" w:sz="4" w:space="0" w:color="FFFFFF"/>
                    <w:left w:val="single" w:sz="4" w:space="0" w:color="FFFFFF"/>
                    <w:bottom w:val="single" w:sz="4" w:space="0" w:color="FFFFFF"/>
                  </w:tcBorders>
                  <w:shd w:val="clear" w:color="auto" w:fill="A6A6A6"/>
                  <w:vAlign w:val="center"/>
                </w:tcPr>
                <w:p w14:paraId="69445291"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4</w:t>
                  </w:r>
                </w:p>
              </w:tc>
              <w:tc>
                <w:tcPr>
                  <w:tcW w:w="439" w:type="dxa"/>
                  <w:tcBorders>
                    <w:top w:val="single" w:sz="4" w:space="0" w:color="FFFFFF"/>
                    <w:left w:val="single" w:sz="4" w:space="0" w:color="FFFFFF"/>
                    <w:bottom w:val="single" w:sz="4" w:space="0" w:color="FFFFFF"/>
                  </w:tcBorders>
                  <w:shd w:val="clear" w:color="auto" w:fill="A6A6A6"/>
                  <w:vAlign w:val="center"/>
                </w:tcPr>
                <w:p w14:paraId="7D2070A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5</w:t>
                  </w:r>
                </w:p>
              </w:tc>
              <w:tc>
                <w:tcPr>
                  <w:tcW w:w="493" w:type="dxa"/>
                  <w:tcBorders>
                    <w:top w:val="single" w:sz="4" w:space="0" w:color="FFFFFF"/>
                    <w:left w:val="single" w:sz="4" w:space="0" w:color="FFFFFF"/>
                    <w:bottom w:val="single" w:sz="4" w:space="0" w:color="FFFFFF"/>
                  </w:tcBorders>
                  <w:shd w:val="clear" w:color="auto" w:fill="A6A6A6"/>
                  <w:vAlign w:val="center"/>
                </w:tcPr>
                <w:p w14:paraId="608E605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6</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5112500E"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4696053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tcBorders>
                  <w:shd w:val="clear" w:color="auto" w:fill="A6A6A6"/>
                </w:tcPr>
                <w:p w14:paraId="04542BC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n</w:t>
                  </w:r>
                </w:p>
              </w:tc>
            </w:tr>
            <w:tr w:rsidR="00600DEE" w14:paraId="77A70978"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4F9288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Koszty inwestycyjne</w:t>
                  </w:r>
                </w:p>
              </w:tc>
              <w:tc>
                <w:tcPr>
                  <w:tcW w:w="421" w:type="dxa"/>
                  <w:tcBorders>
                    <w:top w:val="single" w:sz="4" w:space="0" w:color="FFFFFF"/>
                    <w:left w:val="single" w:sz="4" w:space="0" w:color="FFFFFF"/>
                    <w:bottom w:val="single" w:sz="4" w:space="0" w:color="FFFFFF"/>
                  </w:tcBorders>
                  <w:shd w:val="clear" w:color="auto" w:fill="DBE5F1"/>
                  <w:vAlign w:val="center"/>
                </w:tcPr>
                <w:p w14:paraId="7594219F"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4EDAD084"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B7E2641"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18E5E55"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7DC5D11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8F38D6A"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284F38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1802C1B"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0D28F761" w14:textId="77777777" w:rsidR="00600DEE" w:rsidRDefault="00600DEE">
                  <w:pPr>
                    <w:jc w:val="right"/>
                    <w:rPr>
                      <w:rFonts w:ascii="Calibri" w:eastAsia="Calibri" w:hAnsi="Calibri" w:cs="Calibri"/>
                      <w:color w:val="4F81BD"/>
                      <w:sz w:val="18"/>
                      <w:szCs w:val="18"/>
                    </w:rPr>
                  </w:pPr>
                </w:p>
              </w:tc>
            </w:tr>
            <w:tr w:rsidR="00600DEE" w14:paraId="4843FA3C"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E233A8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Koszty eksploatacji </w:t>
                  </w:r>
                </w:p>
                <w:p w14:paraId="08882EB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i utrzymania</w:t>
                  </w:r>
                </w:p>
              </w:tc>
              <w:tc>
                <w:tcPr>
                  <w:tcW w:w="421" w:type="dxa"/>
                  <w:tcBorders>
                    <w:top w:val="single" w:sz="4" w:space="0" w:color="FFFFFF"/>
                    <w:left w:val="single" w:sz="4" w:space="0" w:color="FFFFFF"/>
                    <w:bottom w:val="single" w:sz="4" w:space="0" w:color="FFFFFF"/>
                  </w:tcBorders>
                  <w:shd w:val="clear" w:color="auto" w:fill="DBE5F1"/>
                  <w:vAlign w:val="center"/>
                </w:tcPr>
                <w:p w14:paraId="6B752A1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8DCF872"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2033EE87"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035284F7"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FC3BBF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30FC4F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F03D8F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01A8A15B"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D42D722" w14:textId="77777777" w:rsidR="00600DEE" w:rsidRDefault="00600DEE">
                  <w:pPr>
                    <w:jc w:val="right"/>
                    <w:rPr>
                      <w:rFonts w:ascii="Calibri" w:eastAsia="Calibri" w:hAnsi="Calibri" w:cs="Calibri"/>
                      <w:color w:val="4F81BD"/>
                      <w:sz w:val="18"/>
                      <w:szCs w:val="18"/>
                    </w:rPr>
                  </w:pPr>
                </w:p>
              </w:tc>
            </w:tr>
            <w:tr w:rsidR="00600DEE" w14:paraId="3BE077A4"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72E3AEA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Pożyczki i kredyty</w:t>
                  </w:r>
                </w:p>
              </w:tc>
              <w:tc>
                <w:tcPr>
                  <w:tcW w:w="421" w:type="dxa"/>
                  <w:tcBorders>
                    <w:top w:val="single" w:sz="4" w:space="0" w:color="FFFFFF"/>
                    <w:left w:val="single" w:sz="4" w:space="0" w:color="FFFFFF"/>
                    <w:bottom w:val="single" w:sz="4" w:space="0" w:color="FFFFFF"/>
                  </w:tcBorders>
                  <w:shd w:val="clear" w:color="auto" w:fill="DBE5F1"/>
                  <w:vAlign w:val="center"/>
                </w:tcPr>
                <w:p w14:paraId="23B03B3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3ADCCB9B"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437BC13D"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DB12962"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108D87D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0A12B0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1FCA94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4F6B45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770C272" w14:textId="77777777" w:rsidR="00600DEE" w:rsidRDefault="00600DEE">
                  <w:pPr>
                    <w:jc w:val="right"/>
                    <w:rPr>
                      <w:rFonts w:ascii="Calibri" w:eastAsia="Calibri" w:hAnsi="Calibri" w:cs="Calibri"/>
                      <w:color w:val="4F81BD"/>
                      <w:sz w:val="18"/>
                      <w:szCs w:val="18"/>
                    </w:rPr>
                  </w:pPr>
                </w:p>
              </w:tc>
            </w:tr>
            <w:tr w:rsidR="00600DEE" w14:paraId="3B4BE16D"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2D5A9B8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Inne</w:t>
                  </w:r>
                </w:p>
              </w:tc>
              <w:tc>
                <w:tcPr>
                  <w:tcW w:w="421" w:type="dxa"/>
                  <w:tcBorders>
                    <w:top w:val="single" w:sz="4" w:space="0" w:color="FFFFFF"/>
                    <w:left w:val="single" w:sz="4" w:space="0" w:color="FFFFFF"/>
                    <w:bottom w:val="single" w:sz="4" w:space="0" w:color="FFFFFF"/>
                  </w:tcBorders>
                  <w:shd w:val="clear" w:color="auto" w:fill="DBE5F1"/>
                  <w:vAlign w:val="center"/>
                </w:tcPr>
                <w:p w14:paraId="080D78CA"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7DFA2B2"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29713AD1"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7EA2795"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6CFD802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42A504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656943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281462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46CC198" w14:textId="77777777" w:rsidR="00600DEE" w:rsidRDefault="00600DEE">
                  <w:pPr>
                    <w:jc w:val="right"/>
                    <w:rPr>
                      <w:rFonts w:ascii="Calibri" w:eastAsia="Calibri" w:hAnsi="Calibri" w:cs="Calibri"/>
                      <w:color w:val="4F81BD"/>
                      <w:sz w:val="18"/>
                      <w:szCs w:val="18"/>
                    </w:rPr>
                  </w:pPr>
                </w:p>
              </w:tc>
            </w:tr>
            <w:tr w:rsidR="00600DEE" w14:paraId="5E65EC15"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6913DA14"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OGÓŁEM (wydatki)</w:t>
                  </w:r>
                </w:p>
              </w:tc>
              <w:tc>
                <w:tcPr>
                  <w:tcW w:w="421" w:type="dxa"/>
                  <w:tcBorders>
                    <w:top w:val="single" w:sz="4" w:space="0" w:color="FFFFFF"/>
                    <w:left w:val="single" w:sz="4" w:space="0" w:color="FFFFFF"/>
                    <w:bottom w:val="single" w:sz="4" w:space="0" w:color="FFFFFF"/>
                  </w:tcBorders>
                  <w:shd w:val="clear" w:color="auto" w:fill="DBE5F1"/>
                  <w:vAlign w:val="center"/>
                </w:tcPr>
                <w:p w14:paraId="39A2160B"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1A34899A"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6C8F981C"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5BCB48BB"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20B210C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A39F91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D15783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BB1AAC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9F2459F" w14:textId="77777777" w:rsidR="00600DEE" w:rsidRDefault="00600DEE">
                  <w:pPr>
                    <w:jc w:val="right"/>
                    <w:rPr>
                      <w:rFonts w:ascii="Calibri" w:eastAsia="Calibri" w:hAnsi="Calibri" w:cs="Calibri"/>
                      <w:color w:val="4F81BD"/>
                      <w:sz w:val="18"/>
                      <w:szCs w:val="18"/>
                    </w:rPr>
                  </w:pPr>
                </w:p>
              </w:tc>
            </w:tr>
            <w:tr w:rsidR="00600DEE" w14:paraId="00A7B21D"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071EBD4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Przychody </w:t>
                  </w:r>
                </w:p>
              </w:tc>
              <w:tc>
                <w:tcPr>
                  <w:tcW w:w="421" w:type="dxa"/>
                  <w:tcBorders>
                    <w:top w:val="single" w:sz="4" w:space="0" w:color="FFFFFF"/>
                    <w:left w:val="single" w:sz="4" w:space="0" w:color="FFFFFF"/>
                    <w:bottom w:val="single" w:sz="4" w:space="0" w:color="FFFFFF"/>
                  </w:tcBorders>
                  <w:shd w:val="clear" w:color="auto" w:fill="DBE5F1"/>
                  <w:vAlign w:val="center"/>
                </w:tcPr>
                <w:p w14:paraId="414FB92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2A7F4378"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6F4C29CF"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57ECD485"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33A1E8E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571BA8A"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70E364B"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745C63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AD3210D" w14:textId="77777777" w:rsidR="00600DEE" w:rsidRDefault="00600DEE">
                  <w:pPr>
                    <w:jc w:val="right"/>
                    <w:rPr>
                      <w:rFonts w:ascii="Calibri" w:eastAsia="Calibri" w:hAnsi="Calibri" w:cs="Calibri"/>
                      <w:color w:val="4F81BD"/>
                      <w:sz w:val="18"/>
                      <w:szCs w:val="18"/>
                    </w:rPr>
                  </w:pPr>
                </w:p>
              </w:tc>
            </w:tr>
            <w:tr w:rsidR="00600DEE" w14:paraId="19D64FEE"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3C68B37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Grant UE</w:t>
                  </w:r>
                </w:p>
              </w:tc>
              <w:tc>
                <w:tcPr>
                  <w:tcW w:w="421" w:type="dxa"/>
                  <w:tcBorders>
                    <w:top w:val="single" w:sz="4" w:space="0" w:color="FFFFFF"/>
                    <w:left w:val="single" w:sz="4" w:space="0" w:color="FFFFFF"/>
                    <w:bottom w:val="single" w:sz="4" w:space="0" w:color="FFFFFF"/>
                  </w:tcBorders>
                  <w:shd w:val="clear" w:color="auto" w:fill="DBE5F1"/>
                  <w:vAlign w:val="center"/>
                </w:tcPr>
                <w:p w14:paraId="17B9A72A"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484EA769"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0C7946FB"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23A4CAE0"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407B5F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6DD70B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83B0DF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C9316D1"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1DF2D35" w14:textId="77777777" w:rsidR="00600DEE" w:rsidRDefault="00600DEE">
                  <w:pPr>
                    <w:jc w:val="right"/>
                    <w:rPr>
                      <w:rFonts w:ascii="Calibri" w:eastAsia="Calibri" w:hAnsi="Calibri" w:cs="Calibri"/>
                      <w:color w:val="4F81BD"/>
                      <w:sz w:val="18"/>
                      <w:szCs w:val="18"/>
                    </w:rPr>
                  </w:pPr>
                </w:p>
              </w:tc>
            </w:tr>
            <w:tr w:rsidR="00600DEE" w14:paraId="1CDE454B" w14:textId="77777777" w:rsidTr="00E91CFE">
              <w:trPr>
                <w:trHeight w:hRule="exact" w:val="907"/>
              </w:trPr>
              <w:tc>
                <w:tcPr>
                  <w:tcW w:w="2038" w:type="dxa"/>
                  <w:tcBorders>
                    <w:top w:val="single" w:sz="4" w:space="0" w:color="FFFFFF"/>
                    <w:left w:val="single" w:sz="4" w:space="0" w:color="FFFFFF"/>
                    <w:bottom w:val="single" w:sz="4" w:space="0" w:color="FFFFFF"/>
                  </w:tcBorders>
                  <w:shd w:val="clear" w:color="auto" w:fill="DBE5F1"/>
                  <w:vAlign w:val="center"/>
                </w:tcPr>
                <w:p w14:paraId="4DC512BC"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Inne </w:t>
                  </w:r>
                  <w:proofErr w:type="spellStart"/>
                  <w:r>
                    <w:rPr>
                      <w:rFonts w:ascii="Calibri" w:eastAsia="Calibri" w:hAnsi="Calibri" w:cs="Calibri"/>
                      <w:color w:val="4F81BD"/>
                      <w:sz w:val="18"/>
                      <w:szCs w:val="18"/>
                    </w:rPr>
                    <w:t>żródła</w:t>
                  </w:r>
                  <w:proofErr w:type="spellEnd"/>
                  <w:r>
                    <w:rPr>
                      <w:rFonts w:ascii="Calibri" w:eastAsia="Calibri" w:hAnsi="Calibri" w:cs="Calibri"/>
                      <w:color w:val="4F81BD"/>
                      <w:sz w:val="18"/>
                      <w:szCs w:val="18"/>
                    </w:rPr>
                    <w:t xml:space="preserve"> finansowania (budżet, subsydia, itd.)</w:t>
                  </w:r>
                </w:p>
              </w:tc>
              <w:tc>
                <w:tcPr>
                  <w:tcW w:w="421" w:type="dxa"/>
                  <w:tcBorders>
                    <w:top w:val="single" w:sz="4" w:space="0" w:color="FFFFFF"/>
                    <w:left w:val="single" w:sz="4" w:space="0" w:color="FFFFFF"/>
                    <w:bottom w:val="single" w:sz="4" w:space="0" w:color="FFFFFF"/>
                  </w:tcBorders>
                  <w:shd w:val="clear" w:color="auto" w:fill="DBE5F1"/>
                  <w:vAlign w:val="center"/>
                </w:tcPr>
                <w:p w14:paraId="1C6C95C2"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CB9F6B1"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55399527"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1D1BE37E"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51F328F2"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876B36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CCCD73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96A7682"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4514559" w14:textId="77777777" w:rsidR="00600DEE" w:rsidRDefault="00600DEE">
                  <w:pPr>
                    <w:jc w:val="right"/>
                    <w:rPr>
                      <w:rFonts w:ascii="Calibri" w:eastAsia="Calibri" w:hAnsi="Calibri" w:cs="Calibri"/>
                      <w:color w:val="4F81BD"/>
                      <w:sz w:val="18"/>
                      <w:szCs w:val="18"/>
                    </w:rPr>
                  </w:pPr>
                </w:p>
              </w:tc>
            </w:tr>
            <w:tr w:rsidR="00600DEE" w14:paraId="15DC4B71"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16151F8C"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OGÓŁEM (wpływy)</w:t>
                  </w:r>
                </w:p>
              </w:tc>
              <w:tc>
                <w:tcPr>
                  <w:tcW w:w="421" w:type="dxa"/>
                  <w:tcBorders>
                    <w:top w:val="single" w:sz="4" w:space="0" w:color="FFFFFF"/>
                    <w:left w:val="single" w:sz="4" w:space="0" w:color="FFFFFF"/>
                    <w:bottom w:val="single" w:sz="4" w:space="0" w:color="FFFFFF"/>
                  </w:tcBorders>
                  <w:shd w:val="clear" w:color="auto" w:fill="DBE5F1"/>
                  <w:vAlign w:val="center"/>
                </w:tcPr>
                <w:p w14:paraId="4367F468"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6181C9E"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660E7CEA"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54DAFA98"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6FCC6E0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10A640CA"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510400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B76152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C17531D" w14:textId="77777777" w:rsidR="00600DEE" w:rsidRDefault="00600DEE">
                  <w:pPr>
                    <w:jc w:val="right"/>
                    <w:rPr>
                      <w:rFonts w:ascii="Calibri" w:eastAsia="Calibri" w:hAnsi="Calibri" w:cs="Calibri"/>
                      <w:color w:val="4F81BD"/>
                      <w:sz w:val="18"/>
                      <w:szCs w:val="18"/>
                    </w:rPr>
                  </w:pPr>
                </w:p>
              </w:tc>
            </w:tr>
            <w:tr w:rsidR="00600DEE" w14:paraId="2FC52096" w14:textId="77777777" w:rsidTr="00E91CFE">
              <w:trPr>
                <w:trHeight w:hRule="exact" w:val="454"/>
              </w:trPr>
              <w:tc>
                <w:tcPr>
                  <w:tcW w:w="2038" w:type="dxa"/>
                  <w:tcBorders>
                    <w:top w:val="single" w:sz="4" w:space="0" w:color="FFFFFF"/>
                    <w:left w:val="single" w:sz="4" w:space="0" w:color="FFFFFF"/>
                    <w:bottom w:val="single" w:sz="4" w:space="0" w:color="FFFFFF"/>
                  </w:tcBorders>
                  <w:shd w:val="clear" w:color="auto" w:fill="DBE5F1"/>
                  <w:vAlign w:val="center"/>
                </w:tcPr>
                <w:p w14:paraId="3F46E19A"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PRZEPŁYWY PIENIĘŻNE NETTO</w:t>
                  </w:r>
                </w:p>
              </w:tc>
              <w:tc>
                <w:tcPr>
                  <w:tcW w:w="421" w:type="dxa"/>
                  <w:tcBorders>
                    <w:top w:val="single" w:sz="4" w:space="0" w:color="FFFFFF"/>
                    <w:left w:val="single" w:sz="4" w:space="0" w:color="FFFFFF"/>
                    <w:bottom w:val="single" w:sz="4" w:space="0" w:color="FFFFFF"/>
                  </w:tcBorders>
                  <w:shd w:val="clear" w:color="auto" w:fill="DBE5F1"/>
                  <w:vAlign w:val="center"/>
                </w:tcPr>
                <w:p w14:paraId="1D49A997"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2DFBB4C3"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2C526B71"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0F09647"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58C225E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B347EA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17EBE34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F7AD20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5D7B846" w14:textId="77777777" w:rsidR="00600DEE" w:rsidRDefault="00600DEE">
                  <w:pPr>
                    <w:jc w:val="right"/>
                    <w:rPr>
                      <w:rFonts w:ascii="Calibri" w:eastAsia="Calibri" w:hAnsi="Calibri" w:cs="Calibri"/>
                      <w:color w:val="4F81BD"/>
                      <w:sz w:val="18"/>
                      <w:szCs w:val="18"/>
                    </w:rPr>
                  </w:pPr>
                </w:p>
              </w:tc>
            </w:tr>
          </w:tbl>
          <w:p w14:paraId="387FD51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16"/>
                <w:szCs w:val="16"/>
              </w:rPr>
              <w:t>Źródło: opracowanie własne.</w:t>
            </w:r>
          </w:p>
          <w:p w14:paraId="1B1E887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Rekomenduje się również zapewnienie szerszego oglądu sytuacji stabilności infrastruktury drogowej zarządzanej przez Beneficjenta. Po pierwsze, zaleca się analizę utrzymaniowych potrzeb finansowych z uwzględnieniem istniejącej infrastruktury sieci drogowej, ale także inwestycji planowanych oraz będących w trakcie realizacji.</w:t>
            </w:r>
          </w:p>
          <w:p w14:paraId="7D66A834" w14:textId="008F7A08"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Przygotowanie </w:t>
            </w:r>
            <w:r w:rsidR="00B67038">
              <w:rPr>
                <w:rFonts w:ascii="Calibri" w:eastAsia="Calibri" w:hAnsi="Calibri" w:cs="Calibri"/>
                <w:color w:val="000000"/>
                <w:sz w:val="20"/>
                <w:szCs w:val="20"/>
              </w:rPr>
              <w:t>poniższych tabel</w:t>
            </w:r>
            <w:r>
              <w:rPr>
                <w:rFonts w:ascii="Calibri" w:eastAsia="Calibri" w:hAnsi="Calibri" w:cs="Calibri"/>
                <w:color w:val="000000"/>
                <w:sz w:val="20"/>
                <w:szCs w:val="20"/>
              </w:rPr>
              <w:t xml:space="preserve"> nr 31 i 32 nie jest wymagane w odniesieniu do konkretnego projektu, a  zawarte w nich informacje mogą być przedstawione w innej formie. Celem jest przedstawienie (przez Beneficjenta, jeżeli to możliwe lub w </w:t>
            </w:r>
            <w:proofErr w:type="spellStart"/>
            <w:r>
              <w:rPr>
                <w:rFonts w:ascii="Calibri" w:eastAsia="Calibri" w:hAnsi="Calibri" w:cs="Calibri"/>
                <w:color w:val="000000"/>
                <w:sz w:val="20"/>
                <w:szCs w:val="20"/>
              </w:rPr>
              <w:t>przeciwym</w:t>
            </w:r>
            <w:proofErr w:type="spellEnd"/>
            <w:r>
              <w:rPr>
                <w:rFonts w:ascii="Calibri" w:eastAsia="Calibri" w:hAnsi="Calibri" w:cs="Calibri"/>
                <w:color w:val="000000"/>
                <w:sz w:val="20"/>
                <w:szCs w:val="20"/>
              </w:rPr>
              <w:t xml:space="preserve"> wypadku przez instytucję/</w:t>
            </w:r>
            <w:r w:rsidR="00B67038">
              <w:rPr>
                <w:rFonts w:ascii="Calibri" w:eastAsia="Calibri" w:hAnsi="Calibri" w:cs="Calibri"/>
                <w:color w:val="000000"/>
                <w:sz w:val="20"/>
                <w:szCs w:val="20"/>
              </w:rPr>
              <w:t xml:space="preserve"> organ odpowiedzialny</w:t>
            </w:r>
            <w:r>
              <w:rPr>
                <w:rFonts w:ascii="Calibri" w:eastAsia="Calibri" w:hAnsi="Calibri" w:cs="Calibri"/>
                <w:color w:val="000000"/>
                <w:sz w:val="20"/>
                <w:szCs w:val="20"/>
              </w:rPr>
              <w:t xml:space="preserve"> za finansowanie) informacji o potrzebach zapewniających trwałość finansową danej sieci drogowej. </w:t>
            </w:r>
            <w:r>
              <w:rPr>
                <w:rFonts w:ascii="Calibri" w:eastAsia="Calibri" w:hAnsi="Calibri" w:cs="Calibri"/>
                <w:color w:val="000000"/>
                <w:sz w:val="20"/>
                <w:szCs w:val="20"/>
              </w:rPr>
              <w:lastRenderedPageBreak/>
              <w:t xml:space="preserve">W przypadku GDDKiA takie informacje powinny być uzyskane od właściwego ministerstwa, a w przypadku JST </w:t>
            </w:r>
            <w:r w:rsidR="0079382E">
              <w:rPr>
                <w:rFonts w:asciiTheme="minorHAnsi" w:hAnsiTheme="minorHAnsi"/>
              </w:rPr>
              <w:t>–</w:t>
            </w:r>
            <w:r>
              <w:rPr>
                <w:rFonts w:ascii="Calibri" w:eastAsia="Calibri" w:hAnsi="Calibri" w:cs="Calibri"/>
                <w:color w:val="000000"/>
                <w:sz w:val="20"/>
                <w:szCs w:val="20"/>
              </w:rPr>
              <w:t xml:space="preserve"> od odpowiednich organów samorządowych.</w:t>
            </w:r>
          </w:p>
          <w:p w14:paraId="0B7062F0" w14:textId="77777777" w:rsidR="000117E4" w:rsidRDefault="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664FC4B4" w14:textId="46F40201" w:rsidR="00600DEE" w:rsidRDefault="00B67038">
            <w:pPr>
              <w:pBdr>
                <w:top w:val="nil"/>
                <w:left w:val="nil"/>
                <w:bottom w:val="nil"/>
                <w:right w:val="nil"/>
                <w:between w:val="nil"/>
              </w:pBdr>
              <w:spacing w:after="120"/>
              <w:ind w:left="851" w:hanging="851"/>
              <w:rPr>
                <w:rFonts w:ascii="Calibri" w:eastAsia="Calibri" w:hAnsi="Calibri" w:cs="Calibri"/>
                <w:b/>
                <w:color w:val="4F81BD"/>
                <w:sz w:val="20"/>
                <w:szCs w:val="20"/>
              </w:rPr>
            </w:pPr>
            <w:r>
              <w:rPr>
                <w:rFonts w:ascii="Calibri" w:eastAsia="Calibri" w:hAnsi="Calibri" w:cs="Calibri"/>
                <w:b/>
                <w:color w:val="4F81BD"/>
                <w:sz w:val="20"/>
                <w:szCs w:val="20"/>
              </w:rPr>
              <w:t>Tabela 29</w:t>
            </w:r>
            <w:r w:rsidR="00641FB5">
              <w:rPr>
                <w:rFonts w:ascii="Calibri" w:eastAsia="Calibri" w:hAnsi="Calibri" w:cs="Calibri"/>
                <w:b/>
                <w:color w:val="4F81BD"/>
                <w:sz w:val="20"/>
                <w:szCs w:val="20"/>
              </w:rPr>
              <w:t>. Prognoza kosztów eksploatacji i utrzymania na sieci drogowej zarządzanej przez Beneficjenta (dla wariantów in</w:t>
            </w:r>
            <w:r w:rsidR="0079382E">
              <w:rPr>
                <w:rFonts w:ascii="Calibri" w:eastAsia="Calibri" w:hAnsi="Calibri" w:cs="Calibri"/>
                <w:b/>
                <w:color w:val="4F81BD"/>
                <w:sz w:val="20"/>
                <w:szCs w:val="20"/>
              </w:rPr>
              <w:t>westycyjnych jeśli dotyczy i do</w:t>
            </w:r>
            <w:r w:rsidR="00641FB5">
              <w:rPr>
                <w:rFonts w:ascii="Calibri" w:eastAsia="Calibri" w:hAnsi="Calibri" w:cs="Calibri"/>
                <w:b/>
                <w:color w:val="4F81BD"/>
                <w:sz w:val="20"/>
                <w:szCs w:val="20"/>
              </w:rPr>
              <w:t xml:space="preserve"> ustrukturyzowania w zależności od Beneficjenta)</w:t>
            </w:r>
          </w:p>
          <w:tbl>
            <w:tblPr>
              <w:tblStyle w:val="afffffff0"/>
              <w:tblW w:w="70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352"/>
              <w:gridCol w:w="774"/>
              <w:gridCol w:w="775"/>
              <w:gridCol w:w="775"/>
              <w:gridCol w:w="775"/>
              <w:gridCol w:w="775"/>
              <w:gridCol w:w="775"/>
            </w:tblGrid>
            <w:tr w:rsidR="00600DEE" w14:paraId="5F5C8F9C" w14:textId="77777777" w:rsidTr="00E91CFE">
              <w:trPr>
                <w:trHeight w:val="263"/>
              </w:trPr>
              <w:tc>
                <w:tcPr>
                  <w:tcW w:w="2352" w:type="dxa"/>
                  <w:shd w:val="clear" w:color="auto" w:fill="A6A6A6"/>
                  <w:vAlign w:val="center"/>
                </w:tcPr>
                <w:p w14:paraId="1D3A2A4C"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Lata</w:t>
                  </w:r>
                </w:p>
              </w:tc>
              <w:tc>
                <w:tcPr>
                  <w:tcW w:w="774" w:type="dxa"/>
                  <w:shd w:val="clear" w:color="auto" w:fill="A6A6A6"/>
                </w:tcPr>
                <w:p w14:paraId="5B757794"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2018</w:t>
                  </w:r>
                </w:p>
              </w:tc>
              <w:tc>
                <w:tcPr>
                  <w:tcW w:w="775" w:type="dxa"/>
                  <w:shd w:val="clear" w:color="auto" w:fill="A6A6A6"/>
                </w:tcPr>
                <w:p w14:paraId="44795E07"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w:t>
                  </w:r>
                </w:p>
              </w:tc>
              <w:tc>
                <w:tcPr>
                  <w:tcW w:w="775" w:type="dxa"/>
                  <w:shd w:val="clear" w:color="auto" w:fill="A6A6A6"/>
                </w:tcPr>
                <w:p w14:paraId="7F1916A5"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2020</w:t>
                  </w:r>
                </w:p>
              </w:tc>
              <w:tc>
                <w:tcPr>
                  <w:tcW w:w="775" w:type="dxa"/>
                  <w:shd w:val="clear" w:color="auto" w:fill="A6A6A6"/>
                </w:tcPr>
                <w:p w14:paraId="0086AB8F"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2025</w:t>
                  </w:r>
                </w:p>
              </w:tc>
              <w:tc>
                <w:tcPr>
                  <w:tcW w:w="775" w:type="dxa"/>
                  <w:shd w:val="clear" w:color="auto" w:fill="A6A6A6"/>
                </w:tcPr>
                <w:p w14:paraId="49704AEA"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2030</w:t>
                  </w:r>
                </w:p>
              </w:tc>
              <w:tc>
                <w:tcPr>
                  <w:tcW w:w="775" w:type="dxa"/>
                  <w:shd w:val="clear" w:color="auto" w:fill="A6A6A6"/>
                </w:tcPr>
                <w:p w14:paraId="73F6D52A"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2040</w:t>
                  </w:r>
                </w:p>
              </w:tc>
            </w:tr>
            <w:tr w:rsidR="00600DEE" w14:paraId="5B131221" w14:textId="77777777" w:rsidTr="00E91CFE">
              <w:trPr>
                <w:trHeight w:hRule="exact" w:val="1134"/>
              </w:trPr>
              <w:tc>
                <w:tcPr>
                  <w:tcW w:w="2352" w:type="dxa"/>
                  <w:shd w:val="clear" w:color="auto" w:fill="DBE5F1"/>
                </w:tcPr>
                <w:p w14:paraId="7CFE4E7A" w14:textId="77777777" w:rsidR="00600DEE" w:rsidRDefault="00641FB5">
                  <w:pPr>
                    <w:spacing w:before="40" w:after="40"/>
                    <w:rPr>
                      <w:rFonts w:ascii="Calibri" w:eastAsia="Calibri" w:hAnsi="Calibri" w:cs="Calibri"/>
                      <w:color w:val="4F81BD"/>
                      <w:sz w:val="16"/>
                      <w:szCs w:val="16"/>
                    </w:rPr>
                  </w:pPr>
                  <w:r>
                    <w:rPr>
                      <w:rFonts w:ascii="Calibri" w:eastAsia="Calibri" w:hAnsi="Calibri" w:cs="Calibri"/>
                      <w:color w:val="4F81BD"/>
                      <w:sz w:val="16"/>
                      <w:szCs w:val="16"/>
                    </w:rPr>
                    <w:t>Łączne koszty utrzymania i eksploatacji dróg realizowanych w ramach perspektyw 2014-2020 oraz 2021-2027</w:t>
                  </w:r>
                </w:p>
              </w:tc>
              <w:tc>
                <w:tcPr>
                  <w:tcW w:w="774" w:type="dxa"/>
                  <w:shd w:val="clear" w:color="auto" w:fill="DBE5F1"/>
                </w:tcPr>
                <w:p w14:paraId="4315935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DC2FFC6"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CDB101E"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B0629C9"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67DEA8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079ADCBE" w14:textId="77777777" w:rsidR="00600DEE" w:rsidRDefault="00600DEE">
                  <w:pPr>
                    <w:spacing w:before="40" w:after="40"/>
                    <w:rPr>
                      <w:rFonts w:ascii="Calibri" w:eastAsia="Calibri" w:hAnsi="Calibri" w:cs="Calibri"/>
                      <w:color w:val="4F81BD"/>
                      <w:sz w:val="16"/>
                      <w:szCs w:val="16"/>
                    </w:rPr>
                  </w:pPr>
                </w:p>
              </w:tc>
            </w:tr>
            <w:tr w:rsidR="00600DEE" w14:paraId="3F60E02F" w14:textId="77777777" w:rsidTr="00E91CFE">
              <w:trPr>
                <w:trHeight w:val="806"/>
              </w:trPr>
              <w:tc>
                <w:tcPr>
                  <w:tcW w:w="2352" w:type="dxa"/>
                  <w:shd w:val="clear" w:color="auto" w:fill="DBE5F1"/>
                </w:tcPr>
                <w:p w14:paraId="05AB632B" w14:textId="77777777" w:rsidR="00600DEE" w:rsidRDefault="00641FB5">
                  <w:pPr>
                    <w:spacing w:before="40" w:after="40"/>
                    <w:rPr>
                      <w:rFonts w:ascii="Calibri" w:eastAsia="Calibri" w:hAnsi="Calibri" w:cs="Calibri"/>
                      <w:color w:val="4F81BD"/>
                      <w:sz w:val="16"/>
                      <w:szCs w:val="16"/>
                    </w:rPr>
                  </w:pPr>
                  <w:r>
                    <w:rPr>
                      <w:rFonts w:ascii="Calibri" w:eastAsia="Calibri" w:hAnsi="Calibri" w:cs="Calibri"/>
                      <w:color w:val="4F81BD"/>
                      <w:sz w:val="16"/>
                      <w:szCs w:val="16"/>
                    </w:rPr>
                    <w:t xml:space="preserve">Koszty utrzymania i eksploatacji pozostałych dróg zarządzanych przez Beneficjenta (pozostała sieć) </w:t>
                  </w:r>
                </w:p>
              </w:tc>
              <w:tc>
                <w:tcPr>
                  <w:tcW w:w="774" w:type="dxa"/>
                  <w:shd w:val="clear" w:color="auto" w:fill="DBE5F1"/>
                </w:tcPr>
                <w:p w14:paraId="1B0820A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1DA14DE"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465F4CD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51136C7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1349F9D"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0ADC4572" w14:textId="77777777" w:rsidR="00600DEE" w:rsidRDefault="00600DEE">
                  <w:pPr>
                    <w:spacing w:before="40" w:after="40"/>
                    <w:rPr>
                      <w:rFonts w:ascii="Calibri" w:eastAsia="Calibri" w:hAnsi="Calibri" w:cs="Calibri"/>
                      <w:color w:val="4F81BD"/>
                      <w:sz w:val="16"/>
                      <w:szCs w:val="16"/>
                    </w:rPr>
                  </w:pPr>
                </w:p>
              </w:tc>
            </w:tr>
            <w:tr w:rsidR="00600DEE" w14:paraId="4F6DDA1D" w14:textId="77777777" w:rsidTr="00E91CFE">
              <w:trPr>
                <w:trHeight w:val="444"/>
              </w:trPr>
              <w:tc>
                <w:tcPr>
                  <w:tcW w:w="2352" w:type="dxa"/>
                  <w:shd w:val="clear" w:color="auto" w:fill="DBE5F1"/>
                </w:tcPr>
                <w:p w14:paraId="028546A4" w14:textId="77777777" w:rsidR="00600DEE" w:rsidRDefault="00641FB5">
                  <w:pPr>
                    <w:spacing w:before="40" w:after="40"/>
                    <w:rPr>
                      <w:rFonts w:ascii="Calibri" w:eastAsia="Calibri" w:hAnsi="Calibri" w:cs="Calibri"/>
                      <w:b/>
                      <w:color w:val="4F81BD"/>
                      <w:sz w:val="16"/>
                      <w:szCs w:val="16"/>
                    </w:rPr>
                  </w:pPr>
                  <w:r>
                    <w:rPr>
                      <w:rFonts w:ascii="Calibri" w:eastAsia="Calibri" w:hAnsi="Calibri" w:cs="Calibri"/>
                      <w:b/>
                      <w:color w:val="4F81BD"/>
                      <w:sz w:val="16"/>
                      <w:szCs w:val="16"/>
                    </w:rPr>
                    <w:t>Łączne koszty utrzymania infrastruktury drogowej</w:t>
                  </w:r>
                </w:p>
              </w:tc>
              <w:tc>
                <w:tcPr>
                  <w:tcW w:w="774" w:type="dxa"/>
                  <w:shd w:val="clear" w:color="auto" w:fill="DBE5F1"/>
                </w:tcPr>
                <w:p w14:paraId="4DF3B3B4"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941EE1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157AFD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C01898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20598E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BC854E5" w14:textId="77777777" w:rsidR="00600DEE" w:rsidRDefault="00600DEE">
                  <w:pPr>
                    <w:spacing w:before="40" w:after="40"/>
                    <w:rPr>
                      <w:rFonts w:ascii="Calibri" w:eastAsia="Calibri" w:hAnsi="Calibri" w:cs="Calibri"/>
                      <w:color w:val="4F81BD"/>
                      <w:sz w:val="16"/>
                      <w:szCs w:val="16"/>
                    </w:rPr>
                  </w:pPr>
                </w:p>
              </w:tc>
            </w:tr>
            <w:tr w:rsidR="00600DEE" w14:paraId="0E44180E" w14:textId="77777777" w:rsidTr="00E91CFE">
              <w:trPr>
                <w:trHeight w:val="625"/>
              </w:trPr>
              <w:tc>
                <w:tcPr>
                  <w:tcW w:w="2352" w:type="dxa"/>
                  <w:shd w:val="clear" w:color="auto" w:fill="DBE5F1"/>
                </w:tcPr>
                <w:p w14:paraId="44556D5E" w14:textId="77777777" w:rsidR="00600DEE" w:rsidRDefault="00641FB5">
                  <w:pPr>
                    <w:spacing w:before="40" w:after="40"/>
                    <w:rPr>
                      <w:rFonts w:ascii="Calibri" w:eastAsia="Calibri" w:hAnsi="Calibri" w:cs="Calibri"/>
                      <w:color w:val="4F81BD"/>
                      <w:sz w:val="16"/>
                      <w:szCs w:val="16"/>
                    </w:rPr>
                  </w:pPr>
                  <w:r>
                    <w:rPr>
                      <w:rFonts w:ascii="Calibri" w:eastAsia="Calibri" w:hAnsi="Calibri" w:cs="Calibri"/>
                      <w:color w:val="4F81BD"/>
                      <w:sz w:val="16"/>
                      <w:szCs w:val="16"/>
                    </w:rPr>
                    <w:t>Pozostałe koszty, w tym finansowe (odsetki, spłaty długów)</w:t>
                  </w:r>
                </w:p>
              </w:tc>
              <w:tc>
                <w:tcPr>
                  <w:tcW w:w="774" w:type="dxa"/>
                  <w:shd w:val="clear" w:color="auto" w:fill="DBE5F1"/>
                </w:tcPr>
                <w:p w14:paraId="1C517908"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C9CDF20"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928C9CF"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CD2D55B"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5F4FBEA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151E829" w14:textId="77777777" w:rsidR="00600DEE" w:rsidRDefault="00600DEE">
                  <w:pPr>
                    <w:spacing w:before="40" w:after="40"/>
                    <w:rPr>
                      <w:rFonts w:ascii="Calibri" w:eastAsia="Calibri" w:hAnsi="Calibri" w:cs="Calibri"/>
                      <w:color w:val="4F81BD"/>
                      <w:sz w:val="16"/>
                      <w:szCs w:val="16"/>
                    </w:rPr>
                  </w:pPr>
                </w:p>
              </w:tc>
            </w:tr>
            <w:tr w:rsidR="00600DEE" w14:paraId="02390E82" w14:textId="77777777" w:rsidTr="00E91CFE">
              <w:trPr>
                <w:trHeight w:hRule="exact" w:val="567"/>
              </w:trPr>
              <w:tc>
                <w:tcPr>
                  <w:tcW w:w="2352" w:type="dxa"/>
                  <w:shd w:val="clear" w:color="auto" w:fill="DBE5F1"/>
                </w:tcPr>
                <w:p w14:paraId="655B9C89" w14:textId="77777777" w:rsidR="00600DEE" w:rsidRDefault="00641FB5">
                  <w:pPr>
                    <w:spacing w:before="40" w:after="40"/>
                    <w:rPr>
                      <w:rFonts w:ascii="Calibri" w:eastAsia="Calibri" w:hAnsi="Calibri" w:cs="Calibri"/>
                      <w:b/>
                      <w:color w:val="4F81BD"/>
                      <w:sz w:val="16"/>
                      <w:szCs w:val="16"/>
                    </w:rPr>
                  </w:pPr>
                  <w:r>
                    <w:rPr>
                      <w:rFonts w:ascii="Calibri" w:eastAsia="Calibri" w:hAnsi="Calibri" w:cs="Calibri"/>
                      <w:b/>
                      <w:color w:val="4F81BD"/>
                      <w:sz w:val="16"/>
                      <w:szCs w:val="16"/>
                    </w:rPr>
                    <w:t xml:space="preserve">Koszty łączne zarządcy infrastruktury </w:t>
                  </w:r>
                </w:p>
              </w:tc>
              <w:tc>
                <w:tcPr>
                  <w:tcW w:w="774" w:type="dxa"/>
                  <w:shd w:val="clear" w:color="auto" w:fill="DBE5F1"/>
                </w:tcPr>
                <w:p w14:paraId="0691309B"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0B024EF4"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29B934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556EAE5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223107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63B0B9A" w14:textId="77777777" w:rsidR="00600DEE" w:rsidRDefault="00600DEE">
                  <w:pPr>
                    <w:spacing w:before="40" w:after="40"/>
                    <w:rPr>
                      <w:rFonts w:ascii="Calibri" w:eastAsia="Calibri" w:hAnsi="Calibri" w:cs="Calibri"/>
                      <w:color w:val="4F81BD"/>
                      <w:sz w:val="16"/>
                      <w:szCs w:val="16"/>
                    </w:rPr>
                  </w:pPr>
                </w:p>
              </w:tc>
            </w:tr>
          </w:tbl>
          <w:p w14:paraId="61EE327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16"/>
                <w:szCs w:val="16"/>
              </w:rPr>
            </w:pPr>
            <w:r>
              <w:rPr>
                <w:rFonts w:ascii="Calibri" w:eastAsia="Calibri" w:hAnsi="Calibri" w:cs="Calibri"/>
                <w:b/>
                <w:i/>
                <w:color w:val="000000"/>
                <w:sz w:val="16"/>
                <w:szCs w:val="16"/>
              </w:rPr>
              <w:t>Uwaga: w </w:t>
            </w:r>
            <w:r>
              <w:rPr>
                <w:rFonts w:ascii="Calibri" w:eastAsia="Calibri" w:hAnsi="Calibri" w:cs="Calibri"/>
                <w:color w:val="000000"/>
                <w:sz w:val="16"/>
                <w:szCs w:val="16"/>
              </w:rPr>
              <w:t xml:space="preserve">przypadku GDDKiA powyższe informacje powinny być uzyskane od właściwego ministerstwa, </w:t>
            </w:r>
            <w:r>
              <w:rPr>
                <w:rFonts w:ascii="Calibri" w:eastAsia="Calibri" w:hAnsi="Calibri" w:cs="Calibri"/>
                <w:color w:val="000000"/>
                <w:sz w:val="16"/>
                <w:szCs w:val="16"/>
              </w:rPr>
              <w:br/>
              <w:t>a w przypadku JST - od odpowiednich organów samorządowych.</w:t>
            </w:r>
          </w:p>
          <w:p w14:paraId="0A13FE7F"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pozycji „</w:t>
            </w:r>
            <w:r>
              <w:rPr>
                <w:rFonts w:ascii="Calibri" w:eastAsia="Calibri" w:hAnsi="Calibri" w:cs="Calibri"/>
                <w:i/>
                <w:color w:val="000000"/>
                <w:sz w:val="20"/>
                <w:szCs w:val="20"/>
              </w:rPr>
              <w:t>koszty utrzymania i eksploatacji dróg realizowanych w ramach perspektywy 2014-2020 oraz 2021-2027</w:t>
            </w:r>
            <w:r>
              <w:rPr>
                <w:rFonts w:ascii="Calibri" w:eastAsia="Calibri" w:hAnsi="Calibri" w:cs="Calibri"/>
                <w:color w:val="000000"/>
                <w:sz w:val="20"/>
                <w:szCs w:val="20"/>
              </w:rPr>
              <w:t>” należy wymienić łączne koszty utrzymaniowe wszystkich odcinków dróg budowanych lub planowanych do modernizacji w tym okresie programowania. W przypadku braku informacji o pełnej liście projektów, należy zestawić inwestycje już zaplanowane i przyjęte w aktualnych dokumentach strategicznych. Koszty, w przypadku projektów planowanych do realizacji powinny być zestawione w oparciu o analizę porównawczą (np. koszt utrzymana 1km autostrady), a w przypadku projektów zrealizowanych – wykazane na bazie informacji zawartych we Wnioskach złożonych do KE lub zaakceptowanych na szczeblu krajowym.</w:t>
            </w:r>
          </w:p>
          <w:p w14:paraId="3C16F5C6" w14:textId="4F83B2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 pozycji „</w:t>
            </w:r>
            <w:r>
              <w:rPr>
                <w:rFonts w:ascii="Calibri" w:eastAsia="Calibri" w:hAnsi="Calibri" w:cs="Calibri"/>
                <w:i/>
                <w:color w:val="000000"/>
                <w:sz w:val="20"/>
                <w:szCs w:val="20"/>
              </w:rPr>
              <w:t xml:space="preserve">koszty utrzymania i eksploatacji pozostałych dróg zarządzanych przez </w:t>
            </w:r>
            <w:r w:rsidR="00933C7D">
              <w:rPr>
                <w:rFonts w:ascii="Calibri" w:eastAsia="Calibri" w:hAnsi="Calibri" w:cs="Calibri"/>
                <w:i/>
                <w:color w:val="000000"/>
                <w:sz w:val="20"/>
                <w:szCs w:val="20"/>
              </w:rPr>
              <w:t>B</w:t>
            </w:r>
            <w:r>
              <w:rPr>
                <w:rFonts w:ascii="Calibri" w:eastAsia="Calibri" w:hAnsi="Calibri" w:cs="Calibri"/>
                <w:i/>
                <w:color w:val="000000"/>
                <w:sz w:val="20"/>
                <w:szCs w:val="20"/>
              </w:rPr>
              <w:t>eneficjenta (pozostała sieć)</w:t>
            </w:r>
            <w:r>
              <w:rPr>
                <w:rFonts w:ascii="Calibri" w:eastAsia="Calibri" w:hAnsi="Calibri" w:cs="Calibri"/>
                <w:color w:val="000000"/>
                <w:sz w:val="20"/>
                <w:szCs w:val="20"/>
              </w:rPr>
              <w:t>” należy zestawić średnie, realne koszty utrzymaniowe poniesione przez Beneficjenta w ciągu ostatnich 3 lat na tych drogach, które będą podstawą do wskaźnikowego (średni koszt utrzymania na 1 kilometr drogi jednojezdniowej/dwujezdniowej) oszacowania kosztów utrzymania i eksploatacji tych dróg w latach przyszłych.</w:t>
            </w:r>
          </w:p>
          <w:p w14:paraId="57DF8A2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Dla celów analizy należy wykorzystać najbardziej aktualne informacje dotyczące planowania i szacunków kosztów.</w:t>
            </w:r>
          </w:p>
          <w:p w14:paraId="35C35F6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 drugiej strony, prognozę przychodów Beneficjenta powinno się analizować według poniższych rekomendacji:</w:t>
            </w:r>
          </w:p>
          <w:p w14:paraId="23306BA2" w14:textId="64444A67" w:rsidR="00600DEE" w:rsidRDefault="00B67038" w:rsidP="000117E4">
            <w:pPr>
              <w:pBdr>
                <w:top w:val="nil"/>
                <w:left w:val="nil"/>
                <w:bottom w:val="nil"/>
                <w:right w:val="nil"/>
                <w:between w:val="nil"/>
              </w:pBdr>
              <w:spacing w:before="240" w:after="120"/>
              <w:ind w:left="851" w:hanging="851"/>
              <w:jc w:val="both"/>
              <w:rPr>
                <w:rFonts w:ascii="Calibri" w:eastAsia="Calibri" w:hAnsi="Calibri" w:cs="Calibri"/>
                <w:b/>
                <w:color w:val="4F81BD"/>
                <w:sz w:val="20"/>
                <w:szCs w:val="20"/>
              </w:rPr>
            </w:pPr>
            <w:r>
              <w:rPr>
                <w:rFonts w:ascii="Calibri" w:eastAsia="Calibri" w:hAnsi="Calibri" w:cs="Calibri"/>
                <w:b/>
                <w:color w:val="4F81BD"/>
                <w:sz w:val="20"/>
                <w:szCs w:val="20"/>
              </w:rPr>
              <w:t>Tabela 30</w:t>
            </w:r>
            <w:r w:rsidR="00641FB5">
              <w:rPr>
                <w:rFonts w:ascii="Calibri" w:eastAsia="Calibri" w:hAnsi="Calibri" w:cs="Calibri"/>
                <w:b/>
                <w:color w:val="4F81BD"/>
                <w:sz w:val="20"/>
                <w:szCs w:val="20"/>
              </w:rPr>
              <w:t>. Prognoza przychodów Beneficjenta (do ustrukturyzowania w zależności od Beneficjenta)</w:t>
            </w:r>
          </w:p>
          <w:tbl>
            <w:tblPr>
              <w:tblW w:w="7088" w:type="dxa"/>
              <w:tblCellSpacing w:w="20" w:type="dxa"/>
              <w:tblLayout w:type="fixed"/>
              <w:tblLook w:val="04A0" w:firstRow="1" w:lastRow="0" w:firstColumn="1" w:lastColumn="0" w:noHBand="0" w:noVBand="1"/>
            </w:tblPr>
            <w:tblGrid>
              <w:gridCol w:w="2153"/>
              <w:gridCol w:w="705"/>
              <w:gridCol w:w="828"/>
              <w:gridCol w:w="850"/>
              <w:gridCol w:w="851"/>
              <w:gridCol w:w="850"/>
              <w:gridCol w:w="851"/>
            </w:tblGrid>
            <w:tr w:rsidR="0079382E" w:rsidRPr="00731E4E" w14:paraId="2E799272" w14:textId="77777777" w:rsidTr="00505091">
              <w:trPr>
                <w:tblCellSpacing w:w="20" w:type="dxa"/>
              </w:trPr>
              <w:tc>
                <w:tcPr>
                  <w:tcW w:w="2093" w:type="dxa"/>
                  <w:shd w:val="clear" w:color="auto" w:fill="A6A6A6" w:themeFill="background1" w:themeFillShade="A6"/>
                </w:tcPr>
                <w:p w14:paraId="6BD07C61"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 xml:space="preserve">Lata </w:t>
                  </w:r>
                </w:p>
              </w:tc>
              <w:tc>
                <w:tcPr>
                  <w:tcW w:w="665" w:type="dxa"/>
                  <w:shd w:val="clear" w:color="auto" w:fill="A6A6A6" w:themeFill="background1" w:themeFillShade="A6"/>
                </w:tcPr>
                <w:p w14:paraId="3840858E"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201</w:t>
                  </w:r>
                  <w:r>
                    <w:rPr>
                      <w:rFonts w:asciiTheme="minorHAnsi" w:hAnsiTheme="minorHAnsi" w:cs="Arial"/>
                      <w:color w:val="FFFFFF"/>
                      <w:sz w:val="16"/>
                      <w:szCs w:val="16"/>
                    </w:rPr>
                    <w:t>8</w:t>
                  </w:r>
                </w:p>
              </w:tc>
              <w:tc>
                <w:tcPr>
                  <w:tcW w:w="788" w:type="dxa"/>
                  <w:shd w:val="clear" w:color="auto" w:fill="A6A6A6" w:themeFill="background1" w:themeFillShade="A6"/>
                </w:tcPr>
                <w:p w14:paraId="1E507D38"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w:t>
                  </w:r>
                </w:p>
              </w:tc>
              <w:tc>
                <w:tcPr>
                  <w:tcW w:w="810" w:type="dxa"/>
                  <w:shd w:val="clear" w:color="auto" w:fill="A6A6A6" w:themeFill="background1" w:themeFillShade="A6"/>
                </w:tcPr>
                <w:p w14:paraId="10E07EA6"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2020</w:t>
                  </w:r>
                </w:p>
              </w:tc>
              <w:tc>
                <w:tcPr>
                  <w:tcW w:w="811" w:type="dxa"/>
                  <w:shd w:val="clear" w:color="auto" w:fill="A6A6A6" w:themeFill="background1" w:themeFillShade="A6"/>
                </w:tcPr>
                <w:p w14:paraId="0F676DB7"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2025</w:t>
                  </w:r>
                </w:p>
              </w:tc>
              <w:tc>
                <w:tcPr>
                  <w:tcW w:w="810" w:type="dxa"/>
                  <w:shd w:val="clear" w:color="auto" w:fill="A6A6A6" w:themeFill="background1" w:themeFillShade="A6"/>
                </w:tcPr>
                <w:p w14:paraId="0DE8BCEE"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2030</w:t>
                  </w:r>
                </w:p>
              </w:tc>
              <w:tc>
                <w:tcPr>
                  <w:tcW w:w="791" w:type="dxa"/>
                  <w:shd w:val="clear" w:color="auto" w:fill="A6A6A6" w:themeFill="background1" w:themeFillShade="A6"/>
                </w:tcPr>
                <w:p w14:paraId="34A4B9D3"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2040</w:t>
                  </w:r>
                </w:p>
              </w:tc>
            </w:tr>
            <w:tr w:rsidR="0079382E" w:rsidRPr="00731E4E" w14:paraId="79078D8A" w14:textId="77777777" w:rsidTr="00505091">
              <w:trPr>
                <w:tblCellSpacing w:w="20" w:type="dxa"/>
              </w:trPr>
              <w:tc>
                <w:tcPr>
                  <w:tcW w:w="2093" w:type="dxa"/>
                  <w:shd w:val="clear" w:color="auto" w:fill="DBE5F1"/>
                </w:tcPr>
                <w:p w14:paraId="08F3DB23"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xml:space="preserve">Przychody własne  </w:t>
                  </w:r>
                </w:p>
              </w:tc>
              <w:tc>
                <w:tcPr>
                  <w:tcW w:w="665" w:type="dxa"/>
                  <w:shd w:val="clear" w:color="auto" w:fill="DBE5F1"/>
                </w:tcPr>
                <w:p w14:paraId="0E2A7847"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0E54F5D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C68F05B"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10D9C16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0CDE61D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4A5D515F"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5A65E4FD" w14:textId="77777777" w:rsidTr="00505091">
              <w:trPr>
                <w:tblCellSpacing w:w="20" w:type="dxa"/>
              </w:trPr>
              <w:tc>
                <w:tcPr>
                  <w:tcW w:w="2093" w:type="dxa"/>
                  <w:shd w:val="clear" w:color="auto" w:fill="DBE5F1"/>
                </w:tcPr>
                <w:p w14:paraId="31CDD3C8"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xml:space="preserve">- opłaty za </w:t>
                  </w:r>
                  <w:proofErr w:type="spellStart"/>
                  <w:r w:rsidRPr="00C42EEC">
                    <w:rPr>
                      <w:rFonts w:asciiTheme="minorHAnsi" w:hAnsiTheme="minorHAnsi" w:cs="Arial"/>
                      <w:color w:val="4F81BD" w:themeColor="accent1"/>
                      <w:sz w:val="16"/>
                      <w:szCs w:val="16"/>
                    </w:rPr>
                    <w:t>korzysztanie</w:t>
                  </w:r>
                  <w:proofErr w:type="spellEnd"/>
                  <w:r>
                    <w:rPr>
                      <w:rFonts w:asciiTheme="minorHAnsi" w:hAnsiTheme="minorHAnsi" w:cs="Arial"/>
                      <w:color w:val="4F81BD" w:themeColor="accent1"/>
                      <w:sz w:val="16"/>
                      <w:szCs w:val="16"/>
                    </w:rPr>
                    <w:t xml:space="preserve"> z </w:t>
                  </w:r>
                  <w:r w:rsidRPr="00C42EEC">
                    <w:rPr>
                      <w:rFonts w:asciiTheme="minorHAnsi" w:hAnsiTheme="minorHAnsi" w:cs="Arial"/>
                      <w:color w:val="4F81BD" w:themeColor="accent1"/>
                      <w:sz w:val="16"/>
                      <w:szCs w:val="16"/>
                    </w:rPr>
                    <w:t xml:space="preserve">infrastruktury drogowej </w:t>
                  </w:r>
                </w:p>
              </w:tc>
              <w:tc>
                <w:tcPr>
                  <w:tcW w:w="665" w:type="dxa"/>
                  <w:shd w:val="clear" w:color="auto" w:fill="DBE5F1"/>
                </w:tcPr>
                <w:p w14:paraId="404261D1"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4DAF77AD"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5F8EFF23"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0BDED303"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7E51BFC6"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21371D25"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0B3B10C7" w14:textId="77777777" w:rsidTr="00505091">
              <w:trPr>
                <w:tblCellSpacing w:w="20" w:type="dxa"/>
              </w:trPr>
              <w:tc>
                <w:tcPr>
                  <w:tcW w:w="2093" w:type="dxa"/>
                  <w:shd w:val="clear" w:color="auto" w:fill="DBE5F1"/>
                </w:tcPr>
                <w:p w14:paraId="120EA1DE"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pozostałe przychody</w:t>
                  </w:r>
                </w:p>
              </w:tc>
              <w:tc>
                <w:tcPr>
                  <w:tcW w:w="665" w:type="dxa"/>
                  <w:shd w:val="clear" w:color="auto" w:fill="DBE5F1"/>
                </w:tcPr>
                <w:p w14:paraId="566480F6"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68B449DC"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7827DB9"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141E0544"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5EBCBA1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093D2EDA"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30F77A04" w14:textId="77777777" w:rsidTr="00505091">
              <w:trPr>
                <w:tblCellSpacing w:w="20" w:type="dxa"/>
              </w:trPr>
              <w:tc>
                <w:tcPr>
                  <w:tcW w:w="2093" w:type="dxa"/>
                  <w:shd w:val="clear" w:color="auto" w:fill="DBE5F1"/>
                </w:tcPr>
                <w:p w14:paraId="73FF62E1"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Pozostałe wpływy,</w:t>
                  </w:r>
                  <w:r>
                    <w:rPr>
                      <w:rFonts w:asciiTheme="minorHAnsi" w:hAnsiTheme="minorHAnsi" w:cs="Arial"/>
                      <w:color w:val="4F81BD" w:themeColor="accent1"/>
                      <w:sz w:val="16"/>
                      <w:szCs w:val="16"/>
                    </w:rPr>
                    <w:t xml:space="preserve"> w </w:t>
                  </w:r>
                  <w:r w:rsidRPr="00C42EEC">
                    <w:rPr>
                      <w:rFonts w:asciiTheme="minorHAnsi" w:hAnsiTheme="minorHAnsi" w:cs="Arial"/>
                      <w:color w:val="4F81BD" w:themeColor="accent1"/>
                      <w:sz w:val="16"/>
                      <w:szCs w:val="16"/>
                    </w:rPr>
                    <w:t xml:space="preserve">tym: </w:t>
                  </w:r>
                </w:p>
              </w:tc>
              <w:tc>
                <w:tcPr>
                  <w:tcW w:w="665" w:type="dxa"/>
                  <w:shd w:val="clear" w:color="auto" w:fill="DBE5F1"/>
                </w:tcPr>
                <w:p w14:paraId="2781419C"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24BEB87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43B883CD"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18A53AF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15D51537"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2A9BAAE2"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382A2B16" w14:textId="77777777" w:rsidTr="00505091">
              <w:trPr>
                <w:tblCellSpacing w:w="20" w:type="dxa"/>
              </w:trPr>
              <w:tc>
                <w:tcPr>
                  <w:tcW w:w="2093" w:type="dxa"/>
                  <w:shd w:val="clear" w:color="auto" w:fill="DBE5F1"/>
                </w:tcPr>
                <w:p w14:paraId="2110C418"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Dotacja Skarbu Państwa (lub JST)</w:t>
                  </w:r>
                </w:p>
              </w:tc>
              <w:tc>
                <w:tcPr>
                  <w:tcW w:w="665" w:type="dxa"/>
                  <w:shd w:val="clear" w:color="auto" w:fill="DBE5F1"/>
                </w:tcPr>
                <w:p w14:paraId="1B3FA1FD"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73363582"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01AFAAD3"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4B391806"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85B80E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196E511B"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0C83B971" w14:textId="77777777" w:rsidTr="00505091">
              <w:trPr>
                <w:tblCellSpacing w:w="20" w:type="dxa"/>
              </w:trPr>
              <w:tc>
                <w:tcPr>
                  <w:tcW w:w="2093" w:type="dxa"/>
                  <w:shd w:val="clear" w:color="auto" w:fill="DBE5F1"/>
                </w:tcPr>
                <w:p w14:paraId="44C3C043"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inne dotacje</w:t>
                  </w:r>
                  <w:r>
                    <w:rPr>
                      <w:rFonts w:asciiTheme="minorHAnsi" w:hAnsiTheme="minorHAnsi" w:cs="Arial"/>
                      <w:color w:val="4F81BD" w:themeColor="accent1"/>
                      <w:sz w:val="16"/>
                      <w:szCs w:val="16"/>
                    </w:rPr>
                    <w:t xml:space="preserve"> i </w:t>
                  </w:r>
                  <w:r w:rsidRPr="00C42EEC">
                    <w:rPr>
                      <w:rFonts w:asciiTheme="minorHAnsi" w:hAnsiTheme="minorHAnsi" w:cs="Arial"/>
                      <w:color w:val="4F81BD" w:themeColor="accent1"/>
                      <w:sz w:val="16"/>
                      <w:szCs w:val="16"/>
                    </w:rPr>
                    <w:t xml:space="preserve">wpływy* </w:t>
                  </w:r>
                </w:p>
              </w:tc>
              <w:tc>
                <w:tcPr>
                  <w:tcW w:w="665" w:type="dxa"/>
                  <w:shd w:val="clear" w:color="auto" w:fill="DBE5F1"/>
                </w:tcPr>
                <w:p w14:paraId="24B398F1"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18FF1DC9"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0E265F65"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71266215"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88DA8E7"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1D9587B4"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44754809" w14:textId="77777777" w:rsidTr="00505091">
              <w:trPr>
                <w:tblCellSpacing w:w="20" w:type="dxa"/>
              </w:trPr>
              <w:tc>
                <w:tcPr>
                  <w:tcW w:w="2093" w:type="dxa"/>
                  <w:shd w:val="clear" w:color="auto" w:fill="DBE5F1"/>
                </w:tcPr>
                <w:p w14:paraId="346DEE9B"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xml:space="preserve">Razem wpływy </w:t>
                  </w:r>
                </w:p>
              </w:tc>
              <w:tc>
                <w:tcPr>
                  <w:tcW w:w="665" w:type="dxa"/>
                  <w:shd w:val="clear" w:color="auto" w:fill="DBE5F1"/>
                </w:tcPr>
                <w:p w14:paraId="78677FE1"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35A1D732"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1CC967C4"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759E926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5F648A0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2F114448" w14:textId="77777777" w:rsidR="0079382E" w:rsidRPr="00C42EEC" w:rsidRDefault="0079382E" w:rsidP="0079382E">
                  <w:pPr>
                    <w:spacing w:before="40" w:after="40"/>
                    <w:rPr>
                      <w:rFonts w:asciiTheme="minorHAnsi" w:hAnsiTheme="minorHAnsi" w:cs="Arial"/>
                      <w:color w:val="4F81BD" w:themeColor="accent1"/>
                      <w:sz w:val="16"/>
                      <w:szCs w:val="16"/>
                    </w:rPr>
                  </w:pPr>
                </w:p>
              </w:tc>
            </w:tr>
          </w:tbl>
          <w:p w14:paraId="2195D9DB" w14:textId="77777777" w:rsidR="00600DEE" w:rsidRDefault="00641FB5">
            <w:pPr>
              <w:rPr>
                <w:rFonts w:ascii="Calibri" w:eastAsia="Calibri" w:hAnsi="Calibri" w:cs="Calibri"/>
                <w:sz w:val="16"/>
                <w:szCs w:val="16"/>
              </w:rPr>
            </w:pPr>
            <w:r>
              <w:rPr>
                <w:rFonts w:ascii="Calibri" w:eastAsia="Calibri" w:hAnsi="Calibri" w:cs="Calibri"/>
                <w:sz w:val="16"/>
                <w:szCs w:val="16"/>
              </w:rPr>
              <w:t>* należy nazwać szczegółowo inne źródła wpływów</w:t>
            </w:r>
          </w:p>
          <w:p w14:paraId="0CD3620E" w14:textId="77777777" w:rsidR="00600DEE" w:rsidRDefault="00641FB5">
            <w:pPr>
              <w:pBdr>
                <w:top w:val="nil"/>
                <w:left w:val="nil"/>
                <w:bottom w:val="nil"/>
                <w:right w:val="nil"/>
                <w:between w:val="nil"/>
              </w:pBdr>
              <w:spacing w:before="120" w:after="120"/>
              <w:jc w:val="both"/>
              <w:rPr>
                <w:rFonts w:ascii="Calibri" w:eastAsia="Calibri" w:hAnsi="Calibri" w:cs="Calibri"/>
                <w:b/>
                <w:i/>
                <w:color w:val="000000"/>
                <w:sz w:val="16"/>
                <w:szCs w:val="16"/>
              </w:rPr>
            </w:pPr>
            <w:r>
              <w:rPr>
                <w:rFonts w:ascii="Calibri" w:eastAsia="Calibri" w:hAnsi="Calibri" w:cs="Calibri"/>
                <w:b/>
                <w:i/>
                <w:color w:val="000000"/>
                <w:sz w:val="16"/>
                <w:szCs w:val="16"/>
              </w:rPr>
              <w:t>Uwaga: w </w:t>
            </w:r>
            <w:r>
              <w:rPr>
                <w:rFonts w:ascii="Calibri" w:eastAsia="Calibri" w:hAnsi="Calibri" w:cs="Calibri"/>
                <w:color w:val="000000"/>
                <w:sz w:val="16"/>
                <w:szCs w:val="16"/>
              </w:rPr>
              <w:t xml:space="preserve">przypadku GDDKiA powyższe informacje powinny być uzyskane od właściwego ministerstwa </w:t>
            </w:r>
            <w:r>
              <w:rPr>
                <w:rFonts w:ascii="Calibri" w:eastAsia="Calibri" w:hAnsi="Calibri" w:cs="Calibri"/>
                <w:color w:val="000000"/>
                <w:sz w:val="16"/>
                <w:szCs w:val="16"/>
              </w:rPr>
              <w:br/>
              <w:t>a w przypadku JST - od odpowiednich organów samorządowych.</w:t>
            </w:r>
          </w:p>
        </w:tc>
        <w:tc>
          <w:tcPr>
            <w:tcW w:w="7201" w:type="dxa"/>
            <w:tcBorders>
              <w:left w:val="single" w:sz="4" w:space="0" w:color="000000"/>
            </w:tcBorders>
            <w:tcMar>
              <w:left w:w="284" w:type="dxa"/>
              <w:right w:w="284" w:type="dxa"/>
            </w:tcMar>
          </w:tcPr>
          <w:p w14:paraId="24656F1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project is financially sustainable if there are sufficient funds to cover the expenses during the construction stage and the operation stage. The aim of the financial sustainability check in road infrastructure projects is to prove that the project Beneficiary will be able to bear all financial expenditures required to maintain the service operation of road infrastructure (including also engineering structures, traffic management system and toll collection system) during the whole reference period. All costs need to be included, such as routine operation and maintenance costs as well as rehabilitation costs. While this analysis concerns the specific project’s operation and maintenance sustainability, the sustainability of the entire road network should be also adequately considered within an efficient maintenance regime. In this sense, potential project revenues from tolls should be earmarked for the operation and maintenance of the existing network, rather than building new sections.</w:t>
            </w:r>
          </w:p>
          <w:p w14:paraId="6264253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 project Beneficiary must prove or show clear commitment that it has sufficient financial resources that will consistently match disbursements in the years to come to ensure an adequate level of service of the road infrastructure. In case of net revenue generating projects, the revenues will be sufficient to cover operation and maintenance expenditures; and if not, supplemented with operation subsidy to cover adequately project O&amp;M costs. It means that the cumulated (not discounted) net cash flows must be non-negative for all years of the reference period considered. In case of projects which do not generate net revenues, it must be indicated how costs will be covered with a clear long-term commitment of the Beneficiary/operator to provide adequate funding from other sources to ensure the sustainability of the project.</w:t>
            </w:r>
          </w:p>
          <w:p w14:paraId="36F58B7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checking the project financial sustainability, the following cash flows are to be used:</w:t>
            </w:r>
          </w:p>
          <w:p w14:paraId="04F47388" w14:textId="77777777" w:rsidR="00600DEE"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Operating and </w:t>
            </w:r>
            <w:proofErr w:type="spellStart"/>
            <w:r>
              <w:rPr>
                <w:rFonts w:ascii="Calibri" w:eastAsia="Calibri" w:hAnsi="Calibri" w:cs="Calibri"/>
                <w:color w:val="000000"/>
                <w:sz w:val="20"/>
                <w:szCs w:val="20"/>
              </w:rPr>
              <w:t>maintenance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costs</w:t>
            </w:r>
            <w:proofErr w:type="spellEnd"/>
            <w:r>
              <w:rPr>
                <w:rFonts w:ascii="Calibri" w:eastAsia="Calibri" w:hAnsi="Calibri" w:cs="Calibri"/>
                <w:color w:val="000000"/>
                <w:sz w:val="20"/>
                <w:szCs w:val="20"/>
              </w:rPr>
              <w:t xml:space="preserve">                                               (-)</w:t>
            </w:r>
          </w:p>
          <w:p w14:paraId="3100E254" w14:textId="77777777" w:rsidR="00600DEE"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Loan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repayment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where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relevant</w:t>
            </w:r>
            <w:proofErr w:type="spellEnd"/>
            <w:r>
              <w:rPr>
                <w:rFonts w:ascii="Calibri" w:eastAsia="Calibri" w:hAnsi="Calibri" w:cs="Calibri"/>
                <w:color w:val="000000"/>
                <w:sz w:val="20"/>
                <w:szCs w:val="20"/>
              </w:rPr>
              <w:t>)                                               (-)</w:t>
            </w:r>
          </w:p>
          <w:p w14:paraId="09F773A8" w14:textId="4C165976" w:rsidR="00600DEE"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Revenues</w:t>
            </w:r>
            <w:proofErr w:type="spellEnd"/>
            <w:r>
              <w:rPr>
                <w:rFonts w:ascii="Calibri" w:eastAsia="Calibri" w:hAnsi="Calibri" w:cs="Calibri"/>
                <w:color w:val="000000"/>
                <w:sz w:val="20"/>
                <w:szCs w:val="20"/>
              </w:rPr>
              <w:t xml:space="preserve">                                                                                    </w:t>
            </w:r>
            <w:r w:rsidR="0079382E">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  (+)</w:t>
            </w:r>
          </w:p>
          <w:p w14:paraId="751C9DEA" w14:textId="551AFC21" w:rsidR="00600DEE" w:rsidRPr="0045151D"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 financial resources (national subsidies</w:t>
            </w:r>
            <w:r w:rsidR="0079382E">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 xml:space="preserve"> (+)</w:t>
            </w:r>
          </w:p>
          <w:p w14:paraId="65E30873" w14:textId="709083D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recommended presentation format is shown below.</w:t>
            </w:r>
          </w:p>
          <w:p w14:paraId="1FD5948A" w14:textId="77777777" w:rsidR="000117E4" w:rsidRPr="0045151D" w:rsidRDefault="000117E4" w:rsidP="000117E4">
            <w:pPr>
              <w:pBdr>
                <w:top w:val="nil"/>
                <w:left w:val="nil"/>
                <w:bottom w:val="nil"/>
                <w:right w:val="nil"/>
                <w:between w:val="nil"/>
              </w:pBdr>
              <w:spacing w:before="360" w:after="120"/>
              <w:jc w:val="both"/>
              <w:rPr>
                <w:rFonts w:ascii="Calibri" w:eastAsia="Calibri" w:hAnsi="Calibri" w:cs="Calibri"/>
                <w:color w:val="000000"/>
                <w:sz w:val="20"/>
                <w:szCs w:val="20"/>
                <w:lang w:val="en-GB"/>
              </w:rPr>
            </w:pPr>
          </w:p>
          <w:p w14:paraId="652D4015" w14:textId="77777777" w:rsidR="000117E4" w:rsidRPr="0045151D" w:rsidRDefault="000117E4" w:rsidP="000117E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51C81A17" w14:textId="6EB6BB8D" w:rsidR="00600DEE" w:rsidRPr="0045151D" w:rsidRDefault="00B67038" w:rsidP="000117E4">
            <w:pPr>
              <w:pBdr>
                <w:top w:val="nil"/>
                <w:left w:val="nil"/>
                <w:bottom w:val="nil"/>
                <w:right w:val="nil"/>
                <w:between w:val="nil"/>
              </w:pBdr>
              <w:spacing w:before="24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28</w:t>
            </w:r>
            <w:r w:rsidR="00641FB5" w:rsidRPr="0045151D">
              <w:rPr>
                <w:rFonts w:ascii="Calibri" w:eastAsia="Calibri" w:hAnsi="Calibri" w:cs="Calibri"/>
                <w:b/>
                <w:color w:val="4F81BD"/>
                <w:sz w:val="20"/>
                <w:szCs w:val="20"/>
                <w:lang w:val="en-GB"/>
              </w:rPr>
              <w:t>. Required cash flows influencing financial sustainability of a project</w:t>
            </w:r>
          </w:p>
          <w:p w14:paraId="08AA4948" w14:textId="77777777" w:rsidR="000117E4" w:rsidRPr="0045151D" w:rsidRDefault="000117E4" w:rsidP="000117E4">
            <w:pPr>
              <w:pBdr>
                <w:top w:val="nil"/>
                <w:left w:val="nil"/>
                <w:bottom w:val="nil"/>
                <w:right w:val="nil"/>
                <w:between w:val="nil"/>
              </w:pBdr>
              <w:jc w:val="both"/>
              <w:rPr>
                <w:rFonts w:ascii="Calibri" w:eastAsia="Calibri" w:hAnsi="Calibri" w:cs="Calibri"/>
                <w:b/>
                <w:color w:val="4F81BD"/>
                <w:sz w:val="20"/>
                <w:szCs w:val="20"/>
                <w:lang w:val="en-GB"/>
              </w:rPr>
            </w:pPr>
          </w:p>
          <w:tbl>
            <w:tblPr>
              <w:tblStyle w:val="afffffff2"/>
              <w:tblW w:w="6408" w:type="dxa"/>
              <w:tblLayout w:type="fixed"/>
              <w:tblLook w:val="0000" w:firstRow="0" w:lastRow="0" w:firstColumn="0" w:lastColumn="0" w:noHBand="0" w:noVBand="0"/>
            </w:tblPr>
            <w:tblGrid>
              <w:gridCol w:w="2037"/>
              <w:gridCol w:w="421"/>
              <w:gridCol w:w="480"/>
              <w:gridCol w:w="509"/>
              <w:gridCol w:w="550"/>
              <w:gridCol w:w="439"/>
              <w:gridCol w:w="493"/>
              <w:gridCol w:w="493"/>
              <w:gridCol w:w="493"/>
              <w:gridCol w:w="493"/>
            </w:tblGrid>
            <w:tr w:rsidR="00600DEE" w14:paraId="03B9ACBE" w14:textId="77777777" w:rsidTr="000117E4">
              <w:trPr>
                <w:trHeight w:hRule="exact" w:val="454"/>
              </w:trPr>
              <w:tc>
                <w:tcPr>
                  <w:tcW w:w="2038" w:type="dxa"/>
                  <w:vMerge w:val="restart"/>
                  <w:tcBorders>
                    <w:top w:val="single" w:sz="4" w:space="0" w:color="FFFFFF"/>
                    <w:left w:val="single" w:sz="4" w:space="0" w:color="FFFFFF"/>
                  </w:tcBorders>
                  <w:shd w:val="clear" w:color="auto" w:fill="A6A6A6"/>
                  <w:vAlign w:val="center"/>
                </w:tcPr>
                <w:p w14:paraId="049DB6EE"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Cash </w:t>
                  </w:r>
                  <w:proofErr w:type="spellStart"/>
                  <w:r>
                    <w:rPr>
                      <w:rFonts w:ascii="Calibri" w:eastAsia="Calibri" w:hAnsi="Calibri" w:cs="Calibri"/>
                      <w:b/>
                      <w:color w:val="FFFFFF"/>
                      <w:sz w:val="18"/>
                      <w:szCs w:val="18"/>
                    </w:rPr>
                    <w:t>flows</w:t>
                  </w:r>
                  <w:proofErr w:type="spellEnd"/>
                </w:p>
              </w:tc>
              <w:tc>
                <w:tcPr>
                  <w:tcW w:w="4371" w:type="dxa"/>
                  <w:gridSpan w:val="9"/>
                  <w:tcBorders>
                    <w:top w:val="single" w:sz="4" w:space="0" w:color="FFFFFF"/>
                    <w:left w:val="single" w:sz="4" w:space="0" w:color="FFFFFF"/>
                  </w:tcBorders>
                  <w:shd w:val="clear" w:color="auto" w:fill="A6A6A6"/>
                  <w:vAlign w:val="center"/>
                </w:tcPr>
                <w:p w14:paraId="317F8262" w14:textId="77777777" w:rsidR="00600DEE" w:rsidRDefault="00641FB5">
                  <w:pPr>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Year</w:t>
                  </w:r>
                  <w:proofErr w:type="spellEnd"/>
                </w:p>
              </w:tc>
            </w:tr>
            <w:tr w:rsidR="00600DEE" w14:paraId="36F166B3" w14:textId="77777777">
              <w:trPr>
                <w:trHeight w:val="232"/>
              </w:trPr>
              <w:tc>
                <w:tcPr>
                  <w:tcW w:w="2038" w:type="dxa"/>
                  <w:vMerge/>
                  <w:tcBorders>
                    <w:top w:val="single" w:sz="4" w:space="0" w:color="FFFFFF"/>
                    <w:left w:val="single" w:sz="4" w:space="0" w:color="FFFFFF"/>
                  </w:tcBorders>
                  <w:shd w:val="clear" w:color="auto" w:fill="A6A6A6"/>
                  <w:vAlign w:val="center"/>
                </w:tcPr>
                <w:p w14:paraId="05249EEA"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421" w:type="dxa"/>
                  <w:tcBorders>
                    <w:top w:val="single" w:sz="4" w:space="0" w:color="FFFFFF"/>
                    <w:left w:val="single" w:sz="4" w:space="0" w:color="FFFFFF"/>
                    <w:bottom w:val="single" w:sz="4" w:space="0" w:color="FFFFFF"/>
                  </w:tcBorders>
                  <w:shd w:val="clear" w:color="auto" w:fill="A6A6A6"/>
                  <w:vAlign w:val="center"/>
                </w:tcPr>
                <w:p w14:paraId="68F118B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w:t>
                  </w:r>
                </w:p>
              </w:tc>
              <w:tc>
                <w:tcPr>
                  <w:tcW w:w="480" w:type="dxa"/>
                  <w:tcBorders>
                    <w:top w:val="single" w:sz="4" w:space="0" w:color="FFFFFF"/>
                    <w:left w:val="single" w:sz="4" w:space="0" w:color="FFFFFF"/>
                    <w:bottom w:val="single" w:sz="4" w:space="0" w:color="FFFFFF"/>
                  </w:tcBorders>
                  <w:shd w:val="clear" w:color="auto" w:fill="A6A6A6"/>
                  <w:vAlign w:val="center"/>
                </w:tcPr>
                <w:p w14:paraId="044E675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w:t>
                  </w:r>
                </w:p>
              </w:tc>
              <w:tc>
                <w:tcPr>
                  <w:tcW w:w="509" w:type="dxa"/>
                  <w:tcBorders>
                    <w:top w:val="single" w:sz="4" w:space="0" w:color="FFFFFF"/>
                    <w:left w:val="single" w:sz="4" w:space="0" w:color="FFFFFF"/>
                    <w:bottom w:val="single" w:sz="4" w:space="0" w:color="FFFFFF"/>
                  </w:tcBorders>
                  <w:shd w:val="clear" w:color="auto" w:fill="A6A6A6"/>
                  <w:vAlign w:val="center"/>
                </w:tcPr>
                <w:p w14:paraId="4EE06C2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3</w:t>
                  </w:r>
                </w:p>
              </w:tc>
              <w:tc>
                <w:tcPr>
                  <w:tcW w:w="550" w:type="dxa"/>
                  <w:tcBorders>
                    <w:top w:val="single" w:sz="4" w:space="0" w:color="FFFFFF"/>
                    <w:left w:val="single" w:sz="4" w:space="0" w:color="FFFFFF"/>
                    <w:bottom w:val="single" w:sz="4" w:space="0" w:color="FFFFFF"/>
                  </w:tcBorders>
                  <w:shd w:val="clear" w:color="auto" w:fill="A6A6A6"/>
                  <w:vAlign w:val="center"/>
                </w:tcPr>
                <w:p w14:paraId="12A1AFF8"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4</w:t>
                  </w:r>
                </w:p>
              </w:tc>
              <w:tc>
                <w:tcPr>
                  <w:tcW w:w="439" w:type="dxa"/>
                  <w:tcBorders>
                    <w:top w:val="single" w:sz="4" w:space="0" w:color="FFFFFF"/>
                    <w:left w:val="single" w:sz="4" w:space="0" w:color="FFFFFF"/>
                    <w:bottom w:val="single" w:sz="4" w:space="0" w:color="FFFFFF"/>
                  </w:tcBorders>
                  <w:shd w:val="clear" w:color="auto" w:fill="A6A6A6"/>
                  <w:vAlign w:val="center"/>
                </w:tcPr>
                <w:p w14:paraId="5FE87F7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5</w:t>
                  </w:r>
                </w:p>
              </w:tc>
              <w:tc>
                <w:tcPr>
                  <w:tcW w:w="493" w:type="dxa"/>
                  <w:tcBorders>
                    <w:top w:val="single" w:sz="4" w:space="0" w:color="FFFFFF"/>
                    <w:left w:val="single" w:sz="4" w:space="0" w:color="FFFFFF"/>
                    <w:bottom w:val="single" w:sz="4" w:space="0" w:color="FFFFFF"/>
                  </w:tcBorders>
                  <w:shd w:val="clear" w:color="auto" w:fill="A6A6A6"/>
                  <w:vAlign w:val="center"/>
                </w:tcPr>
                <w:p w14:paraId="756F68F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6</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4E1B09C0"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7E51D6C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tcBorders>
                  <w:shd w:val="clear" w:color="auto" w:fill="A6A6A6"/>
                </w:tcPr>
                <w:p w14:paraId="24AA5E53"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n</w:t>
                  </w:r>
                </w:p>
              </w:tc>
            </w:tr>
            <w:tr w:rsidR="00600DEE" w14:paraId="5BF999B8"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65FDC4FB"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Investment </w:t>
                  </w:r>
                  <w:proofErr w:type="spellStart"/>
                  <w:r>
                    <w:rPr>
                      <w:rFonts w:ascii="Calibri" w:eastAsia="Calibri" w:hAnsi="Calibri" w:cs="Calibri"/>
                      <w:color w:val="4F81BD"/>
                      <w:sz w:val="18"/>
                      <w:szCs w:val="18"/>
                    </w:rPr>
                    <w:t>costs</w:t>
                  </w:r>
                  <w:proofErr w:type="spellEnd"/>
                </w:p>
              </w:tc>
              <w:tc>
                <w:tcPr>
                  <w:tcW w:w="421" w:type="dxa"/>
                  <w:tcBorders>
                    <w:top w:val="single" w:sz="4" w:space="0" w:color="FFFFFF"/>
                    <w:left w:val="single" w:sz="4" w:space="0" w:color="FFFFFF"/>
                    <w:bottom w:val="single" w:sz="4" w:space="0" w:color="FFFFFF"/>
                  </w:tcBorders>
                  <w:shd w:val="clear" w:color="auto" w:fill="DBE5F1"/>
                  <w:vAlign w:val="center"/>
                </w:tcPr>
                <w:p w14:paraId="537AB6DC"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25C6026C"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8579D4F"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143AC2C2"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2D4E44E6"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EB5FCC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16AF343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A73C8B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6E93742" w14:textId="77777777" w:rsidR="00600DEE" w:rsidRDefault="00600DEE">
                  <w:pPr>
                    <w:jc w:val="right"/>
                    <w:rPr>
                      <w:rFonts w:ascii="Calibri" w:eastAsia="Calibri" w:hAnsi="Calibri" w:cs="Calibri"/>
                      <w:color w:val="4F81BD"/>
                      <w:sz w:val="18"/>
                      <w:szCs w:val="18"/>
                    </w:rPr>
                  </w:pPr>
                </w:p>
              </w:tc>
            </w:tr>
            <w:tr w:rsidR="00600DEE" w14:paraId="7AF98D0A"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118B114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Operating and </w:t>
                  </w:r>
                  <w:proofErr w:type="spellStart"/>
                  <w:r>
                    <w:rPr>
                      <w:rFonts w:ascii="Calibri" w:eastAsia="Calibri" w:hAnsi="Calibri" w:cs="Calibri"/>
                      <w:color w:val="4F81BD"/>
                      <w:sz w:val="18"/>
                      <w:szCs w:val="18"/>
                    </w:rPr>
                    <w:t>maintenance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costs</w:t>
                  </w:r>
                  <w:proofErr w:type="spellEnd"/>
                </w:p>
              </w:tc>
              <w:tc>
                <w:tcPr>
                  <w:tcW w:w="421" w:type="dxa"/>
                  <w:tcBorders>
                    <w:top w:val="single" w:sz="4" w:space="0" w:color="FFFFFF"/>
                    <w:left w:val="single" w:sz="4" w:space="0" w:color="FFFFFF"/>
                    <w:bottom w:val="single" w:sz="4" w:space="0" w:color="FFFFFF"/>
                  </w:tcBorders>
                  <w:shd w:val="clear" w:color="auto" w:fill="DBE5F1"/>
                  <w:vAlign w:val="center"/>
                </w:tcPr>
                <w:p w14:paraId="1F224D5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1FE1B8A"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0C732632"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388D1453"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17517B8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BFD9EC0"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BBFED0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CF46DF2"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82ABF4B" w14:textId="77777777" w:rsidR="00600DEE" w:rsidRDefault="00600DEE">
                  <w:pPr>
                    <w:jc w:val="right"/>
                    <w:rPr>
                      <w:rFonts w:ascii="Calibri" w:eastAsia="Calibri" w:hAnsi="Calibri" w:cs="Calibri"/>
                      <w:color w:val="4F81BD"/>
                      <w:sz w:val="18"/>
                      <w:szCs w:val="18"/>
                    </w:rPr>
                  </w:pPr>
                </w:p>
              </w:tc>
            </w:tr>
            <w:tr w:rsidR="00600DEE" w14:paraId="08BD2134"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2A4AEF2" w14:textId="77777777" w:rsidR="00600DEE" w:rsidRDefault="00641FB5">
                  <w:pPr>
                    <w:rPr>
                      <w:rFonts w:ascii="Calibri" w:eastAsia="Calibri" w:hAnsi="Calibri" w:cs="Calibri"/>
                      <w:color w:val="4F81BD"/>
                      <w:sz w:val="18"/>
                      <w:szCs w:val="18"/>
                    </w:rPr>
                  </w:pPr>
                  <w:proofErr w:type="spellStart"/>
                  <w:r>
                    <w:rPr>
                      <w:rFonts w:ascii="Calibri" w:eastAsia="Calibri" w:hAnsi="Calibri" w:cs="Calibri"/>
                      <w:color w:val="4F81BD"/>
                      <w:sz w:val="18"/>
                      <w:szCs w:val="18"/>
                    </w:rPr>
                    <w:t>Loan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repayment</w:t>
                  </w:r>
                  <w:proofErr w:type="spellEnd"/>
                </w:p>
              </w:tc>
              <w:tc>
                <w:tcPr>
                  <w:tcW w:w="421" w:type="dxa"/>
                  <w:tcBorders>
                    <w:top w:val="single" w:sz="4" w:space="0" w:color="FFFFFF"/>
                    <w:left w:val="single" w:sz="4" w:space="0" w:color="FFFFFF"/>
                    <w:bottom w:val="single" w:sz="4" w:space="0" w:color="FFFFFF"/>
                  </w:tcBorders>
                  <w:shd w:val="clear" w:color="auto" w:fill="DBE5F1"/>
                  <w:vAlign w:val="center"/>
                </w:tcPr>
                <w:p w14:paraId="12D84C90"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EFDF134"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F1B16E8"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0D4A92E8"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0F292D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4F823A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E7CF74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B26CE3C"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AC2A83E" w14:textId="77777777" w:rsidR="00600DEE" w:rsidRDefault="00600DEE">
                  <w:pPr>
                    <w:jc w:val="right"/>
                    <w:rPr>
                      <w:rFonts w:ascii="Calibri" w:eastAsia="Calibri" w:hAnsi="Calibri" w:cs="Calibri"/>
                      <w:color w:val="4F81BD"/>
                      <w:sz w:val="18"/>
                      <w:szCs w:val="18"/>
                    </w:rPr>
                  </w:pPr>
                </w:p>
              </w:tc>
            </w:tr>
            <w:tr w:rsidR="00600DEE" w14:paraId="10F9108C"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AAF70BA" w14:textId="77777777" w:rsidR="00600DEE" w:rsidRDefault="00641FB5">
                  <w:pPr>
                    <w:rPr>
                      <w:rFonts w:ascii="Calibri" w:eastAsia="Calibri" w:hAnsi="Calibri" w:cs="Calibri"/>
                      <w:color w:val="4F81BD"/>
                      <w:sz w:val="18"/>
                      <w:szCs w:val="18"/>
                    </w:rPr>
                  </w:pPr>
                  <w:proofErr w:type="spellStart"/>
                  <w:r>
                    <w:rPr>
                      <w:rFonts w:ascii="Calibri" w:eastAsia="Calibri" w:hAnsi="Calibri" w:cs="Calibri"/>
                      <w:color w:val="4F81BD"/>
                      <w:sz w:val="18"/>
                      <w:szCs w:val="18"/>
                    </w:rPr>
                    <w:t>Other</w:t>
                  </w:r>
                  <w:proofErr w:type="spellEnd"/>
                </w:p>
              </w:tc>
              <w:tc>
                <w:tcPr>
                  <w:tcW w:w="421" w:type="dxa"/>
                  <w:tcBorders>
                    <w:top w:val="single" w:sz="4" w:space="0" w:color="FFFFFF"/>
                    <w:left w:val="single" w:sz="4" w:space="0" w:color="FFFFFF"/>
                    <w:bottom w:val="single" w:sz="4" w:space="0" w:color="FFFFFF"/>
                  </w:tcBorders>
                  <w:shd w:val="clear" w:color="auto" w:fill="DBE5F1"/>
                  <w:vAlign w:val="center"/>
                </w:tcPr>
                <w:p w14:paraId="17846930"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4DC41334"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762197A4"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01C3620C"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3F95166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588BE5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9FBE3E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F63FBC0"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49BDC9F1" w14:textId="77777777" w:rsidR="00600DEE" w:rsidRDefault="00600DEE">
                  <w:pPr>
                    <w:jc w:val="right"/>
                    <w:rPr>
                      <w:rFonts w:ascii="Calibri" w:eastAsia="Calibri" w:hAnsi="Calibri" w:cs="Calibri"/>
                      <w:color w:val="4F81BD"/>
                      <w:sz w:val="18"/>
                      <w:szCs w:val="18"/>
                    </w:rPr>
                  </w:pPr>
                </w:p>
              </w:tc>
            </w:tr>
            <w:tr w:rsidR="00600DEE" w14:paraId="5607DAE3"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3DFC9736"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TOTAL (</w:t>
                  </w:r>
                  <w:proofErr w:type="spellStart"/>
                  <w:r>
                    <w:rPr>
                      <w:rFonts w:ascii="Calibri" w:eastAsia="Calibri" w:hAnsi="Calibri" w:cs="Calibri"/>
                      <w:b/>
                      <w:color w:val="4F81BD"/>
                      <w:sz w:val="18"/>
                      <w:szCs w:val="18"/>
                    </w:rPr>
                    <w:t>outflows</w:t>
                  </w:r>
                  <w:proofErr w:type="spellEnd"/>
                  <w:r>
                    <w:rPr>
                      <w:rFonts w:ascii="Calibri" w:eastAsia="Calibri" w:hAnsi="Calibri" w:cs="Calibri"/>
                      <w:b/>
                      <w:color w:val="4F81BD"/>
                      <w:sz w:val="18"/>
                      <w:szCs w:val="18"/>
                    </w:rPr>
                    <w:t>)</w:t>
                  </w:r>
                </w:p>
              </w:tc>
              <w:tc>
                <w:tcPr>
                  <w:tcW w:w="421" w:type="dxa"/>
                  <w:tcBorders>
                    <w:top w:val="single" w:sz="4" w:space="0" w:color="FFFFFF"/>
                    <w:left w:val="single" w:sz="4" w:space="0" w:color="FFFFFF"/>
                    <w:bottom w:val="single" w:sz="4" w:space="0" w:color="FFFFFF"/>
                  </w:tcBorders>
                  <w:shd w:val="clear" w:color="auto" w:fill="DBE5F1"/>
                  <w:vAlign w:val="center"/>
                </w:tcPr>
                <w:p w14:paraId="1E41CFFB"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5DD49019"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EA8E699"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0A35B6A"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45F6D78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9B8721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3FD16A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F5BA12C"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942E2E9" w14:textId="77777777" w:rsidR="00600DEE" w:rsidRDefault="00600DEE">
                  <w:pPr>
                    <w:jc w:val="right"/>
                    <w:rPr>
                      <w:rFonts w:ascii="Calibri" w:eastAsia="Calibri" w:hAnsi="Calibri" w:cs="Calibri"/>
                      <w:color w:val="4F81BD"/>
                      <w:sz w:val="18"/>
                      <w:szCs w:val="18"/>
                    </w:rPr>
                  </w:pPr>
                </w:p>
              </w:tc>
            </w:tr>
            <w:tr w:rsidR="00600DEE" w14:paraId="4E538D3A"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066512EE" w14:textId="77777777" w:rsidR="00600DEE" w:rsidRDefault="00641FB5">
                  <w:pPr>
                    <w:rPr>
                      <w:rFonts w:ascii="Calibri" w:eastAsia="Calibri" w:hAnsi="Calibri" w:cs="Calibri"/>
                      <w:color w:val="4F81BD"/>
                      <w:sz w:val="18"/>
                      <w:szCs w:val="18"/>
                    </w:rPr>
                  </w:pPr>
                  <w:proofErr w:type="spellStart"/>
                  <w:r>
                    <w:rPr>
                      <w:rFonts w:ascii="Calibri" w:eastAsia="Calibri" w:hAnsi="Calibri" w:cs="Calibri"/>
                      <w:color w:val="4F81BD"/>
                      <w:sz w:val="18"/>
                      <w:szCs w:val="18"/>
                    </w:rPr>
                    <w:t>Revenues</w:t>
                  </w:r>
                  <w:proofErr w:type="spellEnd"/>
                  <w:r>
                    <w:rPr>
                      <w:rFonts w:ascii="Calibri" w:eastAsia="Calibri" w:hAnsi="Calibri" w:cs="Calibri"/>
                      <w:color w:val="4F81BD"/>
                      <w:sz w:val="18"/>
                      <w:szCs w:val="18"/>
                    </w:rPr>
                    <w:t xml:space="preserve"> </w:t>
                  </w:r>
                </w:p>
              </w:tc>
              <w:tc>
                <w:tcPr>
                  <w:tcW w:w="421" w:type="dxa"/>
                  <w:tcBorders>
                    <w:top w:val="single" w:sz="4" w:space="0" w:color="FFFFFF"/>
                    <w:left w:val="single" w:sz="4" w:space="0" w:color="FFFFFF"/>
                    <w:bottom w:val="single" w:sz="4" w:space="0" w:color="FFFFFF"/>
                  </w:tcBorders>
                  <w:shd w:val="clear" w:color="auto" w:fill="DBE5F1"/>
                  <w:vAlign w:val="center"/>
                </w:tcPr>
                <w:p w14:paraId="6E93ED7B"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3C0A6A4A"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769C7438"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6B23724A"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49E47B1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D53051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4F6EDC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00C4AB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129A8E58" w14:textId="77777777" w:rsidR="00600DEE" w:rsidRDefault="00600DEE">
                  <w:pPr>
                    <w:jc w:val="right"/>
                    <w:rPr>
                      <w:rFonts w:ascii="Calibri" w:eastAsia="Calibri" w:hAnsi="Calibri" w:cs="Calibri"/>
                      <w:color w:val="4F81BD"/>
                      <w:sz w:val="18"/>
                      <w:szCs w:val="18"/>
                    </w:rPr>
                  </w:pPr>
                </w:p>
              </w:tc>
            </w:tr>
            <w:tr w:rsidR="00600DEE" w14:paraId="06167863"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765DB9F1"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EU grant</w:t>
                  </w:r>
                </w:p>
              </w:tc>
              <w:tc>
                <w:tcPr>
                  <w:tcW w:w="421" w:type="dxa"/>
                  <w:tcBorders>
                    <w:top w:val="single" w:sz="4" w:space="0" w:color="FFFFFF"/>
                    <w:left w:val="single" w:sz="4" w:space="0" w:color="FFFFFF"/>
                    <w:bottom w:val="single" w:sz="4" w:space="0" w:color="FFFFFF"/>
                  </w:tcBorders>
                  <w:shd w:val="clear" w:color="auto" w:fill="DBE5F1"/>
                  <w:vAlign w:val="center"/>
                </w:tcPr>
                <w:p w14:paraId="04B34485"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6C58606E"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15784C0E"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430A84BC"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592FD5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30E7CD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0DD792A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221EF01"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0ADAC724" w14:textId="77777777" w:rsidR="00600DEE" w:rsidRDefault="00600DEE">
                  <w:pPr>
                    <w:jc w:val="right"/>
                    <w:rPr>
                      <w:rFonts w:ascii="Calibri" w:eastAsia="Calibri" w:hAnsi="Calibri" w:cs="Calibri"/>
                      <w:color w:val="4F81BD"/>
                      <w:sz w:val="18"/>
                      <w:szCs w:val="18"/>
                    </w:rPr>
                  </w:pPr>
                </w:p>
              </w:tc>
            </w:tr>
            <w:tr w:rsidR="00600DEE" w:rsidRPr="007463B9" w14:paraId="5F5EC8AA" w14:textId="77777777" w:rsidTr="00E91CFE">
              <w:trPr>
                <w:trHeight w:val="907"/>
              </w:trPr>
              <w:tc>
                <w:tcPr>
                  <w:tcW w:w="2038" w:type="dxa"/>
                  <w:tcBorders>
                    <w:top w:val="single" w:sz="4" w:space="0" w:color="FFFFFF"/>
                    <w:left w:val="single" w:sz="4" w:space="0" w:color="FFFFFF"/>
                    <w:bottom w:val="single" w:sz="4" w:space="0" w:color="FFFFFF"/>
                  </w:tcBorders>
                  <w:shd w:val="clear" w:color="auto" w:fill="DBE5F1"/>
                  <w:vAlign w:val="center"/>
                </w:tcPr>
                <w:p w14:paraId="27152C4F"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 sources of funding (national contribution, subsidies, etc.)</w:t>
                  </w:r>
                </w:p>
              </w:tc>
              <w:tc>
                <w:tcPr>
                  <w:tcW w:w="421" w:type="dxa"/>
                  <w:tcBorders>
                    <w:top w:val="single" w:sz="4" w:space="0" w:color="FFFFFF"/>
                    <w:left w:val="single" w:sz="4" w:space="0" w:color="FFFFFF"/>
                    <w:bottom w:val="single" w:sz="4" w:space="0" w:color="FFFFFF"/>
                  </w:tcBorders>
                  <w:shd w:val="clear" w:color="auto" w:fill="DBE5F1"/>
                  <w:vAlign w:val="center"/>
                </w:tcPr>
                <w:p w14:paraId="72518AF8" w14:textId="77777777" w:rsidR="00600DEE" w:rsidRPr="0045151D" w:rsidRDefault="00600DEE">
                  <w:pPr>
                    <w:jc w:val="right"/>
                    <w:rPr>
                      <w:rFonts w:ascii="Calibri" w:eastAsia="Calibri" w:hAnsi="Calibri" w:cs="Calibri"/>
                      <w:color w:val="4F81BD"/>
                      <w:sz w:val="18"/>
                      <w:szCs w:val="18"/>
                      <w:lang w:val="en-GB"/>
                    </w:rPr>
                  </w:pPr>
                </w:p>
              </w:tc>
              <w:tc>
                <w:tcPr>
                  <w:tcW w:w="480" w:type="dxa"/>
                  <w:tcBorders>
                    <w:top w:val="single" w:sz="4" w:space="0" w:color="FFFFFF"/>
                    <w:left w:val="single" w:sz="4" w:space="0" w:color="FFFFFF"/>
                    <w:bottom w:val="single" w:sz="4" w:space="0" w:color="FFFFFF"/>
                  </w:tcBorders>
                  <w:shd w:val="clear" w:color="auto" w:fill="DBE5F1"/>
                  <w:vAlign w:val="center"/>
                </w:tcPr>
                <w:p w14:paraId="3D4D35BE" w14:textId="77777777" w:rsidR="00600DEE" w:rsidRPr="0045151D" w:rsidRDefault="00600DEE">
                  <w:pPr>
                    <w:jc w:val="right"/>
                    <w:rPr>
                      <w:rFonts w:ascii="Calibri" w:eastAsia="Calibri" w:hAnsi="Calibri" w:cs="Calibri"/>
                      <w:color w:val="4F81BD"/>
                      <w:sz w:val="18"/>
                      <w:szCs w:val="18"/>
                      <w:lang w:val="en-GB"/>
                    </w:rPr>
                  </w:pPr>
                </w:p>
              </w:tc>
              <w:tc>
                <w:tcPr>
                  <w:tcW w:w="509" w:type="dxa"/>
                  <w:tcBorders>
                    <w:top w:val="single" w:sz="4" w:space="0" w:color="FFFFFF"/>
                    <w:left w:val="single" w:sz="4" w:space="0" w:color="FFFFFF"/>
                    <w:bottom w:val="single" w:sz="4" w:space="0" w:color="FFFFFF"/>
                  </w:tcBorders>
                  <w:shd w:val="clear" w:color="auto" w:fill="DBE5F1"/>
                  <w:vAlign w:val="center"/>
                </w:tcPr>
                <w:p w14:paraId="5613985B" w14:textId="77777777" w:rsidR="00600DEE" w:rsidRPr="0045151D" w:rsidRDefault="00600DEE">
                  <w:pPr>
                    <w:jc w:val="right"/>
                    <w:rPr>
                      <w:rFonts w:ascii="Calibri" w:eastAsia="Calibri" w:hAnsi="Calibri" w:cs="Calibri"/>
                      <w:color w:val="4F81BD"/>
                      <w:sz w:val="18"/>
                      <w:szCs w:val="18"/>
                      <w:lang w:val="en-GB"/>
                    </w:rPr>
                  </w:pPr>
                </w:p>
              </w:tc>
              <w:tc>
                <w:tcPr>
                  <w:tcW w:w="550" w:type="dxa"/>
                  <w:tcBorders>
                    <w:top w:val="single" w:sz="4" w:space="0" w:color="FFFFFF"/>
                    <w:left w:val="single" w:sz="4" w:space="0" w:color="FFFFFF"/>
                    <w:bottom w:val="single" w:sz="4" w:space="0" w:color="FFFFFF"/>
                  </w:tcBorders>
                  <w:shd w:val="clear" w:color="auto" w:fill="DBE5F1"/>
                </w:tcPr>
                <w:p w14:paraId="48C8CF32" w14:textId="77777777" w:rsidR="00600DEE" w:rsidRPr="0045151D" w:rsidRDefault="00600DEE">
                  <w:pPr>
                    <w:jc w:val="right"/>
                    <w:rPr>
                      <w:rFonts w:ascii="Calibri" w:eastAsia="Calibri" w:hAnsi="Calibri" w:cs="Calibri"/>
                      <w:color w:val="4F81BD"/>
                      <w:sz w:val="18"/>
                      <w:szCs w:val="18"/>
                      <w:lang w:val="en-GB"/>
                    </w:rPr>
                  </w:pPr>
                </w:p>
              </w:tc>
              <w:tc>
                <w:tcPr>
                  <w:tcW w:w="439" w:type="dxa"/>
                  <w:tcBorders>
                    <w:top w:val="single" w:sz="4" w:space="0" w:color="FFFFFF"/>
                    <w:left w:val="single" w:sz="4" w:space="0" w:color="FFFFFF"/>
                    <w:bottom w:val="single" w:sz="4" w:space="0" w:color="FFFFFF"/>
                  </w:tcBorders>
                  <w:shd w:val="clear" w:color="auto" w:fill="DBE5F1"/>
                </w:tcPr>
                <w:p w14:paraId="5AC19FD5"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511D9315"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6A06B43"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033FD2FE"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428E123F" w14:textId="77777777" w:rsidR="00600DEE" w:rsidRPr="0045151D" w:rsidRDefault="00600DEE">
                  <w:pPr>
                    <w:jc w:val="right"/>
                    <w:rPr>
                      <w:rFonts w:ascii="Calibri" w:eastAsia="Calibri" w:hAnsi="Calibri" w:cs="Calibri"/>
                      <w:color w:val="4F81BD"/>
                      <w:sz w:val="18"/>
                      <w:szCs w:val="18"/>
                      <w:lang w:val="en-GB"/>
                    </w:rPr>
                  </w:pPr>
                </w:p>
              </w:tc>
            </w:tr>
            <w:tr w:rsidR="00600DEE" w:rsidRPr="007463B9" w14:paraId="57DF5551"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2450111"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TOTAL (inflows)</w:t>
                  </w:r>
                </w:p>
              </w:tc>
              <w:tc>
                <w:tcPr>
                  <w:tcW w:w="421" w:type="dxa"/>
                  <w:tcBorders>
                    <w:top w:val="single" w:sz="4" w:space="0" w:color="FFFFFF"/>
                    <w:left w:val="single" w:sz="4" w:space="0" w:color="FFFFFF"/>
                    <w:bottom w:val="single" w:sz="4" w:space="0" w:color="FFFFFF"/>
                  </w:tcBorders>
                  <w:shd w:val="clear" w:color="auto" w:fill="DBE5F1"/>
                  <w:vAlign w:val="center"/>
                </w:tcPr>
                <w:p w14:paraId="3C46C4D0" w14:textId="77777777" w:rsidR="00600DEE" w:rsidRPr="0045151D" w:rsidRDefault="00600DEE">
                  <w:pPr>
                    <w:jc w:val="right"/>
                    <w:rPr>
                      <w:rFonts w:ascii="Calibri" w:eastAsia="Calibri" w:hAnsi="Calibri" w:cs="Calibri"/>
                      <w:color w:val="4F81BD"/>
                      <w:sz w:val="18"/>
                      <w:szCs w:val="18"/>
                      <w:lang w:val="en-GB"/>
                    </w:rPr>
                  </w:pPr>
                </w:p>
              </w:tc>
              <w:tc>
                <w:tcPr>
                  <w:tcW w:w="480" w:type="dxa"/>
                  <w:tcBorders>
                    <w:top w:val="single" w:sz="4" w:space="0" w:color="FFFFFF"/>
                    <w:left w:val="single" w:sz="4" w:space="0" w:color="FFFFFF"/>
                    <w:bottom w:val="single" w:sz="4" w:space="0" w:color="FFFFFF"/>
                  </w:tcBorders>
                  <w:shd w:val="clear" w:color="auto" w:fill="DBE5F1"/>
                  <w:vAlign w:val="center"/>
                </w:tcPr>
                <w:p w14:paraId="01F93F06" w14:textId="77777777" w:rsidR="00600DEE" w:rsidRPr="0045151D" w:rsidRDefault="00600DEE">
                  <w:pPr>
                    <w:jc w:val="right"/>
                    <w:rPr>
                      <w:rFonts w:ascii="Calibri" w:eastAsia="Calibri" w:hAnsi="Calibri" w:cs="Calibri"/>
                      <w:color w:val="4F81BD"/>
                      <w:sz w:val="18"/>
                      <w:szCs w:val="18"/>
                      <w:lang w:val="en-GB"/>
                    </w:rPr>
                  </w:pPr>
                </w:p>
              </w:tc>
              <w:tc>
                <w:tcPr>
                  <w:tcW w:w="509" w:type="dxa"/>
                  <w:tcBorders>
                    <w:top w:val="single" w:sz="4" w:space="0" w:color="FFFFFF"/>
                    <w:left w:val="single" w:sz="4" w:space="0" w:color="FFFFFF"/>
                    <w:bottom w:val="single" w:sz="4" w:space="0" w:color="FFFFFF"/>
                  </w:tcBorders>
                  <w:shd w:val="clear" w:color="auto" w:fill="DBE5F1"/>
                  <w:vAlign w:val="center"/>
                </w:tcPr>
                <w:p w14:paraId="51F38C64" w14:textId="77777777" w:rsidR="00600DEE" w:rsidRPr="0045151D" w:rsidRDefault="00600DEE">
                  <w:pPr>
                    <w:jc w:val="right"/>
                    <w:rPr>
                      <w:rFonts w:ascii="Calibri" w:eastAsia="Calibri" w:hAnsi="Calibri" w:cs="Calibri"/>
                      <w:color w:val="4F81BD"/>
                      <w:sz w:val="18"/>
                      <w:szCs w:val="18"/>
                      <w:lang w:val="en-GB"/>
                    </w:rPr>
                  </w:pPr>
                </w:p>
              </w:tc>
              <w:tc>
                <w:tcPr>
                  <w:tcW w:w="550" w:type="dxa"/>
                  <w:tcBorders>
                    <w:top w:val="single" w:sz="4" w:space="0" w:color="FFFFFF"/>
                    <w:left w:val="single" w:sz="4" w:space="0" w:color="FFFFFF"/>
                    <w:bottom w:val="single" w:sz="4" w:space="0" w:color="FFFFFF"/>
                  </w:tcBorders>
                  <w:shd w:val="clear" w:color="auto" w:fill="DBE5F1"/>
                </w:tcPr>
                <w:p w14:paraId="075DAF8D" w14:textId="77777777" w:rsidR="00600DEE" w:rsidRPr="0045151D" w:rsidRDefault="00600DEE">
                  <w:pPr>
                    <w:jc w:val="right"/>
                    <w:rPr>
                      <w:rFonts w:ascii="Calibri" w:eastAsia="Calibri" w:hAnsi="Calibri" w:cs="Calibri"/>
                      <w:color w:val="4F81BD"/>
                      <w:sz w:val="18"/>
                      <w:szCs w:val="18"/>
                      <w:lang w:val="en-GB"/>
                    </w:rPr>
                  </w:pPr>
                </w:p>
              </w:tc>
              <w:tc>
                <w:tcPr>
                  <w:tcW w:w="439" w:type="dxa"/>
                  <w:tcBorders>
                    <w:top w:val="single" w:sz="4" w:space="0" w:color="FFFFFF"/>
                    <w:left w:val="single" w:sz="4" w:space="0" w:color="FFFFFF"/>
                    <w:bottom w:val="single" w:sz="4" w:space="0" w:color="FFFFFF"/>
                  </w:tcBorders>
                  <w:shd w:val="clear" w:color="auto" w:fill="DBE5F1"/>
                </w:tcPr>
                <w:p w14:paraId="302468D3"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7FD62DC1"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6A653C7"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5E8CD23"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0F129B5F" w14:textId="77777777" w:rsidR="00600DEE" w:rsidRPr="0045151D" w:rsidRDefault="00600DEE">
                  <w:pPr>
                    <w:jc w:val="right"/>
                    <w:rPr>
                      <w:rFonts w:ascii="Calibri" w:eastAsia="Calibri" w:hAnsi="Calibri" w:cs="Calibri"/>
                      <w:color w:val="4F81BD"/>
                      <w:sz w:val="18"/>
                      <w:szCs w:val="18"/>
                      <w:lang w:val="en-GB"/>
                    </w:rPr>
                  </w:pPr>
                </w:p>
              </w:tc>
            </w:tr>
            <w:tr w:rsidR="00600DEE" w:rsidRPr="007463B9" w14:paraId="31DDC47E" w14:textId="77777777" w:rsidTr="00E91CFE">
              <w:trPr>
                <w:trHeight w:hRule="exact" w:val="454"/>
              </w:trPr>
              <w:tc>
                <w:tcPr>
                  <w:tcW w:w="2038" w:type="dxa"/>
                  <w:tcBorders>
                    <w:top w:val="single" w:sz="4" w:space="0" w:color="FFFFFF"/>
                    <w:left w:val="single" w:sz="4" w:space="0" w:color="FFFFFF"/>
                    <w:bottom w:val="single" w:sz="4" w:space="0" w:color="FFFFFF"/>
                  </w:tcBorders>
                  <w:shd w:val="clear" w:color="auto" w:fill="DBE5F1"/>
                  <w:vAlign w:val="center"/>
                </w:tcPr>
                <w:p w14:paraId="2DD8DB0B"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NET CASHFLOWS</w:t>
                  </w:r>
                </w:p>
              </w:tc>
              <w:tc>
                <w:tcPr>
                  <w:tcW w:w="421" w:type="dxa"/>
                  <w:tcBorders>
                    <w:top w:val="single" w:sz="4" w:space="0" w:color="FFFFFF"/>
                    <w:left w:val="single" w:sz="4" w:space="0" w:color="FFFFFF"/>
                    <w:bottom w:val="single" w:sz="4" w:space="0" w:color="FFFFFF"/>
                  </w:tcBorders>
                  <w:shd w:val="clear" w:color="auto" w:fill="DBE5F1"/>
                  <w:vAlign w:val="center"/>
                </w:tcPr>
                <w:p w14:paraId="73580DEF" w14:textId="77777777" w:rsidR="00600DEE" w:rsidRPr="0045151D" w:rsidRDefault="00600DEE">
                  <w:pPr>
                    <w:jc w:val="right"/>
                    <w:rPr>
                      <w:rFonts w:ascii="Calibri" w:eastAsia="Calibri" w:hAnsi="Calibri" w:cs="Calibri"/>
                      <w:color w:val="4F81BD"/>
                      <w:sz w:val="18"/>
                      <w:szCs w:val="18"/>
                      <w:lang w:val="en-GB"/>
                    </w:rPr>
                  </w:pPr>
                </w:p>
              </w:tc>
              <w:tc>
                <w:tcPr>
                  <w:tcW w:w="480" w:type="dxa"/>
                  <w:tcBorders>
                    <w:top w:val="single" w:sz="4" w:space="0" w:color="FFFFFF"/>
                    <w:left w:val="single" w:sz="4" w:space="0" w:color="FFFFFF"/>
                    <w:bottom w:val="single" w:sz="4" w:space="0" w:color="FFFFFF"/>
                  </w:tcBorders>
                  <w:shd w:val="clear" w:color="auto" w:fill="DBE5F1"/>
                  <w:vAlign w:val="center"/>
                </w:tcPr>
                <w:p w14:paraId="141B7AF8" w14:textId="77777777" w:rsidR="00600DEE" w:rsidRPr="0045151D" w:rsidRDefault="00600DEE">
                  <w:pPr>
                    <w:jc w:val="right"/>
                    <w:rPr>
                      <w:rFonts w:ascii="Calibri" w:eastAsia="Calibri" w:hAnsi="Calibri" w:cs="Calibri"/>
                      <w:color w:val="4F81BD"/>
                      <w:sz w:val="18"/>
                      <w:szCs w:val="18"/>
                      <w:lang w:val="en-GB"/>
                    </w:rPr>
                  </w:pPr>
                </w:p>
              </w:tc>
              <w:tc>
                <w:tcPr>
                  <w:tcW w:w="509" w:type="dxa"/>
                  <w:tcBorders>
                    <w:top w:val="single" w:sz="4" w:space="0" w:color="FFFFFF"/>
                    <w:left w:val="single" w:sz="4" w:space="0" w:color="FFFFFF"/>
                    <w:bottom w:val="single" w:sz="4" w:space="0" w:color="FFFFFF"/>
                  </w:tcBorders>
                  <w:shd w:val="clear" w:color="auto" w:fill="DBE5F1"/>
                  <w:vAlign w:val="center"/>
                </w:tcPr>
                <w:p w14:paraId="7D493A5B" w14:textId="77777777" w:rsidR="00600DEE" w:rsidRPr="0045151D" w:rsidRDefault="00600DEE">
                  <w:pPr>
                    <w:jc w:val="right"/>
                    <w:rPr>
                      <w:rFonts w:ascii="Calibri" w:eastAsia="Calibri" w:hAnsi="Calibri" w:cs="Calibri"/>
                      <w:color w:val="4F81BD"/>
                      <w:sz w:val="18"/>
                      <w:szCs w:val="18"/>
                      <w:lang w:val="en-GB"/>
                    </w:rPr>
                  </w:pPr>
                </w:p>
              </w:tc>
              <w:tc>
                <w:tcPr>
                  <w:tcW w:w="550" w:type="dxa"/>
                  <w:tcBorders>
                    <w:top w:val="single" w:sz="4" w:space="0" w:color="FFFFFF"/>
                    <w:left w:val="single" w:sz="4" w:space="0" w:color="FFFFFF"/>
                    <w:bottom w:val="single" w:sz="4" w:space="0" w:color="FFFFFF"/>
                  </w:tcBorders>
                  <w:shd w:val="clear" w:color="auto" w:fill="DBE5F1"/>
                </w:tcPr>
                <w:p w14:paraId="7D50B316" w14:textId="77777777" w:rsidR="00600DEE" w:rsidRPr="0045151D" w:rsidRDefault="00600DEE">
                  <w:pPr>
                    <w:jc w:val="right"/>
                    <w:rPr>
                      <w:rFonts w:ascii="Calibri" w:eastAsia="Calibri" w:hAnsi="Calibri" w:cs="Calibri"/>
                      <w:color w:val="4F81BD"/>
                      <w:sz w:val="18"/>
                      <w:szCs w:val="18"/>
                      <w:lang w:val="en-GB"/>
                    </w:rPr>
                  </w:pPr>
                </w:p>
              </w:tc>
              <w:tc>
                <w:tcPr>
                  <w:tcW w:w="439" w:type="dxa"/>
                  <w:tcBorders>
                    <w:top w:val="single" w:sz="4" w:space="0" w:color="FFFFFF"/>
                    <w:left w:val="single" w:sz="4" w:space="0" w:color="FFFFFF"/>
                    <w:bottom w:val="single" w:sz="4" w:space="0" w:color="FFFFFF"/>
                  </w:tcBorders>
                  <w:shd w:val="clear" w:color="auto" w:fill="DBE5F1"/>
                </w:tcPr>
                <w:p w14:paraId="1BF340EA"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5E0E1677"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D80BBAE"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EACE3FE"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39B362B0" w14:textId="77777777" w:rsidR="00600DEE" w:rsidRPr="0045151D" w:rsidRDefault="00600DEE">
                  <w:pPr>
                    <w:jc w:val="right"/>
                    <w:rPr>
                      <w:rFonts w:ascii="Calibri" w:eastAsia="Calibri" w:hAnsi="Calibri" w:cs="Calibri"/>
                      <w:color w:val="4F81BD"/>
                      <w:sz w:val="18"/>
                      <w:szCs w:val="18"/>
                      <w:lang w:val="en-GB"/>
                    </w:rPr>
                  </w:pPr>
                </w:p>
              </w:tc>
            </w:tr>
          </w:tbl>
          <w:p w14:paraId="23C7E55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46B65D6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recommended to also provide a broader overview of the sustainability of road infrastructure managed by the Beneficiary. </w:t>
            </w:r>
          </w:p>
          <w:p w14:paraId="5D2AED1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Firstly, it is recommended to analyse the O&amp;M financial needs considering existing road network infrastructure, but also the planned investments and the ones under construction. </w:t>
            </w:r>
          </w:p>
          <w:p w14:paraId="52D7A5E3" w14:textId="79C85A0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proposed tables No. 31 and 32 below are not mandatory for a given project and the information could be presented in a different form. The aim is to provide (by the Beneficiary, if possible, and if not - by the financing authority) an overview of the financial sustainability needs of the respective road network. In case of </w:t>
            </w:r>
            <w:proofErr w:type="spellStart"/>
            <w:r w:rsidRPr="0045151D">
              <w:rPr>
                <w:rFonts w:ascii="Calibri" w:eastAsia="Calibri" w:hAnsi="Calibri" w:cs="Calibri"/>
                <w:color w:val="000000"/>
                <w:sz w:val="20"/>
                <w:szCs w:val="20"/>
                <w:lang w:val="en-GB"/>
              </w:rPr>
              <w:lastRenderedPageBreak/>
              <w:t>GDDKiA</w:t>
            </w:r>
            <w:proofErr w:type="spellEnd"/>
            <w:r w:rsidRPr="0045151D">
              <w:rPr>
                <w:rFonts w:ascii="Calibri" w:eastAsia="Calibri" w:hAnsi="Calibri" w:cs="Calibri"/>
                <w:color w:val="000000"/>
                <w:sz w:val="20"/>
                <w:szCs w:val="20"/>
                <w:lang w:val="en-GB"/>
              </w:rPr>
              <w:t xml:space="preserve">, such information should be provided by the relevant ministry, and in case of Local Government Unit </w:t>
            </w:r>
            <w:r w:rsidR="0079382E" w:rsidRPr="0079382E">
              <w:rPr>
                <w:rFonts w:asciiTheme="minorHAnsi" w:hAnsiTheme="minorHAnsi"/>
                <w:lang w:val="en-US"/>
              </w:rPr>
              <w:t>–</w:t>
            </w:r>
            <w:r w:rsidRPr="0045151D">
              <w:rPr>
                <w:rFonts w:ascii="Calibri" w:eastAsia="Calibri" w:hAnsi="Calibri" w:cs="Calibri"/>
                <w:color w:val="000000"/>
                <w:sz w:val="20"/>
                <w:szCs w:val="20"/>
                <w:lang w:val="en-GB"/>
              </w:rPr>
              <w:t xml:space="preserve"> the relevant local authority bodies.</w:t>
            </w:r>
          </w:p>
          <w:p w14:paraId="3603D752" w14:textId="77777777" w:rsidR="00600DEE" w:rsidRPr="0045151D" w:rsidRDefault="00600DEE">
            <w:pPr>
              <w:pBdr>
                <w:top w:val="nil"/>
                <w:left w:val="nil"/>
                <w:bottom w:val="nil"/>
                <w:right w:val="nil"/>
                <w:between w:val="nil"/>
              </w:pBdr>
              <w:ind w:left="851" w:hanging="851"/>
              <w:jc w:val="both"/>
              <w:rPr>
                <w:rFonts w:ascii="Calibri" w:eastAsia="Calibri" w:hAnsi="Calibri" w:cs="Calibri"/>
                <w:b/>
                <w:color w:val="4F81BD"/>
                <w:sz w:val="20"/>
                <w:szCs w:val="20"/>
                <w:lang w:val="en-GB"/>
              </w:rPr>
            </w:pPr>
          </w:p>
          <w:p w14:paraId="4C68472B" w14:textId="10689852" w:rsidR="00600DEE" w:rsidRPr="0045151D" w:rsidRDefault="00B67038" w:rsidP="000117E4">
            <w:pPr>
              <w:pBdr>
                <w:top w:val="nil"/>
                <w:left w:val="nil"/>
                <w:bottom w:val="nil"/>
                <w:right w:val="nil"/>
                <w:between w:val="nil"/>
              </w:pBdr>
              <w:spacing w:before="120" w:after="120"/>
              <w:ind w:left="851" w:hanging="851"/>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29</w:t>
            </w:r>
            <w:r w:rsidR="00641FB5" w:rsidRPr="0045151D">
              <w:rPr>
                <w:rFonts w:ascii="Calibri" w:eastAsia="Calibri" w:hAnsi="Calibri" w:cs="Calibri"/>
                <w:b/>
                <w:color w:val="4F81BD"/>
                <w:sz w:val="20"/>
                <w:szCs w:val="20"/>
                <w:lang w:val="en-GB"/>
              </w:rPr>
              <w:t>. Forecast of O&amp;M costs for the road network managed by the Beneficiary (where applicable to the investment option and to be structured as relevant to the Beneficiary)</w:t>
            </w:r>
          </w:p>
          <w:tbl>
            <w:tblPr>
              <w:tblStyle w:val="afffffff3"/>
              <w:tblW w:w="70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153"/>
              <w:gridCol w:w="803"/>
              <w:gridCol w:w="805"/>
              <w:gridCol w:w="806"/>
              <w:gridCol w:w="805"/>
              <w:gridCol w:w="805"/>
              <w:gridCol w:w="827"/>
            </w:tblGrid>
            <w:tr w:rsidR="00600DEE" w14:paraId="0EC954C9" w14:textId="77777777" w:rsidTr="00E91CFE">
              <w:trPr>
                <w:trHeight w:val="261"/>
              </w:trPr>
              <w:tc>
                <w:tcPr>
                  <w:tcW w:w="2153" w:type="dxa"/>
                  <w:shd w:val="clear" w:color="auto" w:fill="A6A6A6"/>
                </w:tcPr>
                <w:p w14:paraId="577F296A" w14:textId="77777777" w:rsidR="00600DEE" w:rsidRDefault="00641FB5">
                  <w:pPr>
                    <w:spacing w:before="40" w:after="40"/>
                    <w:jc w:val="center"/>
                    <w:rPr>
                      <w:rFonts w:ascii="Calibri" w:eastAsia="Calibri" w:hAnsi="Calibri" w:cs="Calibri"/>
                      <w:color w:val="FFFFFF"/>
                      <w:sz w:val="16"/>
                      <w:szCs w:val="16"/>
                    </w:rPr>
                  </w:pPr>
                  <w:proofErr w:type="spellStart"/>
                  <w:r>
                    <w:rPr>
                      <w:rFonts w:ascii="Calibri" w:eastAsia="Calibri" w:hAnsi="Calibri" w:cs="Calibri"/>
                      <w:color w:val="FFFFFF"/>
                      <w:sz w:val="16"/>
                      <w:szCs w:val="16"/>
                    </w:rPr>
                    <w:t>Years</w:t>
                  </w:r>
                  <w:proofErr w:type="spellEnd"/>
                  <w:r>
                    <w:rPr>
                      <w:rFonts w:ascii="Calibri" w:eastAsia="Calibri" w:hAnsi="Calibri" w:cs="Calibri"/>
                      <w:color w:val="FFFFFF"/>
                      <w:sz w:val="16"/>
                      <w:szCs w:val="16"/>
                    </w:rPr>
                    <w:t xml:space="preserve"> </w:t>
                  </w:r>
                </w:p>
              </w:tc>
              <w:tc>
                <w:tcPr>
                  <w:tcW w:w="803" w:type="dxa"/>
                  <w:shd w:val="clear" w:color="auto" w:fill="A6A6A6"/>
                </w:tcPr>
                <w:p w14:paraId="4464BDD2"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2018</w:t>
                  </w:r>
                </w:p>
              </w:tc>
              <w:tc>
                <w:tcPr>
                  <w:tcW w:w="805" w:type="dxa"/>
                  <w:shd w:val="clear" w:color="auto" w:fill="A6A6A6"/>
                </w:tcPr>
                <w:p w14:paraId="67D2F3DC"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w:t>
                  </w:r>
                </w:p>
              </w:tc>
              <w:tc>
                <w:tcPr>
                  <w:tcW w:w="806" w:type="dxa"/>
                  <w:shd w:val="clear" w:color="auto" w:fill="A6A6A6"/>
                </w:tcPr>
                <w:p w14:paraId="22E21F35"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2020</w:t>
                  </w:r>
                </w:p>
              </w:tc>
              <w:tc>
                <w:tcPr>
                  <w:tcW w:w="805" w:type="dxa"/>
                  <w:shd w:val="clear" w:color="auto" w:fill="A6A6A6"/>
                </w:tcPr>
                <w:p w14:paraId="57D3F763"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2025</w:t>
                  </w:r>
                </w:p>
              </w:tc>
              <w:tc>
                <w:tcPr>
                  <w:tcW w:w="805" w:type="dxa"/>
                  <w:shd w:val="clear" w:color="auto" w:fill="A6A6A6"/>
                </w:tcPr>
                <w:p w14:paraId="79C68793"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2030</w:t>
                  </w:r>
                </w:p>
              </w:tc>
              <w:tc>
                <w:tcPr>
                  <w:tcW w:w="827" w:type="dxa"/>
                  <w:shd w:val="clear" w:color="auto" w:fill="A6A6A6"/>
                </w:tcPr>
                <w:p w14:paraId="504C00D9"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2040</w:t>
                  </w:r>
                </w:p>
              </w:tc>
            </w:tr>
            <w:tr w:rsidR="00600DEE" w:rsidRPr="007463B9" w14:paraId="5075F149" w14:textId="77777777" w:rsidTr="00E91CFE">
              <w:trPr>
                <w:trHeight w:hRule="exact" w:val="1134"/>
              </w:trPr>
              <w:tc>
                <w:tcPr>
                  <w:tcW w:w="2153" w:type="dxa"/>
                  <w:shd w:val="clear" w:color="auto" w:fill="DBE5F1"/>
                </w:tcPr>
                <w:p w14:paraId="5CC64F3A" w14:textId="77777777" w:rsidR="00600DEE" w:rsidRPr="0045151D" w:rsidRDefault="00641FB5">
                  <w:pPr>
                    <w:spacing w:before="40" w:after="40"/>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Total O&amp;M costs of road projects implemented under EU financial perspectives 2014-2020 and 2021-2027</w:t>
                  </w:r>
                </w:p>
              </w:tc>
              <w:tc>
                <w:tcPr>
                  <w:tcW w:w="803" w:type="dxa"/>
                  <w:shd w:val="clear" w:color="auto" w:fill="DBE5F1"/>
                </w:tcPr>
                <w:p w14:paraId="3EDA445B"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567D1A31"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1862C06A"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1F7C6A97"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0311F2A8"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6296DBAA" w14:textId="77777777" w:rsidR="00600DEE" w:rsidRPr="0045151D" w:rsidRDefault="00600DEE">
                  <w:pPr>
                    <w:spacing w:before="40" w:after="40"/>
                    <w:rPr>
                      <w:rFonts w:ascii="Calibri" w:eastAsia="Calibri" w:hAnsi="Calibri" w:cs="Calibri"/>
                      <w:color w:val="4F81BD"/>
                      <w:sz w:val="16"/>
                      <w:szCs w:val="16"/>
                      <w:lang w:val="en-GB"/>
                    </w:rPr>
                  </w:pPr>
                </w:p>
              </w:tc>
            </w:tr>
            <w:tr w:rsidR="00600DEE" w:rsidRPr="007463B9" w14:paraId="787CAE69" w14:textId="77777777" w:rsidTr="00E91CFE">
              <w:trPr>
                <w:trHeight w:val="831"/>
              </w:trPr>
              <w:tc>
                <w:tcPr>
                  <w:tcW w:w="2153" w:type="dxa"/>
                  <w:shd w:val="clear" w:color="auto" w:fill="DBE5F1"/>
                </w:tcPr>
                <w:p w14:paraId="57B656E8" w14:textId="77777777" w:rsidR="00600DEE" w:rsidRPr="0045151D" w:rsidRDefault="00641FB5">
                  <w:pPr>
                    <w:spacing w:before="40" w:after="40"/>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Total O&amp;M costs of other road infrastructure managed by the Beneficiary (remaining part of the network)</w:t>
                  </w:r>
                </w:p>
              </w:tc>
              <w:tc>
                <w:tcPr>
                  <w:tcW w:w="803" w:type="dxa"/>
                  <w:shd w:val="clear" w:color="auto" w:fill="DBE5F1"/>
                </w:tcPr>
                <w:p w14:paraId="0930F6E0"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367B94C4"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3E06EF2E"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2B129898"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0374D3BE"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33EBCF4E" w14:textId="77777777" w:rsidR="00600DEE" w:rsidRPr="0045151D" w:rsidRDefault="00600DEE">
                  <w:pPr>
                    <w:spacing w:before="40" w:after="40"/>
                    <w:rPr>
                      <w:rFonts w:ascii="Calibri" w:eastAsia="Calibri" w:hAnsi="Calibri" w:cs="Calibri"/>
                      <w:color w:val="4F81BD"/>
                      <w:sz w:val="16"/>
                      <w:szCs w:val="16"/>
                      <w:lang w:val="en-GB"/>
                    </w:rPr>
                  </w:pPr>
                </w:p>
              </w:tc>
            </w:tr>
            <w:tr w:rsidR="00600DEE" w:rsidRPr="007463B9" w14:paraId="43E5737D" w14:textId="77777777" w:rsidTr="00E91CFE">
              <w:trPr>
                <w:trHeight w:val="440"/>
              </w:trPr>
              <w:tc>
                <w:tcPr>
                  <w:tcW w:w="2153" w:type="dxa"/>
                  <w:shd w:val="clear" w:color="auto" w:fill="DBE5F1"/>
                </w:tcPr>
                <w:p w14:paraId="623BF27F" w14:textId="77777777" w:rsidR="00600DEE" w:rsidRPr="0045151D" w:rsidRDefault="00641FB5">
                  <w:pPr>
                    <w:spacing w:before="40" w:after="40"/>
                    <w:rPr>
                      <w:rFonts w:ascii="Calibri" w:eastAsia="Calibri" w:hAnsi="Calibri" w:cs="Calibri"/>
                      <w:b/>
                      <w:color w:val="4F81BD"/>
                      <w:sz w:val="16"/>
                      <w:szCs w:val="16"/>
                      <w:lang w:val="en-GB"/>
                    </w:rPr>
                  </w:pPr>
                  <w:r w:rsidRPr="0045151D">
                    <w:rPr>
                      <w:rFonts w:ascii="Calibri" w:eastAsia="Calibri" w:hAnsi="Calibri" w:cs="Calibri"/>
                      <w:b/>
                      <w:color w:val="4F81BD"/>
                      <w:sz w:val="16"/>
                      <w:szCs w:val="16"/>
                      <w:lang w:val="en-GB"/>
                    </w:rPr>
                    <w:t xml:space="preserve">Total O&amp;M costs of road infrastructure  </w:t>
                  </w:r>
                </w:p>
              </w:tc>
              <w:tc>
                <w:tcPr>
                  <w:tcW w:w="803" w:type="dxa"/>
                  <w:shd w:val="clear" w:color="auto" w:fill="DBE5F1"/>
                </w:tcPr>
                <w:p w14:paraId="30D2D1D2" w14:textId="77777777" w:rsidR="00600DEE" w:rsidRPr="0045151D" w:rsidRDefault="00600DEE">
                  <w:pPr>
                    <w:spacing w:before="40" w:after="40"/>
                    <w:rPr>
                      <w:rFonts w:ascii="Calibri" w:eastAsia="Calibri" w:hAnsi="Calibri" w:cs="Calibri"/>
                      <w:b/>
                      <w:color w:val="4F81BD"/>
                      <w:sz w:val="16"/>
                      <w:szCs w:val="16"/>
                      <w:lang w:val="en-GB"/>
                    </w:rPr>
                  </w:pPr>
                </w:p>
              </w:tc>
              <w:tc>
                <w:tcPr>
                  <w:tcW w:w="805" w:type="dxa"/>
                  <w:shd w:val="clear" w:color="auto" w:fill="DBE5F1"/>
                </w:tcPr>
                <w:p w14:paraId="22C83D68" w14:textId="77777777" w:rsidR="00600DEE" w:rsidRPr="0045151D" w:rsidRDefault="00600DEE">
                  <w:pPr>
                    <w:spacing w:before="40" w:after="40"/>
                    <w:rPr>
                      <w:rFonts w:ascii="Calibri" w:eastAsia="Calibri" w:hAnsi="Calibri" w:cs="Calibri"/>
                      <w:b/>
                      <w:color w:val="4F81BD"/>
                      <w:sz w:val="16"/>
                      <w:szCs w:val="16"/>
                      <w:lang w:val="en-GB"/>
                    </w:rPr>
                  </w:pPr>
                </w:p>
              </w:tc>
              <w:tc>
                <w:tcPr>
                  <w:tcW w:w="806" w:type="dxa"/>
                  <w:shd w:val="clear" w:color="auto" w:fill="DBE5F1"/>
                </w:tcPr>
                <w:p w14:paraId="76E889A2" w14:textId="77777777" w:rsidR="00600DEE" w:rsidRPr="0045151D" w:rsidRDefault="00600DEE">
                  <w:pPr>
                    <w:spacing w:before="40" w:after="40"/>
                    <w:rPr>
                      <w:rFonts w:ascii="Calibri" w:eastAsia="Calibri" w:hAnsi="Calibri" w:cs="Calibri"/>
                      <w:b/>
                      <w:color w:val="4F81BD"/>
                      <w:sz w:val="16"/>
                      <w:szCs w:val="16"/>
                      <w:lang w:val="en-GB"/>
                    </w:rPr>
                  </w:pPr>
                </w:p>
              </w:tc>
              <w:tc>
                <w:tcPr>
                  <w:tcW w:w="805" w:type="dxa"/>
                  <w:shd w:val="clear" w:color="auto" w:fill="DBE5F1"/>
                </w:tcPr>
                <w:p w14:paraId="51F4F74C" w14:textId="77777777" w:rsidR="00600DEE" w:rsidRPr="0045151D" w:rsidRDefault="00600DEE">
                  <w:pPr>
                    <w:spacing w:before="40" w:after="40"/>
                    <w:rPr>
                      <w:rFonts w:ascii="Calibri" w:eastAsia="Calibri" w:hAnsi="Calibri" w:cs="Calibri"/>
                      <w:b/>
                      <w:color w:val="4F81BD"/>
                      <w:sz w:val="16"/>
                      <w:szCs w:val="16"/>
                      <w:lang w:val="en-GB"/>
                    </w:rPr>
                  </w:pPr>
                </w:p>
              </w:tc>
              <w:tc>
                <w:tcPr>
                  <w:tcW w:w="805" w:type="dxa"/>
                  <w:shd w:val="clear" w:color="auto" w:fill="DBE5F1"/>
                </w:tcPr>
                <w:p w14:paraId="3DC00ABB" w14:textId="77777777" w:rsidR="00600DEE" w:rsidRPr="0045151D" w:rsidRDefault="00600DEE">
                  <w:pPr>
                    <w:spacing w:before="40" w:after="40"/>
                    <w:rPr>
                      <w:rFonts w:ascii="Calibri" w:eastAsia="Calibri" w:hAnsi="Calibri" w:cs="Calibri"/>
                      <w:b/>
                      <w:color w:val="4F81BD"/>
                      <w:sz w:val="16"/>
                      <w:szCs w:val="16"/>
                      <w:lang w:val="en-GB"/>
                    </w:rPr>
                  </w:pPr>
                </w:p>
              </w:tc>
              <w:tc>
                <w:tcPr>
                  <w:tcW w:w="827" w:type="dxa"/>
                  <w:shd w:val="clear" w:color="auto" w:fill="DBE5F1"/>
                </w:tcPr>
                <w:p w14:paraId="0B6885E6" w14:textId="77777777" w:rsidR="00600DEE" w:rsidRPr="0045151D" w:rsidRDefault="00600DEE">
                  <w:pPr>
                    <w:spacing w:before="40" w:after="40"/>
                    <w:rPr>
                      <w:rFonts w:ascii="Calibri" w:eastAsia="Calibri" w:hAnsi="Calibri" w:cs="Calibri"/>
                      <w:b/>
                      <w:color w:val="4F81BD"/>
                      <w:sz w:val="16"/>
                      <w:szCs w:val="16"/>
                      <w:lang w:val="en-GB"/>
                    </w:rPr>
                  </w:pPr>
                </w:p>
              </w:tc>
            </w:tr>
            <w:tr w:rsidR="00600DEE" w:rsidRPr="007463B9" w14:paraId="7F6E3080" w14:textId="77777777" w:rsidTr="00E91CFE">
              <w:trPr>
                <w:trHeight w:val="562"/>
              </w:trPr>
              <w:tc>
                <w:tcPr>
                  <w:tcW w:w="2153" w:type="dxa"/>
                  <w:shd w:val="clear" w:color="auto" w:fill="DBE5F1"/>
                </w:tcPr>
                <w:p w14:paraId="548C5F52" w14:textId="77777777" w:rsidR="00600DEE" w:rsidRPr="0045151D" w:rsidRDefault="00641FB5">
                  <w:pPr>
                    <w:spacing w:before="40" w:after="40"/>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Other costs, including financial costs (interest, repayment of debts)</w:t>
                  </w:r>
                </w:p>
              </w:tc>
              <w:tc>
                <w:tcPr>
                  <w:tcW w:w="803" w:type="dxa"/>
                  <w:shd w:val="clear" w:color="auto" w:fill="DBE5F1"/>
                </w:tcPr>
                <w:p w14:paraId="2831AF9F"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152B30A5"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34F5E12A"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57CBDD13"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42ED136B"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1C0ED0D5" w14:textId="77777777" w:rsidR="00600DEE" w:rsidRPr="0045151D" w:rsidRDefault="00600DEE">
                  <w:pPr>
                    <w:spacing w:before="40" w:after="40"/>
                    <w:rPr>
                      <w:rFonts w:ascii="Calibri" w:eastAsia="Calibri" w:hAnsi="Calibri" w:cs="Calibri"/>
                      <w:color w:val="4F81BD"/>
                      <w:sz w:val="16"/>
                      <w:szCs w:val="16"/>
                      <w:lang w:val="en-GB"/>
                    </w:rPr>
                  </w:pPr>
                </w:p>
              </w:tc>
            </w:tr>
            <w:tr w:rsidR="00600DEE" w:rsidRPr="007463B9" w14:paraId="7E425263" w14:textId="77777777" w:rsidTr="00E91CFE">
              <w:trPr>
                <w:trHeight w:val="567"/>
              </w:trPr>
              <w:tc>
                <w:tcPr>
                  <w:tcW w:w="2153" w:type="dxa"/>
                  <w:shd w:val="clear" w:color="auto" w:fill="DBE5F1"/>
                </w:tcPr>
                <w:p w14:paraId="41479663" w14:textId="77777777" w:rsidR="00600DEE" w:rsidRPr="0045151D" w:rsidRDefault="00641FB5">
                  <w:pPr>
                    <w:spacing w:before="40" w:after="40"/>
                    <w:rPr>
                      <w:rFonts w:ascii="Calibri" w:eastAsia="Calibri" w:hAnsi="Calibri" w:cs="Calibri"/>
                      <w:b/>
                      <w:color w:val="4F81BD"/>
                      <w:sz w:val="16"/>
                      <w:szCs w:val="16"/>
                      <w:lang w:val="en-GB"/>
                    </w:rPr>
                  </w:pPr>
                  <w:r w:rsidRPr="0045151D">
                    <w:rPr>
                      <w:rFonts w:ascii="Calibri" w:eastAsia="Calibri" w:hAnsi="Calibri" w:cs="Calibri"/>
                      <w:b/>
                      <w:color w:val="4F81BD"/>
                      <w:sz w:val="16"/>
                      <w:szCs w:val="16"/>
                      <w:lang w:val="en-GB"/>
                    </w:rPr>
                    <w:t xml:space="preserve">Total costs of the infrastructure administrator </w:t>
                  </w:r>
                </w:p>
              </w:tc>
              <w:tc>
                <w:tcPr>
                  <w:tcW w:w="803" w:type="dxa"/>
                  <w:shd w:val="clear" w:color="auto" w:fill="DBE5F1"/>
                </w:tcPr>
                <w:p w14:paraId="72611F6A"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12FF2257"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60D52EC2"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6D6FA96E"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6FC3E2CF"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48E11729" w14:textId="77777777" w:rsidR="00600DEE" w:rsidRPr="0045151D" w:rsidRDefault="00600DEE">
                  <w:pPr>
                    <w:spacing w:before="40" w:after="40"/>
                    <w:rPr>
                      <w:rFonts w:ascii="Calibri" w:eastAsia="Calibri" w:hAnsi="Calibri" w:cs="Calibri"/>
                      <w:color w:val="4F81BD"/>
                      <w:sz w:val="16"/>
                      <w:szCs w:val="16"/>
                      <w:lang w:val="en-GB"/>
                    </w:rPr>
                  </w:pPr>
                </w:p>
              </w:tc>
            </w:tr>
          </w:tbl>
          <w:p w14:paraId="515F9FA4"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16"/>
                <w:szCs w:val="16"/>
                <w:lang w:val="en-GB"/>
              </w:rPr>
            </w:pPr>
            <w:r w:rsidRPr="0045151D">
              <w:rPr>
                <w:rFonts w:ascii="Calibri" w:eastAsia="Calibri" w:hAnsi="Calibri" w:cs="Calibri"/>
                <w:b/>
                <w:i/>
                <w:color w:val="000000"/>
                <w:sz w:val="16"/>
                <w:szCs w:val="16"/>
                <w:lang w:val="en-GB"/>
              </w:rPr>
              <w:t xml:space="preserve">Note: </w:t>
            </w:r>
            <w:r w:rsidRPr="0045151D">
              <w:rPr>
                <w:rFonts w:ascii="Calibri" w:eastAsia="Calibri" w:hAnsi="Calibri" w:cs="Calibri"/>
                <w:color w:val="000000"/>
                <w:sz w:val="16"/>
                <w:szCs w:val="16"/>
                <w:lang w:val="en-GB"/>
              </w:rPr>
              <w:t xml:space="preserve">In case of </w:t>
            </w:r>
            <w:proofErr w:type="spellStart"/>
            <w:r w:rsidRPr="0045151D">
              <w:rPr>
                <w:rFonts w:ascii="Calibri" w:eastAsia="Calibri" w:hAnsi="Calibri" w:cs="Calibri"/>
                <w:color w:val="000000"/>
                <w:sz w:val="16"/>
                <w:szCs w:val="16"/>
                <w:lang w:val="en-GB"/>
              </w:rPr>
              <w:t>GDDKiA</w:t>
            </w:r>
            <w:proofErr w:type="spellEnd"/>
            <w:r w:rsidRPr="0045151D">
              <w:rPr>
                <w:rFonts w:ascii="Calibri" w:eastAsia="Calibri" w:hAnsi="Calibri" w:cs="Calibri"/>
                <w:color w:val="000000"/>
                <w:sz w:val="16"/>
                <w:szCs w:val="16"/>
                <w:lang w:val="en-GB"/>
              </w:rPr>
              <w:t>, above information should be provided by the relevant ministry, and in case of Local Government Unit, by the relevant local authority body.</w:t>
            </w:r>
          </w:p>
          <w:p w14:paraId="5C7C4432"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item “</w:t>
            </w:r>
            <w:r w:rsidRPr="0045151D">
              <w:rPr>
                <w:rFonts w:ascii="Calibri" w:eastAsia="Calibri" w:hAnsi="Calibri" w:cs="Calibri"/>
                <w:i/>
                <w:color w:val="000000"/>
                <w:sz w:val="20"/>
                <w:szCs w:val="20"/>
                <w:lang w:val="en-GB"/>
              </w:rPr>
              <w:t>total O&amp;M costs of road projects implemented under EU financial perspectives 2014-2020 and 2021-2027</w:t>
            </w:r>
            <w:r w:rsidRPr="0045151D">
              <w:rPr>
                <w:rFonts w:ascii="Calibri" w:eastAsia="Calibri" w:hAnsi="Calibri" w:cs="Calibri"/>
                <w:color w:val="000000"/>
                <w:sz w:val="20"/>
                <w:szCs w:val="20"/>
                <w:lang w:val="en-GB"/>
              </w:rPr>
              <w:t>”, the total O&amp;M costs of all sections of roads that were built/scheduled for upgrade with EU funds support under this programming period should be specified. If the final list of projects is not known, it is recommended to consider the ones that have been planned and analysed in the current strategic documents. In the case of projects planned for implementation – costs should be put together on the basis of benchmarks (e.g. O&amp;M cost per 1 km of motorway), in the case of projects under implementation – costs should be demonstrated on the basis of information included in the Applications submitted to the European Commission or accepted at the national level.</w:t>
            </w:r>
          </w:p>
          <w:p w14:paraId="26512867"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In item “</w:t>
            </w:r>
            <w:r w:rsidRPr="0045151D">
              <w:rPr>
                <w:rFonts w:ascii="Calibri" w:eastAsia="Calibri" w:hAnsi="Calibri" w:cs="Calibri"/>
                <w:i/>
                <w:color w:val="000000"/>
                <w:sz w:val="20"/>
                <w:szCs w:val="20"/>
                <w:lang w:val="en-GB"/>
              </w:rPr>
              <w:t>total O&amp;M costs of other road infrastructure managed by the Beneficiary (remaining part of the network)</w:t>
            </w:r>
            <w:r w:rsidRPr="0045151D">
              <w:rPr>
                <w:rFonts w:ascii="Calibri" w:eastAsia="Calibri" w:hAnsi="Calibri" w:cs="Calibri"/>
                <w:color w:val="000000"/>
                <w:sz w:val="20"/>
                <w:szCs w:val="20"/>
                <w:lang w:val="en-GB"/>
              </w:rPr>
              <w:t>”, the average real O&amp;M costs incurred by the Beneficiary within the last 3 years on that network could be considered as benchmark to assess O&amp;M costs of those roads in future years (average O&amp;M cost per 1 kilometre of single/double carriageway).</w:t>
            </w:r>
          </w:p>
          <w:p w14:paraId="1287C30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most up-to-date planning information and estimates should be considered in the analysis. </w:t>
            </w:r>
          </w:p>
          <w:p w14:paraId="7D517B3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 the other hand, the Beneficiary’s revenue forecast should be also analysed as recommended below:</w:t>
            </w:r>
          </w:p>
          <w:p w14:paraId="39F0FC78"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6D125B70" w14:textId="2B96942E" w:rsidR="00600DEE" w:rsidRPr="0045151D" w:rsidRDefault="00B67038" w:rsidP="000117E4">
            <w:pPr>
              <w:pBdr>
                <w:top w:val="nil"/>
                <w:left w:val="nil"/>
                <w:bottom w:val="nil"/>
                <w:right w:val="nil"/>
                <w:between w:val="nil"/>
              </w:pBdr>
              <w:spacing w:before="120" w:after="120"/>
              <w:ind w:left="851" w:hanging="851"/>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30</w:t>
            </w:r>
            <w:r w:rsidR="00641FB5" w:rsidRPr="0045151D">
              <w:rPr>
                <w:rFonts w:ascii="Calibri" w:eastAsia="Calibri" w:hAnsi="Calibri" w:cs="Calibri"/>
                <w:b/>
                <w:color w:val="4F81BD"/>
                <w:sz w:val="20"/>
                <w:szCs w:val="20"/>
                <w:lang w:val="en-GB"/>
              </w:rPr>
              <w:t xml:space="preserve">. Forecast of Beneficiary revenues (to be structured as relevant to the </w:t>
            </w:r>
            <w:r w:rsidR="00641FB5" w:rsidRPr="0045151D">
              <w:rPr>
                <w:rFonts w:ascii="Calibri" w:eastAsia="Calibri" w:hAnsi="Calibri" w:cs="Calibri"/>
                <w:b/>
                <w:color w:val="4F81BD"/>
                <w:sz w:val="20"/>
                <w:szCs w:val="20"/>
                <w:lang w:val="en-GB"/>
              </w:rPr>
              <w:br/>
              <w:t xml:space="preserve"> Beneficiary)</w:t>
            </w:r>
          </w:p>
          <w:tbl>
            <w:tblPr>
              <w:tblW w:w="0" w:type="auto"/>
              <w:tblCellSpacing w:w="20" w:type="dxa"/>
              <w:tblInd w:w="19" w:type="dxa"/>
              <w:tblBorders>
                <w:top w:val="single" w:sz="2" w:space="0" w:color="FFFFFF"/>
                <w:left w:val="single" w:sz="2" w:space="0" w:color="FFFFFF"/>
                <w:bottom w:val="single" w:sz="2" w:space="0" w:color="FFFFFF"/>
                <w:right w:val="single" w:sz="2" w:space="0" w:color="FFFFFF"/>
              </w:tblBorders>
              <w:tblLayout w:type="fixed"/>
              <w:tblLook w:val="04A0" w:firstRow="1" w:lastRow="0" w:firstColumn="1" w:lastColumn="0" w:noHBand="0" w:noVBand="1"/>
            </w:tblPr>
            <w:tblGrid>
              <w:gridCol w:w="2153"/>
              <w:gridCol w:w="791"/>
              <w:gridCol w:w="791"/>
              <w:gridCol w:w="792"/>
              <w:gridCol w:w="791"/>
              <w:gridCol w:w="791"/>
              <w:gridCol w:w="812"/>
            </w:tblGrid>
            <w:tr w:rsidR="0079382E" w:rsidRPr="00C42EEC" w14:paraId="38770850" w14:textId="77777777" w:rsidTr="00505091">
              <w:trPr>
                <w:tblCellSpacing w:w="20" w:type="dxa"/>
              </w:trPr>
              <w:tc>
                <w:tcPr>
                  <w:tcW w:w="2093" w:type="dxa"/>
                  <w:shd w:val="clear" w:color="auto" w:fill="A6A6A6" w:themeFill="background1" w:themeFillShade="A6"/>
                </w:tcPr>
                <w:p w14:paraId="2EF7F243"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 xml:space="preserve">Years </w:t>
                  </w:r>
                </w:p>
              </w:tc>
              <w:tc>
                <w:tcPr>
                  <w:tcW w:w="751" w:type="dxa"/>
                  <w:shd w:val="clear" w:color="auto" w:fill="A6A6A6" w:themeFill="background1" w:themeFillShade="A6"/>
                </w:tcPr>
                <w:p w14:paraId="7915C1AA"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201</w:t>
                  </w:r>
                  <w:r>
                    <w:rPr>
                      <w:rFonts w:asciiTheme="minorHAnsi" w:hAnsiTheme="minorHAnsi"/>
                      <w:color w:val="FFFFFF"/>
                      <w:sz w:val="16"/>
                      <w:lang w:val="en-US"/>
                    </w:rPr>
                    <w:t>8</w:t>
                  </w:r>
                </w:p>
              </w:tc>
              <w:tc>
                <w:tcPr>
                  <w:tcW w:w="751" w:type="dxa"/>
                  <w:shd w:val="clear" w:color="auto" w:fill="A6A6A6" w:themeFill="background1" w:themeFillShade="A6"/>
                </w:tcPr>
                <w:p w14:paraId="52B381FB"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w:t>
                  </w:r>
                </w:p>
              </w:tc>
              <w:tc>
                <w:tcPr>
                  <w:tcW w:w="752" w:type="dxa"/>
                  <w:shd w:val="clear" w:color="auto" w:fill="A6A6A6" w:themeFill="background1" w:themeFillShade="A6"/>
                </w:tcPr>
                <w:p w14:paraId="4B8E5153"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2020</w:t>
                  </w:r>
                </w:p>
              </w:tc>
              <w:tc>
                <w:tcPr>
                  <w:tcW w:w="751" w:type="dxa"/>
                  <w:shd w:val="clear" w:color="auto" w:fill="A6A6A6" w:themeFill="background1" w:themeFillShade="A6"/>
                </w:tcPr>
                <w:p w14:paraId="2DD2C082"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2025</w:t>
                  </w:r>
                </w:p>
              </w:tc>
              <w:tc>
                <w:tcPr>
                  <w:tcW w:w="751" w:type="dxa"/>
                  <w:shd w:val="clear" w:color="auto" w:fill="A6A6A6" w:themeFill="background1" w:themeFillShade="A6"/>
                </w:tcPr>
                <w:p w14:paraId="09300F86"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2030</w:t>
                  </w:r>
                </w:p>
              </w:tc>
              <w:tc>
                <w:tcPr>
                  <w:tcW w:w="752" w:type="dxa"/>
                  <w:shd w:val="clear" w:color="auto" w:fill="A6A6A6" w:themeFill="background1" w:themeFillShade="A6"/>
                </w:tcPr>
                <w:p w14:paraId="13D0486C"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2040</w:t>
                  </w:r>
                </w:p>
              </w:tc>
            </w:tr>
            <w:tr w:rsidR="0079382E" w:rsidRPr="00C42EEC" w14:paraId="199B65BE" w14:textId="77777777" w:rsidTr="00505091">
              <w:trPr>
                <w:tblCellSpacing w:w="20" w:type="dxa"/>
              </w:trPr>
              <w:tc>
                <w:tcPr>
                  <w:tcW w:w="2093" w:type="dxa"/>
                  <w:shd w:val="clear" w:color="auto" w:fill="DBE5F1"/>
                </w:tcPr>
                <w:p w14:paraId="4986BDED" w14:textId="77777777" w:rsidR="0079382E" w:rsidRPr="00C42EEC" w:rsidRDefault="0079382E" w:rsidP="0079382E">
                  <w:pPr>
                    <w:spacing w:before="40" w:after="40"/>
                    <w:rPr>
                      <w:rFonts w:asciiTheme="minorHAnsi" w:hAnsiTheme="minorHAnsi"/>
                      <w:color w:val="4F81BD" w:themeColor="accent1"/>
                      <w:sz w:val="16"/>
                      <w:lang w:val="en-US"/>
                    </w:rPr>
                  </w:pPr>
                  <w:r w:rsidRPr="00C42EEC">
                    <w:rPr>
                      <w:rFonts w:asciiTheme="minorHAnsi" w:hAnsiTheme="minorHAnsi"/>
                      <w:color w:val="4F81BD" w:themeColor="accent1"/>
                      <w:sz w:val="16"/>
                      <w:lang w:val="en-US"/>
                    </w:rPr>
                    <w:t xml:space="preserve">Own revenue </w:t>
                  </w:r>
                </w:p>
              </w:tc>
              <w:tc>
                <w:tcPr>
                  <w:tcW w:w="751" w:type="dxa"/>
                  <w:shd w:val="clear" w:color="auto" w:fill="DBE5F1"/>
                </w:tcPr>
                <w:p w14:paraId="51311745" w14:textId="77777777" w:rsidR="0079382E" w:rsidRPr="00C42EEC" w:rsidRDefault="0079382E" w:rsidP="0079382E">
                  <w:pPr>
                    <w:spacing w:before="40" w:after="40"/>
                    <w:rPr>
                      <w:rFonts w:asciiTheme="minorHAnsi" w:hAnsiTheme="minorHAnsi"/>
                      <w:color w:val="4F81BD" w:themeColor="accent1"/>
                      <w:sz w:val="16"/>
                      <w:lang w:val="en-US"/>
                    </w:rPr>
                  </w:pPr>
                </w:p>
              </w:tc>
              <w:tc>
                <w:tcPr>
                  <w:tcW w:w="751" w:type="dxa"/>
                  <w:shd w:val="clear" w:color="auto" w:fill="DBE5F1"/>
                </w:tcPr>
                <w:p w14:paraId="63569AAA" w14:textId="77777777" w:rsidR="0079382E" w:rsidRPr="00C42EEC" w:rsidRDefault="0079382E" w:rsidP="0079382E">
                  <w:pPr>
                    <w:spacing w:before="40" w:after="40"/>
                    <w:rPr>
                      <w:rFonts w:asciiTheme="minorHAnsi" w:hAnsiTheme="minorHAnsi"/>
                      <w:color w:val="4F81BD" w:themeColor="accent1"/>
                      <w:sz w:val="16"/>
                      <w:lang w:val="en-US"/>
                    </w:rPr>
                  </w:pPr>
                </w:p>
              </w:tc>
              <w:tc>
                <w:tcPr>
                  <w:tcW w:w="752" w:type="dxa"/>
                  <w:shd w:val="clear" w:color="auto" w:fill="DBE5F1"/>
                </w:tcPr>
                <w:p w14:paraId="0C785B7B" w14:textId="77777777" w:rsidR="0079382E" w:rsidRPr="00C42EEC" w:rsidRDefault="0079382E" w:rsidP="0079382E">
                  <w:pPr>
                    <w:spacing w:before="40" w:after="40"/>
                    <w:rPr>
                      <w:rFonts w:asciiTheme="minorHAnsi" w:hAnsiTheme="minorHAnsi"/>
                      <w:color w:val="4F81BD" w:themeColor="accent1"/>
                      <w:sz w:val="16"/>
                      <w:lang w:val="en-US"/>
                    </w:rPr>
                  </w:pPr>
                </w:p>
              </w:tc>
              <w:tc>
                <w:tcPr>
                  <w:tcW w:w="751" w:type="dxa"/>
                  <w:shd w:val="clear" w:color="auto" w:fill="DBE5F1"/>
                </w:tcPr>
                <w:p w14:paraId="005A2A7F" w14:textId="77777777" w:rsidR="0079382E" w:rsidRPr="00C42EEC" w:rsidRDefault="0079382E" w:rsidP="0079382E">
                  <w:pPr>
                    <w:spacing w:before="40" w:after="40"/>
                    <w:rPr>
                      <w:rFonts w:asciiTheme="minorHAnsi" w:hAnsiTheme="minorHAnsi"/>
                      <w:color w:val="4F81BD" w:themeColor="accent1"/>
                      <w:sz w:val="16"/>
                      <w:lang w:val="en-US"/>
                    </w:rPr>
                  </w:pPr>
                </w:p>
              </w:tc>
              <w:tc>
                <w:tcPr>
                  <w:tcW w:w="751" w:type="dxa"/>
                  <w:shd w:val="clear" w:color="auto" w:fill="DBE5F1"/>
                </w:tcPr>
                <w:p w14:paraId="1E1CEF14" w14:textId="77777777" w:rsidR="0079382E" w:rsidRPr="00C42EEC" w:rsidRDefault="0079382E" w:rsidP="0079382E">
                  <w:pPr>
                    <w:spacing w:before="40" w:after="40"/>
                    <w:rPr>
                      <w:rFonts w:asciiTheme="minorHAnsi" w:hAnsiTheme="minorHAnsi"/>
                      <w:color w:val="4F81BD" w:themeColor="accent1"/>
                      <w:sz w:val="16"/>
                      <w:lang w:val="en-US"/>
                    </w:rPr>
                  </w:pPr>
                </w:p>
              </w:tc>
              <w:tc>
                <w:tcPr>
                  <w:tcW w:w="752" w:type="dxa"/>
                  <w:shd w:val="clear" w:color="auto" w:fill="DBE5F1"/>
                </w:tcPr>
                <w:p w14:paraId="570C9ACC" w14:textId="77777777" w:rsidR="0079382E" w:rsidRPr="00C42EEC" w:rsidRDefault="0079382E" w:rsidP="0079382E">
                  <w:pPr>
                    <w:spacing w:before="40" w:after="40"/>
                    <w:rPr>
                      <w:rFonts w:asciiTheme="minorHAnsi" w:hAnsiTheme="minorHAnsi"/>
                      <w:color w:val="4F81BD" w:themeColor="accent1"/>
                      <w:sz w:val="16"/>
                      <w:lang w:val="en-US"/>
                    </w:rPr>
                  </w:pPr>
                </w:p>
              </w:tc>
            </w:tr>
            <w:tr w:rsidR="0079382E" w:rsidRPr="007463B9" w14:paraId="64A48021" w14:textId="77777777" w:rsidTr="00505091">
              <w:trPr>
                <w:tblCellSpacing w:w="20" w:type="dxa"/>
              </w:trPr>
              <w:tc>
                <w:tcPr>
                  <w:tcW w:w="2093" w:type="dxa"/>
                  <w:shd w:val="clear" w:color="auto" w:fill="DBE5F1"/>
                </w:tcPr>
                <w:p w14:paraId="799AF77F"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 tolls from the users of road infrastructure </w:t>
                  </w:r>
                </w:p>
              </w:tc>
              <w:tc>
                <w:tcPr>
                  <w:tcW w:w="751" w:type="dxa"/>
                  <w:shd w:val="clear" w:color="auto" w:fill="DBE5F1"/>
                </w:tcPr>
                <w:p w14:paraId="4915BC4C"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61E57E82"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3C332555"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112BFB22"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F4E053E"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4F2BF6B6"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494782" w14:paraId="3B77BBA5" w14:textId="77777777" w:rsidTr="00505091">
              <w:trPr>
                <w:tblCellSpacing w:w="20" w:type="dxa"/>
              </w:trPr>
              <w:tc>
                <w:tcPr>
                  <w:tcW w:w="2093" w:type="dxa"/>
                  <w:shd w:val="clear" w:color="auto" w:fill="DBE5F1"/>
                </w:tcPr>
                <w:p w14:paraId="15D44DEE"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 other revenues </w:t>
                  </w:r>
                </w:p>
              </w:tc>
              <w:tc>
                <w:tcPr>
                  <w:tcW w:w="751" w:type="dxa"/>
                  <w:shd w:val="clear" w:color="auto" w:fill="DBE5F1"/>
                </w:tcPr>
                <w:p w14:paraId="0CBE5212"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7C5F2F43"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6AA51C6A"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B40111B"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43DD29A7"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1693B447"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731E4E" w14:paraId="493D0F75" w14:textId="77777777" w:rsidTr="00505091">
              <w:trPr>
                <w:tblCellSpacing w:w="20" w:type="dxa"/>
              </w:trPr>
              <w:tc>
                <w:tcPr>
                  <w:tcW w:w="2093" w:type="dxa"/>
                  <w:shd w:val="clear" w:color="auto" w:fill="DBE5F1"/>
                </w:tcPr>
                <w:p w14:paraId="7B667717" w14:textId="77777777" w:rsidR="0079382E" w:rsidRPr="00C42EEC" w:rsidRDefault="0079382E" w:rsidP="0079382E">
                  <w:pPr>
                    <w:spacing w:before="40" w:after="40"/>
                    <w:rPr>
                      <w:rFonts w:asciiTheme="minorHAnsi" w:hAnsiTheme="minorHAnsi"/>
                      <w:color w:val="4F81BD" w:themeColor="accent1"/>
                      <w:sz w:val="16"/>
                    </w:rPr>
                  </w:pPr>
                  <w:proofErr w:type="spellStart"/>
                  <w:r w:rsidRPr="00C42EEC">
                    <w:rPr>
                      <w:rFonts w:asciiTheme="minorHAnsi" w:hAnsiTheme="minorHAnsi"/>
                      <w:color w:val="4F81BD" w:themeColor="accent1"/>
                      <w:sz w:val="16"/>
                    </w:rPr>
                    <w:t>Other</w:t>
                  </w:r>
                  <w:proofErr w:type="spellEnd"/>
                  <w:r w:rsidRPr="00C42EEC">
                    <w:rPr>
                      <w:rFonts w:asciiTheme="minorHAnsi" w:hAnsiTheme="minorHAnsi"/>
                      <w:color w:val="4F81BD" w:themeColor="accent1"/>
                      <w:sz w:val="16"/>
                    </w:rPr>
                    <w:t xml:space="preserve"> </w:t>
                  </w:r>
                  <w:proofErr w:type="spellStart"/>
                  <w:r w:rsidRPr="00C42EEC">
                    <w:rPr>
                      <w:rFonts w:asciiTheme="minorHAnsi" w:hAnsiTheme="minorHAnsi"/>
                      <w:color w:val="4F81BD" w:themeColor="accent1"/>
                      <w:sz w:val="16"/>
                    </w:rPr>
                    <w:t>inflows</w:t>
                  </w:r>
                  <w:proofErr w:type="spellEnd"/>
                  <w:r w:rsidRPr="00C42EEC">
                    <w:rPr>
                      <w:rFonts w:asciiTheme="minorHAnsi" w:hAnsiTheme="minorHAnsi"/>
                      <w:color w:val="4F81BD" w:themeColor="accent1"/>
                      <w:sz w:val="16"/>
                    </w:rPr>
                    <w:t xml:space="preserve">, </w:t>
                  </w:r>
                  <w:proofErr w:type="spellStart"/>
                  <w:r w:rsidRPr="00C42EEC">
                    <w:rPr>
                      <w:rFonts w:asciiTheme="minorHAnsi" w:hAnsiTheme="minorHAnsi"/>
                      <w:color w:val="4F81BD" w:themeColor="accent1"/>
                      <w:sz w:val="16"/>
                    </w:rPr>
                    <w:t>including</w:t>
                  </w:r>
                  <w:proofErr w:type="spellEnd"/>
                  <w:r w:rsidRPr="00C42EEC">
                    <w:rPr>
                      <w:rFonts w:asciiTheme="minorHAnsi" w:hAnsiTheme="minorHAnsi"/>
                      <w:color w:val="4F81BD" w:themeColor="accent1"/>
                      <w:sz w:val="16"/>
                    </w:rPr>
                    <w:t xml:space="preserve">: </w:t>
                  </w:r>
                </w:p>
              </w:tc>
              <w:tc>
                <w:tcPr>
                  <w:tcW w:w="751" w:type="dxa"/>
                  <w:shd w:val="clear" w:color="auto" w:fill="DBE5F1"/>
                </w:tcPr>
                <w:p w14:paraId="24F39881" w14:textId="77777777" w:rsidR="0079382E" w:rsidRPr="00C42EEC" w:rsidRDefault="0079382E" w:rsidP="0079382E">
                  <w:pPr>
                    <w:spacing w:before="40" w:after="40"/>
                    <w:rPr>
                      <w:rFonts w:asciiTheme="minorHAnsi" w:hAnsiTheme="minorHAnsi"/>
                      <w:color w:val="4F81BD" w:themeColor="accent1"/>
                      <w:sz w:val="16"/>
                    </w:rPr>
                  </w:pPr>
                </w:p>
              </w:tc>
              <w:tc>
                <w:tcPr>
                  <w:tcW w:w="751" w:type="dxa"/>
                  <w:shd w:val="clear" w:color="auto" w:fill="DBE5F1"/>
                </w:tcPr>
                <w:p w14:paraId="302E5D1D" w14:textId="77777777" w:rsidR="0079382E" w:rsidRPr="00C42EEC" w:rsidRDefault="0079382E" w:rsidP="0079382E">
                  <w:pPr>
                    <w:spacing w:before="40" w:after="40"/>
                    <w:rPr>
                      <w:rFonts w:asciiTheme="minorHAnsi" w:hAnsiTheme="minorHAnsi"/>
                      <w:color w:val="4F81BD" w:themeColor="accent1"/>
                      <w:sz w:val="16"/>
                    </w:rPr>
                  </w:pPr>
                </w:p>
              </w:tc>
              <w:tc>
                <w:tcPr>
                  <w:tcW w:w="752" w:type="dxa"/>
                  <w:shd w:val="clear" w:color="auto" w:fill="DBE5F1"/>
                </w:tcPr>
                <w:p w14:paraId="7DB6E99D" w14:textId="77777777" w:rsidR="0079382E" w:rsidRPr="00C42EEC" w:rsidRDefault="0079382E" w:rsidP="0079382E">
                  <w:pPr>
                    <w:spacing w:before="40" w:after="40"/>
                    <w:rPr>
                      <w:rFonts w:asciiTheme="minorHAnsi" w:hAnsiTheme="minorHAnsi"/>
                      <w:color w:val="4F81BD" w:themeColor="accent1"/>
                      <w:sz w:val="16"/>
                    </w:rPr>
                  </w:pPr>
                </w:p>
              </w:tc>
              <w:tc>
                <w:tcPr>
                  <w:tcW w:w="751" w:type="dxa"/>
                  <w:shd w:val="clear" w:color="auto" w:fill="DBE5F1"/>
                </w:tcPr>
                <w:p w14:paraId="6D2D2232" w14:textId="77777777" w:rsidR="0079382E" w:rsidRPr="00C42EEC" w:rsidRDefault="0079382E" w:rsidP="0079382E">
                  <w:pPr>
                    <w:spacing w:before="40" w:after="40"/>
                    <w:rPr>
                      <w:rFonts w:asciiTheme="minorHAnsi" w:hAnsiTheme="minorHAnsi"/>
                      <w:color w:val="4F81BD" w:themeColor="accent1"/>
                      <w:sz w:val="16"/>
                    </w:rPr>
                  </w:pPr>
                </w:p>
              </w:tc>
              <w:tc>
                <w:tcPr>
                  <w:tcW w:w="751" w:type="dxa"/>
                  <w:shd w:val="clear" w:color="auto" w:fill="DBE5F1"/>
                </w:tcPr>
                <w:p w14:paraId="7785C33C" w14:textId="77777777" w:rsidR="0079382E" w:rsidRPr="00C42EEC" w:rsidRDefault="0079382E" w:rsidP="0079382E">
                  <w:pPr>
                    <w:spacing w:before="40" w:after="40"/>
                    <w:rPr>
                      <w:rFonts w:asciiTheme="minorHAnsi" w:hAnsiTheme="minorHAnsi"/>
                      <w:color w:val="4F81BD" w:themeColor="accent1"/>
                      <w:sz w:val="16"/>
                    </w:rPr>
                  </w:pPr>
                </w:p>
              </w:tc>
              <w:tc>
                <w:tcPr>
                  <w:tcW w:w="752" w:type="dxa"/>
                  <w:shd w:val="clear" w:color="auto" w:fill="DBE5F1"/>
                </w:tcPr>
                <w:p w14:paraId="619FC45D" w14:textId="77777777" w:rsidR="0079382E" w:rsidRPr="00C42EEC" w:rsidRDefault="0079382E" w:rsidP="0079382E">
                  <w:pPr>
                    <w:spacing w:before="40" w:after="40"/>
                    <w:rPr>
                      <w:rFonts w:asciiTheme="minorHAnsi" w:hAnsiTheme="minorHAnsi"/>
                      <w:color w:val="4F81BD" w:themeColor="accent1"/>
                      <w:sz w:val="16"/>
                    </w:rPr>
                  </w:pPr>
                </w:p>
              </w:tc>
            </w:tr>
            <w:tr w:rsidR="0079382E" w:rsidRPr="007463B9" w14:paraId="2662E9EF" w14:textId="77777777" w:rsidTr="00505091">
              <w:trPr>
                <w:tblCellSpacing w:w="20" w:type="dxa"/>
              </w:trPr>
              <w:tc>
                <w:tcPr>
                  <w:tcW w:w="2093" w:type="dxa"/>
                  <w:shd w:val="clear" w:color="auto" w:fill="DBE5F1"/>
                </w:tcPr>
                <w:p w14:paraId="4686D604"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Subsidy of the State Treasury (or JST)</w:t>
                  </w:r>
                </w:p>
              </w:tc>
              <w:tc>
                <w:tcPr>
                  <w:tcW w:w="751" w:type="dxa"/>
                  <w:shd w:val="clear" w:color="auto" w:fill="DBE5F1"/>
                </w:tcPr>
                <w:p w14:paraId="3DCD417A"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0655BFFD"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22B2F825"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46E675DD"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124471A2"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66C81F3A"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7463B9" w14:paraId="54A39459" w14:textId="77777777" w:rsidTr="00505091">
              <w:trPr>
                <w:tblCellSpacing w:w="20" w:type="dxa"/>
              </w:trPr>
              <w:tc>
                <w:tcPr>
                  <w:tcW w:w="2093" w:type="dxa"/>
                  <w:shd w:val="clear" w:color="auto" w:fill="DBE5F1"/>
                </w:tcPr>
                <w:p w14:paraId="3BB544F3"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 other subsidies and inflows* </w:t>
                  </w:r>
                </w:p>
              </w:tc>
              <w:tc>
                <w:tcPr>
                  <w:tcW w:w="751" w:type="dxa"/>
                  <w:shd w:val="clear" w:color="auto" w:fill="DBE5F1"/>
                </w:tcPr>
                <w:p w14:paraId="3422F0ED"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3B8174FC"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7071CCEC"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8CF70B8"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29242DC5"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6BFC99C2"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7463B9" w14:paraId="6000F54E" w14:textId="77777777" w:rsidTr="00505091">
              <w:trPr>
                <w:tblCellSpacing w:w="20" w:type="dxa"/>
              </w:trPr>
              <w:tc>
                <w:tcPr>
                  <w:tcW w:w="2093" w:type="dxa"/>
                  <w:shd w:val="clear" w:color="auto" w:fill="DBE5F1"/>
                </w:tcPr>
                <w:p w14:paraId="227EF153"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Total inflows </w:t>
                  </w:r>
                </w:p>
              </w:tc>
              <w:tc>
                <w:tcPr>
                  <w:tcW w:w="751" w:type="dxa"/>
                  <w:shd w:val="clear" w:color="auto" w:fill="DBE5F1"/>
                </w:tcPr>
                <w:p w14:paraId="7AFCD291"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0270793"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045A78D5"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1DDA4279"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934CD2F"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59B06AE0" w14:textId="77777777" w:rsidR="0079382E" w:rsidRPr="00C42EEC" w:rsidRDefault="0079382E" w:rsidP="0079382E">
                  <w:pPr>
                    <w:spacing w:before="40" w:after="40"/>
                    <w:rPr>
                      <w:rFonts w:asciiTheme="minorHAnsi" w:hAnsiTheme="minorHAnsi"/>
                      <w:color w:val="4F81BD" w:themeColor="accent1"/>
                      <w:sz w:val="16"/>
                      <w:lang w:val="en-GB"/>
                    </w:rPr>
                  </w:pPr>
                </w:p>
              </w:tc>
            </w:tr>
          </w:tbl>
          <w:p w14:paraId="6952A483" w14:textId="77777777" w:rsidR="00600DEE" w:rsidRPr="0045151D" w:rsidRDefault="00641FB5">
            <w:pPr>
              <w:rPr>
                <w:rFonts w:ascii="Calibri" w:eastAsia="Calibri" w:hAnsi="Calibri" w:cs="Calibri"/>
                <w:sz w:val="16"/>
                <w:szCs w:val="16"/>
                <w:lang w:val="en-GB"/>
              </w:rPr>
            </w:pPr>
            <w:r w:rsidRPr="0045151D">
              <w:rPr>
                <w:rFonts w:ascii="Calibri" w:eastAsia="Calibri" w:hAnsi="Calibri" w:cs="Calibri"/>
                <w:sz w:val="16"/>
                <w:szCs w:val="16"/>
                <w:lang w:val="en-GB"/>
              </w:rPr>
              <w:t>* please provide details on other sources of inflows</w:t>
            </w:r>
          </w:p>
          <w:p w14:paraId="227E1F9E" w14:textId="77777777" w:rsidR="00600DEE" w:rsidRPr="0045151D" w:rsidRDefault="00641FB5">
            <w:pPr>
              <w:pBdr>
                <w:top w:val="nil"/>
                <w:left w:val="nil"/>
                <w:bottom w:val="nil"/>
                <w:right w:val="nil"/>
                <w:between w:val="nil"/>
              </w:pBdr>
              <w:spacing w:before="6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 xml:space="preserve">Note: </w:t>
            </w:r>
            <w:r w:rsidRPr="0045151D">
              <w:rPr>
                <w:rFonts w:ascii="Calibri" w:eastAsia="Calibri" w:hAnsi="Calibri" w:cs="Calibri"/>
                <w:color w:val="000000"/>
                <w:sz w:val="16"/>
                <w:szCs w:val="16"/>
                <w:lang w:val="en-GB"/>
              </w:rPr>
              <w:t xml:space="preserve">In case of </w:t>
            </w:r>
            <w:proofErr w:type="spellStart"/>
            <w:r w:rsidRPr="0045151D">
              <w:rPr>
                <w:rFonts w:ascii="Calibri" w:eastAsia="Calibri" w:hAnsi="Calibri" w:cs="Calibri"/>
                <w:color w:val="000000"/>
                <w:sz w:val="16"/>
                <w:szCs w:val="16"/>
                <w:lang w:val="en-GB"/>
              </w:rPr>
              <w:t>GDDKiA</w:t>
            </w:r>
            <w:proofErr w:type="spellEnd"/>
            <w:r w:rsidRPr="0045151D">
              <w:rPr>
                <w:rFonts w:ascii="Calibri" w:eastAsia="Calibri" w:hAnsi="Calibri" w:cs="Calibri"/>
                <w:color w:val="000000"/>
                <w:sz w:val="16"/>
                <w:szCs w:val="16"/>
                <w:lang w:val="en-GB"/>
              </w:rPr>
              <w:t>, above information should be provided by the relevant ministry, and in case of Local Government Unit, by the relevant local authority body.</w:t>
            </w:r>
          </w:p>
        </w:tc>
      </w:tr>
    </w:tbl>
    <w:p w14:paraId="30AE38A0" w14:textId="0FB445A3" w:rsidR="00600DEE" w:rsidRPr="0045151D" w:rsidRDefault="00641FB5" w:rsidP="00D5736B">
      <w:pPr>
        <w:pStyle w:val="Nagwek1"/>
        <w:numPr>
          <w:ilvl w:val="0"/>
          <w:numId w:val="17"/>
        </w:numPr>
        <w:ind w:left="709" w:hanging="709"/>
        <w:rPr>
          <w:rFonts w:ascii="Calibri" w:eastAsia="Calibri" w:hAnsi="Calibri" w:cs="Calibri"/>
          <w:i/>
          <w:color w:val="0070C0"/>
          <w:lang w:val="pl-PL"/>
        </w:rPr>
      </w:pPr>
      <w:bookmarkStart w:id="103" w:name="_Toc95378007"/>
      <w:r w:rsidRPr="0045151D">
        <w:rPr>
          <w:rFonts w:ascii="Calibri" w:eastAsia="Calibri" w:hAnsi="Calibri" w:cs="Calibri"/>
          <w:color w:val="0070C0"/>
          <w:lang w:val="pl-PL"/>
        </w:rPr>
        <w:lastRenderedPageBreak/>
        <w:t xml:space="preserve">Faza IV: Ocena </w:t>
      </w:r>
      <w:proofErr w:type="spellStart"/>
      <w:r w:rsidRPr="0045151D">
        <w:rPr>
          <w:rFonts w:ascii="Calibri" w:eastAsia="Calibri" w:hAnsi="Calibri" w:cs="Calibri"/>
          <w:color w:val="0070C0"/>
          <w:lang w:val="pl-PL"/>
        </w:rPr>
        <w:t>ryzyk</w:t>
      </w:r>
      <w:proofErr w:type="spellEnd"/>
      <w:r w:rsidRPr="0045151D">
        <w:rPr>
          <w:rFonts w:ascii="Calibri" w:eastAsia="Calibri" w:hAnsi="Calibri" w:cs="Calibri"/>
          <w:color w:val="0070C0"/>
          <w:lang w:val="pl-PL"/>
        </w:rPr>
        <w:t xml:space="preserve"> projektu</w:t>
      </w:r>
      <w:r w:rsidRPr="0045151D">
        <w:rPr>
          <w:rFonts w:ascii="Calibri" w:eastAsia="Calibri" w:hAnsi="Calibri" w:cs="Calibri"/>
          <w:color w:val="0070C0"/>
          <w:lang w:val="pl-PL"/>
        </w:rPr>
        <w:br/>
      </w:r>
      <w:proofErr w:type="spellStart"/>
      <w:r w:rsidRPr="0045151D">
        <w:rPr>
          <w:rFonts w:ascii="Calibri" w:eastAsia="Calibri" w:hAnsi="Calibri" w:cs="Calibri"/>
          <w:i/>
          <w:color w:val="0070C0"/>
          <w:lang w:val="pl-PL"/>
        </w:rPr>
        <w:t>Phase</w:t>
      </w:r>
      <w:proofErr w:type="spellEnd"/>
      <w:r w:rsidRPr="0045151D">
        <w:rPr>
          <w:rFonts w:ascii="Calibri" w:eastAsia="Calibri" w:hAnsi="Calibri" w:cs="Calibri"/>
          <w:i/>
          <w:color w:val="0070C0"/>
          <w:lang w:val="pl-PL"/>
        </w:rPr>
        <w:t xml:space="preserve"> IV: Project </w:t>
      </w:r>
      <w:proofErr w:type="spellStart"/>
      <w:r w:rsidRPr="0045151D">
        <w:rPr>
          <w:rFonts w:ascii="Calibri" w:eastAsia="Calibri" w:hAnsi="Calibri" w:cs="Calibri"/>
          <w:i/>
          <w:color w:val="0070C0"/>
          <w:lang w:val="pl-PL"/>
        </w:rPr>
        <w:t>risk</w:t>
      </w:r>
      <w:proofErr w:type="spellEnd"/>
      <w:r w:rsidRPr="0045151D">
        <w:rPr>
          <w:rFonts w:ascii="Calibri" w:eastAsia="Calibri" w:hAnsi="Calibri" w:cs="Calibri"/>
          <w:i/>
          <w:color w:val="0070C0"/>
          <w:lang w:val="pl-PL"/>
        </w:rPr>
        <w:t xml:space="preserve"> </w:t>
      </w:r>
      <w:proofErr w:type="spellStart"/>
      <w:r w:rsidRPr="0045151D">
        <w:rPr>
          <w:rFonts w:ascii="Calibri" w:eastAsia="Calibri" w:hAnsi="Calibri" w:cs="Calibri"/>
          <w:i/>
          <w:color w:val="0070C0"/>
          <w:lang w:val="pl-PL"/>
        </w:rPr>
        <w:t>assessment</w:t>
      </w:r>
      <w:bookmarkEnd w:id="103"/>
      <w:proofErr w:type="spellEnd"/>
    </w:p>
    <w:tbl>
      <w:tblPr>
        <w:tblStyle w:val="afffffff5"/>
        <w:tblW w:w="14571" w:type="dxa"/>
        <w:tblLayout w:type="fixed"/>
        <w:tblLook w:val="0400" w:firstRow="0" w:lastRow="0" w:firstColumn="0" w:lastColumn="0" w:noHBand="0" w:noVBand="1"/>
      </w:tblPr>
      <w:tblGrid>
        <w:gridCol w:w="7370"/>
        <w:gridCol w:w="7201"/>
      </w:tblGrid>
      <w:tr w:rsidR="00600DEE" w:rsidRPr="007463B9" w14:paraId="7F84B325" w14:textId="77777777">
        <w:tc>
          <w:tcPr>
            <w:tcW w:w="7370" w:type="dxa"/>
            <w:tcBorders>
              <w:right w:val="single" w:sz="4" w:space="0" w:color="000000"/>
            </w:tcBorders>
            <w:tcMar>
              <w:left w:w="284" w:type="dxa"/>
              <w:right w:w="284" w:type="dxa"/>
            </w:tcMar>
          </w:tcPr>
          <w:p w14:paraId="26BF248C" w14:textId="34EC612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04" w:name="bookmark=id.2w5ecyt" w:colFirst="0" w:colLast="0"/>
            <w:bookmarkStart w:id="105" w:name="bookmark=id.1baon6m" w:colFirst="0" w:colLast="0"/>
            <w:bookmarkEnd w:id="104"/>
            <w:bookmarkEnd w:id="105"/>
            <w:r>
              <w:rPr>
                <w:rFonts w:ascii="Calibri" w:eastAsia="Calibri" w:hAnsi="Calibri" w:cs="Calibri"/>
                <w:color w:val="000000"/>
                <w:sz w:val="20"/>
                <w:szCs w:val="20"/>
              </w:rPr>
              <w:t xml:space="preserve">Ocena ryzyka umożliwia Beneficjentowi projektu lepiej zrozumieć, w jaki sposób szacowane koszty i korzyści projektu mogą się zmienić w przypadku, gdy kluczowe zmienne </w:t>
            </w:r>
            <w:r w:rsidR="00B67038">
              <w:rPr>
                <w:rFonts w:ascii="Calibri" w:eastAsia="Calibri" w:hAnsi="Calibri" w:cs="Calibri"/>
                <w:color w:val="000000"/>
                <w:sz w:val="20"/>
                <w:szCs w:val="20"/>
              </w:rPr>
              <w:t>okażą się inne niż oczekiwane. W</w:t>
            </w:r>
            <w:r>
              <w:rPr>
                <w:rFonts w:ascii="Calibri" w:eastAsia="Calibri" w:hAnsi="Calibri" w:cs="Calibri"/>
                <w:color w:val="000000"/>
                <w:sz w:val="20"/>
                <w:szCs w:val="20"/>
              </w:rPr>
              <w:t> celu zapewnienia ekonomicznego uzasadnienia i kwalifikowalności finansowej projektu, ocena ryzyka powinna wskazać, które ryzyka są akceptowalne, a które potrzebują dodatkowych działań zaradczych. Pomimo, że analiza ryzyka opiera się na szacunkach i prognozach (np. dotyczących kosztów), to jest to narzędzie zwiększające pewność, że decyzja dotycząca projektu inwestycyjnego jest słuszna.</w:t>
            </w:r>
          </w:p>
          <w:p w14:paraId="0DE9E13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Ocena ryzyka przeprowadzona na potrzeby wniosku o dofinansowanie jest obrazem postrzeganego ryzyka projektu w momencie jego składania (lub istotnej aktualizacji) do Instytucji Zarządzającej (IZ), jednakże Beneficjenci powinni traktować analizę ryzyka jako „żywe” narzędzie, które powinno być aktualizowane wraz z rozwojem projektu, aby monitorowanie i zarządzanie ryzykiem było właściwe. Różne rodzaje ryzyka mogą być istotne dla projektu, o różnym prawdopodobieństwie wystąpienia i sile oddziaływania, na różnych jego etapach (przygotowanie, wdrażanie, eksploatacja).</w:t>
            </w:r>
          </w:p>
          <w:p w14:paraId="607179A1" w14:textId="438AA71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Ocena ryzyka projektu obejmuje zarówno analizę wrażliwości, jak i analizę ryzyka. </w:t>
            </w:r>
            <w:r>
              <w:rPr>
                <w:rFonts w:ascii="Calibri" w:eastAsia="Calibri" w:hAnsi="Calibri" w:cs="Calibri"/>
                <w:color w:val="222222"/>
                <w:sz w:val="20"/>
                <w:szCs w:val="20"/>
              </w:rPr>
              <w:t>Kolejne rozdziały zawierają metodyczne wytyczne dotyczące p</w:t>
            </w:r>
            <w:r w:rsidR="00B67038">
              <w:rPr>
                <w:rFonts w:ascii="Calibri" w:eastAsia="Calibri" w:hAnsi="Calibri" w:cs="Calibri"/>
                <w:color w:val="222222"/>
                <w:sz w:val="20"/>
                <w:szCs w:val="20"/>
              </w:rPr>
              <w:t>rzeprowadzania analizy ryzyka. W</w:t>
            </w:r>
            <w:r>
              <w:rPr>
                <w:rFonts w:ascii="Calibri" w:eastAsia="Calibri" w:hAnsi="Calibri" w:cs="Calibri"/>
                <w:color w:val="222222"/>
                <w:sz w:val="20"/>
                <w:szCs w:val="20"/>
              </w:rPr>
              <w:t xml:space="preserve"> końcowym rozdziale </w:t>
            </w:r>
            <w:proofErr w:type="spellStart"/>
            <w:r>
              <w:rPr>
                <w:rFonts w:ascii="Calibri" w:eastAsia="Calibri" w:hAnsi="Calibri" w:cs="Calibri"/>
                <w:color w:val="222222"/>
                <w:sz w:val="20"/>
                <w:szCs w:val="20"/>
              </w:rPr>
              <w:t>znaduje</w:t>
            </w:r>
            <w:proofErr w:type="spellEnd"/>
            <w:r>
              <w:rPr>
                <w:rFonts w:ascii="Calibri" w:eastAsia="Calibri" w:hAnsi="Calibri" w:cs="Calibri"/>
                <w:color w:val="222222"/>
                <w:sz w:val="20"/>
                <w:szCs w:val="20"/>
              </w:rPr>
              <w:t xml:space="preserve"> się podsumowanie dotyczące prezentacji wyników (i) analizy wrażliwości oraz (ii) analizy ryzyka.</w:t>
            </w:r>
          </w:p>
          <w:p w14:paraId="7C540B59"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3F444AD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Risk assessment enables the project Beneficiary to better understand the way the estimated impacts are likely to change should some key project variables turn out to be different from those expected. In order to ensure the economic justification and financial eligibility of the project, the risk assessment needs to identify which risks are acceptable, and which risks need additional mitigation. On the other hand, risk assessment is a tool to deal with uncertainty in the assumptions and forecasts (e.g. costs estimation) as a way of boosting confidence that project investment decision is correct.</w:t>
            </w:r>
          </w:p>
          <w:p w14:paraId="39F72CF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risk assessment carried out for the Funding Application is a snapshot of the project’s perceived risks at the time of the submission (or significant update) to the MA; while the Beneficiary should use the risk analysis as a live tool to be updated along the project evolution in order to monitor and manage these risks adequately. Different risks might be relevant, or with a different probability of occurrence or severity at different project stages (preparation, implementation, operation).</w:t>
            </w:r>
          </w:p>
          <w:p w14:paraId="5A83B41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Risk assessment covers both sensitivity analysis and risk analysis. In the chapters below, the methodological guidance on how to carry out the risk assessment is described. At the end, the chapter summarizes the required outputs to be presented for both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sensitivity analysis and (ii) risk analysis.</w:t>
            </w:r>
          </w:p>
          <w:p w14:paraId="09A0224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F4FF4C7"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96E613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3A945C8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8AEE0A3"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2213895"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20D99EEF" w14:textId="63F3CE99" w:rsidR="00600DEE" w:rsidRPr="00126CBA" w:rsidRDefault="00BF2FDE" w:rsidP="00D5736B">
      <w:pPr>
        <w:pStyle w:val="Nagwek2"/>
        <w:numPr>
          <w:ilvl w:val="1"/>
          <w:numId w:val="17"/>
        </w:numPr>
        <w:rPr>
          <w:rFonts w:ascii="Calibri" w:eastAsia="Calibri" w:hAnsi="Calibri" w:cs="Calibri"/>
          <w:color w:val="4F81BD"/>
        </w:rPr>
      </w:pPr>
      <w:bookmarkStart w:id="106" w:name="_Toc95378008"/>
      <w:proofErr w:type="spellStart"/>
      <w:r>
        <w:rPr>
          <w:rFonts w:ascii="Calibri" w:eastAsia="Calibri" w:hAnsi="Calibri" w:cs="Calibri"/>
          <w:color w:val="4F81BD"/>
        </w:rPr>
        <w:lastRenderedPageBreak/>
        <w:t>Analiza</w:t>
      </w:r>
      <w:proofErr w:type="spellEnd"/>
      <w:r>
        <w:rPr>
          <w:rFonts w:ascii="Calibri" w:eastAsia="Calibri" w:hAnsi="Calibri" w:cs="Calibri"/>
          <w:color w:val="4F81BD"/>
        </w:rPr>
        <w:t xml:space="preserve"> </w:t>
      </w:r>
      <w:proofErr w:type="spellStart"/>
      <w:r>
        <w:rPr>
          <w:rFonts w:ascii="Calibri" w:eastAsia="Calibri" w:hAnsi="Calibri" w:cs="Calibri"/>
          <w:color w:val="4F81BD"/>
        </w:rPr>
        <w:t>wrażliwości</w:t>
      </w:r>
      <w:proofErr w:type="spellEnd"/>
      <w:r>
        <w:rPr>
          <w:rFonts w:ascii="Calibri" w:eastAsia="Calibri" w:hAnsi="Calibri" w:cs="Calibri"/>
          <w:color w:val="4F81BD"/>
        </w:rPr>
        <w:tab/>
        <w:t xml:space="preserve">                    </w:t>
      </w:r>
      <w:r w:rsidR="00126CBA">
        <w:rPr>
          <w:rFonts w:ascii="Calibri" w:eastAsia="Calibri" w:hAnsi="Calibri" w:cs="Calibri"/>
          <w:color w:val="4F81BD"/>
        </w:rPr>
        <w:t xml:space="preserve">     </w:t>
      </w:r>
      <w:r>
        <w:rPr>
          <w:rFonts w:ascii="Calibri" w:eastAsia="Calibri" w:hAnsi="Calibri" w:cs="Calibri"/>
          <w:color w:val="4F81BD"/>
        </w:rPr>
        <w:t xml:space="preserve">                            </w:t>
      </w:r>
      <w:r w:rsidR="00126CBA">
        <w:rPr>
          <w:rFonts w:ascii="Calibri" w:eastAsia="Calibri" w:hAnsi="Calibri" w:cs="Calibri"/>
          <w:color w:val="4F81BD"/>
        </w:rPr>
        <w:t xml:space="preserve">   </w:t>
      </w:r>
      <w:r>
        <w:rPr>
          <w:rFonts w:ascii="Calibri" w:eastAsia="Calibri" w:hAnsi="Calibri" w:cs="Calibri"/>
          <w:i/>
          <w:color w:val="4F81BD"/>
        </w:rPr>
        <w:t>4.1</w:t>
      </w:r>
      <w:r>
        <w:rPr>
          <w:rFonts w:ascii="Calibri" w:eastAsia="Calibri" w:hAnsi="Calibri" w:cs="Calibri"/>
          <w:color w:val="4F81BD"/>
        </w:rPr>
        <w:t xml:space="preserve">   Sensitivity</w:t>
      </w:r>
      <w:r>
        <w:rPr>
          <w:rFonts w:ascii="Calibri" w:eastAsia="Calibri" w:hAnsi="Calibri" w:cs="Calibri"/>
          <w:i/>
          <w:color w:val="4F81BD"/>
        </w:rPr>
        <w:t xml:space="preserve"> analysis</w:t>
      </w:r>
      <w:bookmarkEnd w:id="106"/>
    </w:p>
    <w:tbl>
      <w:tblPr>
        <w:tblStyle w:val="afffffff6"/>
        <w:tblW w:w="14571" w:type="dxa"/>
        <w:tblLayout w:type="fixed"/>
        <w:tblLook w:val="0400" w:firstRow="0" w:lastRow="0" w:firstColumn="0" w:lastColumn="0" w:noHBand="0" w:noVBand="1"/>
      </w:tblPr>
      <w:tblGrid>
        <w:gridCol w:w="7370"/>
        <w:gridCol w:w="7201"/>
      </w:tblGrid>
      <w:tr w:rsidR="00600DEE" w:rsidRPr="007463B9" w14:paraId="46845B44" w14:textId="77777777">
        <w:tc>
          <w:tcPr>
            <w:tcW w:w="7370" w:type="dxa"/>
            <w:tcBorders>
              <w:right w:val="single" w:sz="4" w:space="0" w:color="000000"/>
            </w:tcBorders>
            <w:tcMar>
              <w:left w:w="284" w:type="dxa"/>
              <w:right w:w="284" w:type="dxa"/>
            </w:tcMar>
          </w:tcPr>
          <w:p w14:paraId="57B3007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Analiza wrażliwości służy identyfikacji tzw. zmiennych krytycznych, tj. tych zmiennych, których zmiany, pozytywne lub negatywne, mają największy wpływ na wskaźniki efektywności projektu. Jeśli wariant inwestycyjny został zidentyfikowany na wcześniejszych etapach analizy, analiza ryzyka może dotyczyć tylko wybranego wariantu inwestycyjnego.</w:t>
            </w:r>
          </w:p>
          <w:p w14:paraId="0926375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Analiza wrażliwości powinna zostać przeprowadzona w następujących aspektach:</w:t>
            </w:r>
          </w:p>
          <w:p w14:paraId="1A26CBF8" w14:textId="58280682"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Określenie zmiennych krytycznych czyli tych, których zmiana wartości o ±1% powoduje zmianę wartości ENPV i FNPV (dla analizy ekonomiczn</w:t>
            </w:r>
            <w:r w:rsidR="0079382E">
              <w:rPr>
                <w:rFonts w:ascii="Calibri" w:eastAsia="Calibri" w:hAnsi="Calibri" w:cs="Calibri"/>
                <w:color w:val="000000"/>
                <w:sz w:val="20"/>
                <w:szCs w:val="20"/>
              </w:rPr>
              <w:t xml:space="preserve">ej i finansowej) o co najmniej ±1%. </w:t>
            </w:r>
            <w:r>
              <w:rPr>
                <w:rFonts w:ascii="Calibri" w:eastAsia="Calibri" w:hAnsi="Calibri" w:cs="Calibri"/>
                <w:color w:val="000000"/>
                <w:sz w:val="20"/>
                <w:szCs w:val="20"/>
              </w:rPr>
              <w:t>Analizę przeprowadza się dla każdego elementu oddzielnie (zmienna badana) przy założeniu, że pozostałe elementy są niezmienne.</w:t>
            </w:r>
          </w:p>
          <w:p w14:paraId="5D6BB31F"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Wartości progowe zmiennych krytycznych określa się jako procentową zmianę zmiennej badanej, która powoduje, że NPV jest równa zero. Gdy dla danej zmiennej krytycznej, wartość progowa jest stosunkowo bliska wartości bazowej tej zmiennej, to ryzyko dla efektywności projektu można uznać za wysokie i odpowiednie działania zaradcze powinny zostać uwzględnione w ramach projektu (na etapie przygotowania, wdrażania lub eksploatacji projektu). Wartości progowe zmiennych należy obliczyć przynajmniej dla: ruchu (SDR), kosztu budowy i oszczędności czasu.</w:t>
            </w:r>
          </w:p>
          <w:p w14:paraId="07C397C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Ponadto, analiza wrażliwości powinna zostać uzupełniona o analizę scenariuszy (tj. zmiany jednego lub więcej parametrów jednocześnie). Na podstawie najlepszych praktyk i polskich doświadczeń, poniżej zaproponowano podstawowe zmienne kluczowe, które często są niedoszacowane lub przeszacowane w trakcie przygotowywania projektu, a ponadto mają największy wpływ na poziom wskaźników efektywności ekonomicznej i finansowej (ENPV, ERR, FNPV, FRR) drogowego projektu infrastrukturalnego.</w:t>
            </w:r>
          </w:p>
          <w:p w14:paraId="75A2C69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Wrażliwość wskaźników efektywności ekonomicznej:</w:t>
            </w:r>
          </w:p>
          <w:p w14:paraId="00A9A77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w:t>
            </w:r>
            <w:r>
              <w:rPr>
                <w:rFonts w:ascii="Calibri" w:eastAsia="Calibri" w:hAnsi="Calibri" w:cs="Calibri"/>
                <w:color w:val="000000"/>
                <w:sz w:val="20"/>
                <w:szCs w:val="20"/>
              </w:rPr>
              <w:tab/>
              <w:t>SDR</w:t>
            </w:r>
            <w:r>
              <w:rPr>
                <w:rFonts w:ascii="Calibri" w:eastAsia="Calibri" w:hAnsi="Calibri" w:cs="Calibri"/>
                <w:color w:val="000000"/>
                <w:sz w:val="20"/>
                <w:szCs w:val="20"/>
              </w:rPr>
              <w:tab/>
            </w:r>
            <w:r>
              <w:rPr>
                <w:rFonts w:ascii="Calibri" w:eastAsia="Calibri" w:hAnsi="Calibri" w:cs="Calibri"/>
                <w:color w:val="000000"/>
                <w:sz w:val="20"/>
                <w:szCs w:val="20"/>
              </w:rPr>
              <w:tab/>
              <w:t xml:space="preserve">                                                                                        -15% </w:t>
            </w:r>
          </w:p>
          <w:p w14:paraId="078B1A0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w:t>
            </w:r>
            <w:r>
              <w:rPr>
                <w:rFonts w:ascii="Calibri" w:eastAsia="Calibri" w:hAnsi="Calibri" w:cs="Calibri"/>
                <w:color w:val="000000"/>
                <w:sz w:val="20"/>
                <w:szCs w:val="20"/>
              </w:rPr>
              <w:tab/>
              <w:t>Nakłady inwestycyjne</w:t>
            </w:r>
            <w:r>
              <w:rPr>
                <w:rFonts w:ascii="Calibri" w:eastAsia="Calibri" w:hAnsi="Calibri" w:cs="Calibri"/>
                <w:color w:val="000000"/>
                <w:sz w:val="20"/>
                <w:szCs w:val="20"/>
              </w:rPr>
              <w:tab/>
              <w:t>(w tym opóźnienia realizacji)                    +35%</w:t>
            </w:r>
          </w:p>
          <w:p w14:paraId="7E72AAE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(iii)</w:t>
            </w:r>
            <w:r>
              <w:rPr>
                <w:rFonts w:ascii="Calibri" w:eastAsia="Calibri" w:hAnsi="Calibri" w:cs="Calibri"/>
                <w:color w:val="000000"/>
                <w:sz w:val="20"/>
                <w:szCs w:val="20"/>
              </w:rPr>
              <w:tab/>
              <w:t>Koszty czasu</w:t>
            </w:r>
            <w:r>
              <w:rPr>
                <w:rFonts w:ascii="Calibri" w:eastAsia="Calibri" w:hAnsi="Calibri" w:cs="Calibri"/>
                <w:color w:val="000000"/>
                <w:sz w:val="20"/>
                <w:szCs w:val="20"/>
              </w:rPr>
              <w:tab/>
              <w:t xml:space="preserve">                                                                        -15%</w:t>
            </w:r>
          </w:p>
          <w:p w14:paraId="1012566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(iv)</w:t>
            </w:r>
            <w:r>
              <w:rPr>
                <w:rFonts w:ascii="Calibri" w:eastAsia="Calibri" w:hAnsi="Calibri" w:cs="Calibri"/>
                <w:color w:val="000000"/>
                <w:sz w:val="20"/>
                <w:szCs w:val="20"/>
              </w:rPr>
              <w:tab/>
              <w:t>Razem: SDR -15% i nakłady inwestycyjne                                              +20%</w:t>
            </w:r>
          </w:p>
          <w:p w14:paraId="2A88F1B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Wrażliwość wskaźników efektywności finansowej </w:t>
            </w:r>
          </w:p>
          <w:p w14:paraId="62AD42C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w:t>
            </w:r>
            <w:r>
              <w:rPr>
                <w:rFonts w:ascii="Calibri" w:eastAsia="Calibri" w:hAnsi="Calibri" w:cs="Calibri"/>
                <w:color w:val="000000"/>
                <w:sz w:val="20"/>
                <w:szCs w:val="20"/>
              </w:rPr>
              <w:tab/>
              <w:t>SDR</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-15%</w:t>
            </w:r>
          </w:p>
          <w:p w14:paraId="2BE7DBEF"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w:t>
            </w:r>
            <w:r>
              <w:rPr>
                <w:rFonts w:ascii="Calibri" w:eastAsia="Calibri" w:hAnsi="Calibri" w:cs="Calibri"/>
                <w:color w:val="000000"/>
                <w:sz w:val="20"/>
                <w:szCs w:val="20"/>
              </w:rPr>
              <w:tab/>
              <w:t xml:space="preserve">Poziom opłat za przejazd lub przychody z tytułu poboru opłat za przejazd </w:t>
            </w:r>
            <w:r>
              <w:rPr>
                <w:rFonts w:ascii="Calibri" w:eastAsia="Calibri" w:hAnsi="Calibri" w:cs="Calibri"/>
                <w:color w:val="000000"/>
                <w:sz w:val="20"/>
                <w:szCs w:val="20"/>
              </w:rPr>
              <w:br/>
              <w:t xml:space="preserve">                                                                                                                                   +/-10%</w:t>
            </w:r>
          </w:p>
          <w:p w14:paraId="78ED1B2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(iii)</w:t>
            </w:r>
            <w:r>
              <w:rPr>
                <w:rFonts w:ascii="Calibri" w:eastAsia="Calibri" w:hAnsi="Calibri" w:cs="Calibri"/>
                <w:color w:val="000000"/>
                <w:sz w:val="20"/>
                <w:szCs w:val="20"/>
              </w:rPr>
              <w:tab/>
              <w:t>Nakłady inwestycyjne</w:t>
            </w:r>
            <w:r>
              <w:rPr>
                <w:rFonts w:ascii="Calibri" w:eastAsia="Calibri" w:hAnsi="Calibri" w:cs="Calibri"/>
                <w:color w:val="000000"/>
                <w:sz w:val="20"/>
                <w:szCs w:val="20"/>
              </w:rPr>
              <w:tab/>
              <w:t>(w tym opóźnienia realizacji)                    +35%</w:t>
            </w:r>
          </w:p>
          <w:p w14:paraId="3B38151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(iv)</w:t>
            </w:r>
            <w:r>
              <w:rPr>
                <w:rFonts w:ascii="Calibri" w:eastAsia="Calibri" w:hAnsi="Calibri" w:cs="Calibri"/>
                <w:color w:val="000000"/>
                <w:sz w:val="20"/>
                <w:szCs w:val="20"/>
              </w:rPr>
              <w:tab/>
              <w:t xml:space="preserve">Razem: nakłady inwestycyjne +20% i przychody z tytułu opłat za przejazd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-10%</w:t>
            </w:r>
          </w:p>
          <w:p w14:paraId="718CFBE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bookmarkStart w:id="107" w:name="_heading=h.2afmg28" w:colFirst="0" w:colLast="0"/>
            <w:bookmarkEnd w:id="107"/>
            <w:r>
              <w:rPr>
                <w:rFonts w:ascii="Calibri" w:eastAsia="Calibri" w:hAnsi="Calibri" w:cs="Calibri"/>
                <w:color w:val="000000"/>
                <w:sz w:val="20"/>
                <w:szCs w:val="20"/>
              </w:rPr>
              <w:t>Uwzględniając obowiązujące polityki i cele w zakresie łagodzenia zmian klimatu, oczekuje się przeniesienia ruchu na różne środki transportu szynowego, a ogólniej na środki niskoemisyjne (oprócz ograniczenia popytu na transport). Dlatego zachęca się, w ramach analizy wrażliwości, do rozważenia dodatkowego scenariusza, w którym założone przyrosty ruchu drogowego byłyby bardzo zachowawcze (patrz wcześniejsze odniesienie do polityki pożyczkowej EBI zawartej w dokumencie ‘’</w:t>
            </w:r>
            <w:proofErr w:type="spellStart"/>
            <w:r>
              <w:rPr>
                <w:rFonts w:ascii="Calibri" w:eastAsia="Calibri" w:hAnsi="Calibri" w:cs="Calibri"/>
                <w:color w:val="000000"/>
                <w:sz w:val="20"/>
                <w:szCs w:val="20"/>
              </w:rPr>
              <w:t>Climate</w:t>
            </w:r>
            <w:proofErr w:type="spellEnd"/>
            <w:r>
              <w:rPr>
                <w:rFonts w:ascii="Calibri" w:eastAsia="Calibri" w:hAnsi="Calibri" w:cs="Calibri"/>
                <w:color w:val="000000"/>
                <w:sz w:val="20"/>
                <w:szCs w:val="20"/>
              </w:rPr>
              <w:t xml:space="preserve"> Bank </w:t>
            </w:r>
            <w:proofErr w:type="spellStart"/>
            <w:r>
              <w:rPr>
                <w:rFonts w:ascii="Calibri" w:eastAsia="Calibri" w:hAnsi="Calibri" w:cs="Calibri"/>
                <w:color w:val="000000"/>
                <w:sz w:val="20"/>
                <w:szCs w:val="20"/>
              </w:rPr>
              <w:t>Roadmap</w:t>
            </w:r>
            <w:proofErr w:type="spellEnd"/>
            <w:r>
              <w:rPr>
                <w:rFonts w:ascii="Calibri" w:eastAsia="Calibri" w:hAnsi="Calibri" w:cs="Calibri"/>
                <w:color w:val="000000"/>
                <w:sz w:val="20"/>
                <w:szCs w:val="20"/>
              </w:rPr>
              <w:t>’’), tzn. w latach 2020-2030 średni roczny przyrost ruchu drogowego na poziomie 0,9-1%, a w latach 2030-2050 0,3-0,5%.</w:t>
            </w:r>
          </w:p>
          <w:p w14:paraId="48A9894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Powyższe zmiany procentowe odnoszą się, i powinny być stosowane, do zmian wartości bezwzględnych (a nie przyrostowych) parametrów wariantu inwestycyjnego i bezinwestycyjnego projektu. W przypadku nakładów kapitałowych, zmiany powinny dotyczyć zmian nakładów tylko w wariancie inwestycyjnym.</w:t>
            </w:r>
          </w:p>
          <w:p w14:paraId="2B03CB5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Prezentacja wyników analizy wrażliwości powinna zawierać przynajmniej nazwę badanej zmiennej, zalecane założone odchylenie procentowe oraz wartość nowo obliczonego wskaźnika.</w:t>
            </w:r>
          </w:p>
          <w:p w14:paraId="4B9CE06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Zaleca się załączanie interpretacji uzyskanych wyników, aby uzasadnić, że planowana inwestycja pozostanie efektywna nawet przy istotnych odchyleniach kluczowych zmiennych. Jeżeli po uwzględnieniu badania zmiennych, projekt nadal wykazuje wymagane minimalne wskaźniki efektywności ekonomicznej (ENPV&gt; 0, ERR&gt; 4,5%), to inwestycja pozostaje ekonomicznie uzasadniona.</w:t>
            </w:r>
          </w:p>
          <w:p w14:paraId="5C59F62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przypadku, gdy wartość testowanego wskaźnika spada poniżej wymaganego poziomu (np. ENPV &lt;0; ERR&lt; 4,5%), zidentyfikowana zmienna powinna zostać poddana rozszerzonej analizie ryzyka. Rozszerzona analiza zmienności danej zmiennej powinna zawierać omówienie prawdopodobieństwa wystąpienia zmian oraz identyfikację możliwych środków zaradczych lub łagodzących.</w:t>
            </w:r>
          </w:p>
          <w:p w14:paraId="024455F7"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Scenariusze wrażliwości wskaźników efektywności ekonomicznej wspomniane powyżej, powinny być zawsze stosowane gdyż jest to zgodne z dotychczasową praktyką.</w:t>
            </w:r>
          </w:p>
          <w:p w14:paraId="12A28F85"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016889E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sensitivity analysis will be used to identify “critical” parameters i.e. those whose variations, positive or negative, have the greatest impact on project’s performance indicators. In case the implementation option has been identified at an earlier stage of the analysis, the risk analysis may be limited to only the selected investment option.</w:t>
            </w:r>
          </w:p>
          <w:p w14:paraId="22804B2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sensitivity analysis should present the following aspects:</w:t>
            </w:r>
          </w:p>
          <w:p w14:paraId="2ED0BD6A" w14:textId="77777777" w:rsidR="00600DEE" w:rsidRPr="0045151D" w:rsidRDefault="00641FB5" w:rsidP="00D5736B">
            <w:pPr>
              <w:numPr>
                <w:ilvl w:val="0"/>
                <w:numId w:val="3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Identification of the “critical” variables which are considered the ones whose ±1% variation of the base case results in corresponding variation of not less than ±1% in ENPV and FNPV (for the economic and financial analysis). The analysis is carried out by varying one element at a time (analysed variable) while the others are kept constant.</w:t>
            </w:r>
          </w:p>
          <w:p w14:paraId="18FF561A" w14:textId="77777777" w:rsidR="00600DEE" w:rsidRPr="0045151D" w:rsidRDefault="00641FB5" w:rsidP="00D5736B">
            <w:pPr>
              <w:numPr>
                <w:ilvl w:val="0"/>
                <w:numId w:val="3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the switching values which are defined as the percentage change of the analysed variable to make the NPV equal to zero. When for a given variable the switching value is relatively close to the base case value, the risk can be considered as serious and a proper mitigating measure should be included as part of the project (at preparatory, implementation or operational stage). Switching values must be calculated for, at least, traffic (AADT), CAPEX, and time savings.</w:t>
            </w:r>
          </w:p>
          <w:p w14:paraId="1696E35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Additionally, sensitivity analysis should be complemented by scenario analysis (scenarios in which one or more parameters change at the same time). Based on the best practices and Polish experiences, basic key variables have been proposed, which often are underestimated or overestimated during the project preparation stage, and at the same time, they have the greatest influence on the level of economic and financial performance indicators (ENPV, ERR, FNPV, FRR) of a road infrastructure project.</w:t>
            </w:r>
          </w:p>
          <w:p w14:paraId="359BA80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Sensitivity of economic performance indicators:</w:t>
            </w:r>
          </w:p>
          <w:p w14:paraId="2F88FD1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w:t>
            </w:r>
            <w:r w:rsidRPr="0045151D">
              <w:rPr>
                <w:rFonts w:ascii="Calibri" w:eastAsia="Calibri" w:hAnsi="Calibri" w:cs="Calibri"/>
                <w:color w:val="000000"/>
                <w:sz w:val="20"/>
                <w:szCs w:val="20"/>
                <w:lang w:val="en-GB"/>
              </w:rPr>
              <w:tab/>
              <w:t xml:space="preserve">AADT                                                                  </w:t>
            </w:r>
            <w:r w:rsidRPr="0045151D">
              <w:rPr>
                <w:rFonts w:ascii="Calibri" w:eastAsia="Calibri" w:hAnsi="Calibri" w:cs="Calibri"/>
                <w:color w:val="000000"/>
                <w:sz w:val="20"/>
                <w:szCs w:val="20"/>
                <w:lang w:val="en-GB"/>
              </w:rPr>
              <w:tab/>
              <w:t xml:space="preserve">                                - 15% </w:t>
            </w:r>
          </w:p>
          <w:p w14:paraId="3561A7C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w:t>
            </w:r>
            <w:r w:rsidRPr="0045151D">
              <w:rPr>
                <w:rFonts w:ascii="Calibri" w:eastAsia="Calibri" w:hAnsi="Calibri" w:cs="Calibri"/>
                <w:color w:val="000000"/>
                <w:sz w:val="20"/>
                <w:szCs w:val="20"/>
                <w:lang w:val="en-GB"/>
              </w:rPr>
              <w:tab/>
              <w:t>Investment expenditures (incl. implementation delays)           + 35%</w:t>
            </w:r>
          </w:p>
          <w:p w14:paraId="7E6F64D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(iii)</w:t>
            </w:r>
            <w:r w:rsidRPr="0045151D">
              <w:rPr>
                <w:rFonts w:ascii="Calibri" w:eastAsia="Calibri" w:hAnsi="Calibri" w:cs="Calibri"/>
                <w:color w:val="000000"/>
                <w:sz w:val="20"/>
                <w:szCs w:val="20"/>
                <w:lang w:val="en-GB"/>
              </w:rPr>
              <w:tab/>
              <w:t>Time costs                                                                                         -15%</w:t>
            </w:r>
          </w:p>
          <w:p w14:paraId="127DB37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(iv)</w:t>
            </w:r>
            <w:r w:rsidRPr="0045151D">
              <w:rPr>
                <w:rFonts w:ascii="Calibri" w:eastAsia="Calibri" w:hAnsi="Calibri" w:cs="Calibri"/>
                <w:color w:val="000000"/>
                <w:sz w:val="20"/>
                <w:szCs w:val="20"/>
                <w:lang w:val="en-GB"/>
              </w:rPr>
              <w:tab/>
              <w:t>Combined: AADT -15% and investment expenditures               + 20%</w:t>
            </w:r>
          </w:p>
          <w:p w14:paraId="7B5A271A" w14:textId="77777777" w:rsidR="00600DEE" w:rsidRPr="0045151D" w:rsidRDefault="00641FB5">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Sensitivity of financial performance indicators:</w:t>
            </w:r>
          </w:p>
          <w:p w14:paraId="4C9B18F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w:t>
            </w:r>
            <w:r w:rsidRPr="0045151D">
              <w:rPr>
                <w:rFonts w:ascii="Calibri" w:eastAsia="Calibri" w:hAnsi="Calibri" w:cs="Calibri"/>
                <w:color w:val="000000"/>
                <w:sz w:val="20"/>
                <w:szCs w:val="20"/>
                <w:lang w:val="en-GB"/>
              </w:rPr>
              <w:tab/>
              <w:t>AADT                                                                                                    - 15%</w:t>
            </w:r>
          </w:p>
          <w:p w14:paraId="751993C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w:t>
            </w:r>
            <w:r w:rsidRPr="0045151D">
              <w:rPr>
                <w:rFonts w:ascii="Calibri" w:eastAsia="Calibri" w:hAnsi="Calibri" w:cs="Calibri"/>
                <w:color w:val="000000"/>
                <w:sz w:val="20"/>
                <w:szCs w:val="20"/>
                <w:lang w:val="en-GB"/>
              </w:rPr>
              <w:tab/>
              <w:t>Toll level/ Toll revenues                                                                +/-10%</w:t>
            </w:r>
          </w:p>
          <w:p w14:paraId="7146D6D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(iii)</w:t>
            </w:r>
            <w:r w:rsidRPr="0045151D">
              <w:rPr>
                <w:rFonts w:ascii="Calibri" w:eastAsia="Calibri" w:hAnsi="Calibri" w:cs="Calibri"/>
                <w:color w:val="000000"/>
                <w:sz w:val="20"/>
                <w:szCs w:val="20"/>
                <w:lang w:val="en-GB"/>
              </w:rPr>
              <w:tab/>
              <w:t>Investment expenditures    (incl. implementation delays)       + 35%</w:t>
            </w:r>
          </w:p>
          <w:p w14:paraId="45ABD94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(iv)</w:t>
            </w:r>
            <w:r w:rsidRPr="0045151D">
              <w:rPr>
                <w:rFonts w:ascii="Calibri" w:eastAsia="Calibri" w:hAnsi="Calibri" w:cs="Calibri"/>
                <w:color w:val="000000"/>
                <w:sz w:val="20"/>
                <w:szCs w:val="20"/>
                <w:lang w:val="en-GB"/>
              </w:rPr>
              <w:tab/>
              <w:t>Combined:  investment expenditures + 20% and revenues from tolls</w:t>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t xml:space="preserve">               - 10%</w:t>
            </w:r>
          </w:p>
          <w:p w14:paraId="6CBB726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Considering current climate mitigation policies and objectives, it is expected to increase traffic shift to rail modes and, more generally, to low-carbon modes (in addition to reduction of transport demand). Therefore, it is encouraged to consider, as part of sensitivity analysis, an additional scenario where assumed road traffic growths would be very conservative (see reference above to EIB Climate Bank Roadmap lending policy), i.e.: from 2020-2030 a road traffic average annual growth rate (</w:t>
            </w:r>
            <w:proofErr w:type="spellStart"/>
            <w:r w:rsidRPr="0045151D">
              <w:rPr>
                <w:rFonts w:ascii="Calibri" w:eastAsia="Calibri" w:hAnsi="Calibri" w:cs="Calibri"/>
                <w:color w:val="000000"/>
                <w:sz w:val="20"/>
                <w:szCs w:val="20"/>
                <w:lang w:val="en-GB"/>
              </w:rPr>
              <w:t>a.a.g.r</w:t>
            </w:r>
            <w:proofErr w:type="spellEnd"/>
            <w:r w:rsidRPr="0045151D">
              <w:rPr>
                <w:rFonts w:ascii="Calibri" w:eastAsia="Calibri" w:hAnsi="Calibri" w:cs="Calibri"/>
                <w:color w:val="000000"/>
                <w:sz w:val="20"/>
                <w:szCs w:val="20"/>
                <w:lang w:val="en-GB"/>
              </w:rPr>
              <w:t xml:space="preserve">.) of 0.9-1%, and from 2030-2050 </w:t>
            </w:r>
            <w:proofErr w:type="spellStart"/>
            <w:r w:rsidRPr="0045151D">
              <w:rPr>
                <w:rFonts w:ascii="Calibri" w:eastAsia="Calibri" w:hAnsi="Calibri" w:cs="Calibri"/>
                <w:color w:val="000000"/>
                <w:sz w:val="20"/>
                <w:szCs w:val="20"/>
                <w:lang w:val="en-GB"/>
              </w:rPr>
              <w:t>a.a.g.r</w:t>
            </w:r>
            <w:proofErr w:type="spellEnd"/>
            <w:r w:rsidRPr="0045151D">
              <w:rPr>
                <w:rFonts w:ascii="Calibri" w:eastAsia="Calibri" w:hAnsi="Calibri" w:cs="Calibri"/>
                <w:color w:val="000000"/>
                <w:sz w:val="20"/>
                <w:szCs w:val="20"/>
                <w:lang w:val="en-GB"/>
              </w:rPr>
              <w:t>. of 0.3-0.5%.</w:t>
            </w:r>
          </w:p>
          <w:p w14:paraId="6E20ABB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proposed percentage changes relate and should be applied to the absolute (not incremental) values of the project investment and non-investment scenario. In case of capital expenditure the changes relate only to the investment scenario.</w:t>
            </w:r>
          </w:p>
          <w:p w14:paraId="766769D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presentation of results of the sensitivity analysis should include at least the name of the analysed variable, the recommended assumed percentage change and the absolute value of the tested indicator.</w:t>
            </w:r>
          </w:p>
          <w:p w14:paraId="7854FE8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recommended to provide an interpretation of the above results to show whether the planned investment is still effective, even when the key variables have changed. If, after taking into account the changed variables, the project still shows the required minimum economic efficiency indicators (ENPV &gt; 0; ERR &gt; 4,5%), the investment project will still be economically justifiable.</w:t>
            </w:r>
          </w:p>
          <w:p w14:paraId="6FB65B2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the tested variable falls below the required level (ENPV &lt; 0; ERR &lt; 4.5%), the identified variable should be subject to an extended analysis of risks in the risk analysis section. The extended analysis of possible variation in the variable should include the discussion of probability of occurrence and identification of possible remedy and/or mitigation measures.</w:t>
            </w:r>
          </w:p>
          <w:p w14:paraId="41D3278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scenarios to test economic and financial sensitivity listed above are recommended to be always carried out; this is in line with common practice so far.</w:t>
            </w:r>
          </w:p>
          <w:p w14:paraId="5CA14455" w14:textId="77777777" w:rsidR="00600DEE" w:rsidRPr="0045151D" w:rsidRDefault="00600DEE">
            <w:pPr>
              <w:spacing w:line="276" w:lineRule="auto"/>
              <w:ind w:right="170"/>
              <w:jc w:val="both"/>
              <w:rPr>
                <w:rFonts w:ascii="Calibri" w:eastAsia="Calibri" w:hAnsi="Calibri" w:cs="Calibri"/>
                <w:sz w:val="20"/>
                <w:szCs w:val="20"/>
                <w:lang w:val="en-GB"/>
              </w:rPr>
            </w:pPr>
          </w:p>
          <w:p w14:paraId="31C7513D"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r>
    </w:tbl>
    <w:p w14:paraId="5EAE0BD4" w14:textId="33371389" w:rsidR="00600DEE" w:rsidRDefault="00641FB5" w:rsidP="00D5736B">
      <w:pPr>
        <w:pStyle w:val="Nagwek2"/>
        <w:numPr>
          <w:ilvl w:val="1"/>
          <w:numId w:val="17"/>
        </w:numPr>
        <w:ind w:left="0" w:firstLine="0"/>
        <w:rPr>
          <w:rFonts w:ascii="Calibri" w:eastAsia="Calibri" w:hAnsi="Calibri" w:cs="Calibri"/>
          <w:color w:val="4F81BD"/>
        </w:rPr>
      </w:pPr>
      <w:bookmarkStart w:id="108" w:name="_Toc95378009"/>
      <w:proofErr w:type="spellStart"/>
      <w:r>
        <w:rPr>
          <w:rFonts w:ascii="Calibri" w:eastAsia="Calibri" w:hAnsi="Calibri" w:cs="Calibri"/>
          <w:color w:val="4F81BD"/>
        </w:rPr>
        <w:lastRenderedPageBreak/>
        <w:t>Analiza</w:t>
      </w:r>
      <w:proofErr w:type="spellEnd"/>
      <w:r>
        <w:rPr>
          <w:rFonts w:ascii="Calibri" w:eastAsia="Calibri" w:hAnsi="Calibri" w:cs="Calibri"/>
          <w:color w:val="4F81BD"/>
        </w:rPr>
        <w:t xml:space="preserve"> </w:t>
      </w:r>
      <w:proofErr w:type="spellStart"/>
      <w:r>
        <w:rPr>
          <w:rFonts w:ascii="Calibri" w:eastAsia="Calibri" w:hAnsi="Calibri" w:cs="Calibri"/>
          <w:color w:val="4F81BD"/>
        </w:rPr>
        <w:t>ryzyka</w:t>
      </w:r>
      <w:proofErr w:type="spellEnd"/>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4.2</w:t>
      </w:r>
      <w:r>
        <w:rPr>
          <w:rFonts w:ascii="Calibri" w:eastAsia="Calibri" w:hAnsi="Calibri" w:cs="Calibri"/>
          <w:color w:val="4F81BD"/>
        </w:rPr>
        <w:t xml:space="preserve">   </w:t>
      </w:r>
      <w:r>
        <w:rPr>
          <w:rFonts w:ascii="Calibri" w:eastAsia="Calibri" w:hAnsi="Calibri" w:cs="Calibri"/>
          <w:i/>
          <w:color w:val="4F81BD"/>
        </w:rPr>
        <w:t>Risk analysis</w:t>
      </w:r>
      <w:bookmarkEnd w:id="108"/>
    </w:p>
    <w:tbl>
      <w:tblPr>
        <w:tblStyle w:val="afffffff7"/>
        <w:tblW w:w="14571" w:type="dxa"/>
        <w:tblLayout w:type="fixed"/>
        <w:tblLook w:val="0400" w:firstRow="0" w:lastRow="0" w:firstColumn="0" w:lastColumn="0" w:noHBand="0" w:noVBand="1"/>
      </w:tblPr>
      <w:tblGrid>
        <w:gridCol w:w="7370"/>
        <w:gridCol w:w="7201"/>
      </w:tblGrid>
      <w:tr w:rsidR="00600DEE" w:rsidRPr="007463B9" w14:paraId="570CE4C5" w14:textId="77777777" w:rsidTr="000A249F">
        <w:tc>
          <w:tcPr>
            <w:tcW w:w="7370" w:type="dxa"/>
            <w:tcBorders>
              <w:right w:val="single" w:sz="4" w:space="0" w:color="000000"/>
            </w:tcBorders>
            <w:tcMar>
              <w:left w:w="284" w:type="dxa"/>
              <w:right w:w="284" w:type="dxa"/>
            </w:tcMar>
            <w:vAlign w:val="center"/>
          </w:tcPr>
          <w:p w14:paraId="5608B2D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Rekomendowany zakres analizy ryzyka obejmuje następujące etapy:</w:t>
            </w:r>
          </w:p>
          <w:p w14:paraId="26C1880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Identyfikacja ryzyka</w:t>
            </w:r>
          </w:p>
          <w:p w14:paraId="698BFE3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Analiza jakościowa ryzyka</w:t>
            </w:r>
          </w:p>
          <w:p w14:paraId="3AA421A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Działania zaradcze i ich alokacja</w:t>
            </w:r>
          </w:p>
          <w:p w14:paraId="45ABDACF"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Monitorowanie</w:t>
            </w:r>
          </w:p>
          <w:p w14:paraId="6CF61A8D"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Analiza ilościowa ryzyka (w przypadkach opisanych poniżej)</w:t>
            </w:r>
          </w:p>
          <w:p w14:paraId="38658DE2" w14:textId="04D98872"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Metodyka przeprowadzenia analiz w wyżej wymienionych etapach została opisana poniżej. Wyniki analiz powinny być przedstawione w formie tabelarycznej, z wykorzystaniem wzorów tabel podanych w ostatnim rozdziale dotyczącym analizy ryzyka, a także zawierać opis wyników.</w:t>
            </w:r>
          </w:p>
          <w:p w14:paraId="28542BA6" w14:textId="77777777" w:rsidR="00FD2E0C" w:rsidRDefault="00FD2E0C">
            <w:pPr>
              <w:pBdr>
                <w:top w:val="nil"/>
                <w:left w:val="nil"/>
                <w:bottom w:val="nil"/>
                <w:right w:val="nil"/>
                <w:between w:val="nil"/>
              </w:pBdr>
              <w:spacing w:before="120"/>
              <w:jc w:val="both"/>
              <w:rPr>
                <w:rFonts w:ascii="Calibri" w:eastAsia="Calibri" w:hAnsi="Calibri" w:cs="Calibri"/>
                <w:color w:val="000000"/>
                <w:sz w:val="20"/>
                <w:szCs w:val="20"/>
              </w:rPr>
            </w:pPr>
          </w:p>
          <w:p w14:paraId="2B00D7EB"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09" w:name="_heading=h.39kk8xu" w:colFirst="0" w:colLast="0"/>
            <w:bookmarkEnd w:id="109"/>
            <w:r>
              <w:rPr>
                <w:rFonts w:ascii="Calibri" w:eastAsia="Calibri" w:hAnsi="Calibri" w:cs="Calibri"/>
                <w:b/>
                <w:color w:val="000000"/>
                <w:sz w:val="20"/>
                <w:szCs w:val="20"/>
              </w:rPr>
              <w:t>Identyfikacja ryzyka</w:t>
            </w:r>
          </w:p>
          <w:p w14:paraId="5A680A6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Beneficjent powinien zidentyfikować wszystkie czynniki ryzyka, które mogłyby mieć wpływ na projekt. Kilka najczęściej występujących czynników ryzyka dla projektów infrastruktury drogowej wyszczególniono w poniższej tabeli. Dla każdego ryzyka należy zidentyfikować, czy ryzyko to jest uważane za „aktywne”, tzn. identyfikowalne i istotne dla projektu na obecnym etapie analizy. Jeśli ryzyko jest „nieaktywne”, należy krótko wyjaśnić przyczynę nieaktywności. W przypadku zidentyfikowania ryzyka jako aktywnego dla projektu, należy przeprowadzić dalszą szczegółową analizę jakościową takiego ryzyka.</w:t>
            </w:r>
          </w:p>
          <w:p w14:paraId="64647F9D"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E809494" w14:textId="7B1261DB"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B41112A" w14:textId="5A3C1C72" w:rsidR="00FD2E0C" w:rsidRDefault="00FD2E0C">
            <w:pPr>
              <w:pBdr>
                <w:top w:val="nil"/>
                <w:left w:val="nil"/>
                <w:bottom w:val="nil"/>
                <w:right w:val="nil"/>
                <w:between w:val="nil"/>
              </w:pBdr>
              <w:spacing w:before="120"/>
              <w:jc w:val="both"/>
              <w:rPr>
                <w:rFonts w:ascii="Calibri" w:eastAsia="Calibri" w:hAnsi="Calibri" w:cs="Calibri"/>
                <w:color w:val="000000"/>
                <w:sz w:val="20"/>
                <w:szCs w:val="20"/>
              </w:rPr>
            </w:pPr>
          </w:p>
          <w:p w14:paraId="5B793123" w14:textId="77777777" w:rsidR="00FD2E0C" w:rsidRDefault="00FD2E0C">
            <w:pPr>
              <w:pBdr>
                <w:top w:val="nil"/>
                <w:left w:val="nil"/>
                <w:bottom w:val="nil"/>
                <w:right w:val="nil"/>
                <w:between w:val="nil"/>
              </w:pBdr>
              <w:spacing w:before="120"/>
              <w:jc w:val="both"/>
              <w:rPr>
                <w:rFonts w:ascii="Calibri" w:eastAsia="Calibri" w:hAnsi="Calibri" w:cs="Calibri"/>
                <w:color w:val="000000"/>
                <w:sz w:val="20"/>
                <w:szCs w:val="20"/>
              </w:rPr>
            </w:pPr>
          </w:p>
          <w:p w14:paraId="25D0FD36" w14:textId="060580A4" w:rsidR="00600DEE" w:rsidRDefault="00B67038">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31</w:t>
            </w:r>
            <w:r w:rsidR="00641FB5">
              <w:rPr>
                <w:rFonts w:ascii="Calibri" w:eastAsia="Calibri" w:hAnsi="Calibri" w:cs="Calibri"/>
                <w:b/>
                <w:color w:val="4F81BD"/>
                <w:sz w:val="20"/>
                <w:szCs w:val="20"/>
              </w:rPr>
              <w:t>. Identyfikacja ryzyka</w:t>
            </w:r>
          </w:p>
          <w:tbl>
            <w:tblPr>
              <w:tblStyle w:val="afffffff8"/>
              <w:tblW w:w="6984" w:type="dxa"/>
              <w:tblLayout w:type="fixed"/>
              <w:tblLook w:val="0000" w:firstRow="0" w:lastRow="0" w:firstColumn="0" w:lastColumn="0" w:noHBand="0" w:noVBand="0"/>
            </w:tblPr>
            <w:tblGrid>
              <w:gridCol w:w="3630"/>
              <w:gridCol w:w="1941"/>
              <w:gridCol w:w="1413"/>
            </w:tblGrid>
            <w:tr w:rsidR="00600DEE" w14:paraId="71CF23B7" w14:textId="77777777" w:rsidTr="0079382E">
              <w:trPr>
                <w:trHeight w:hRule="exact" w:val="674"/>
              </w:trPr>
              <w:tc>
                <w:tcPr>
                  <w:tcW w:w="3630" w:type="dxa"/>
                  <w:tcBorders>
                    <w:top w:val="single" w:sz="4" w:space="0" w:color="FFFFFF"/>
                    <w:left w:val="single" w:sz="4" w:space="0" w:color="FFFFFF"/>
                    <w:bottom w:val="single" w:sz="4" w:space="0" w:color="FFFFFF"/>
                  </w:tcBorders>
                  <w:shd w:val="clear" w:color="auto" w:fill="A6A6A6"/>
                  <w:vAlign w:val="center"/>
                </w:tcPr>
                <w:p w14:paraId="5D8EB571"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Nazwa ryzyka</w:t>
                  </w:r>
                </w:p>
              </w:tc>
              <w:tc>
                <w:tcPr>
                  <w:tcW w:w="194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6D38C10"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Status ryzyka (aktywne/nieaktywne)</w:t>
                  </w:r>
                </w:p>
              </w:tc>
              <w:tc>
                <w:tcPr>
                  <w:tcW w:w="14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CB11DC0"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Jeśli nieaktywne, dlaczego:</w:t>
                  </w:r>
                </w:p>
              </w:tc>
            </w:tr>
            <w:tr w:rsidR="00600DEE" w14:paraId="6AEAC014" w14:textId="77777777" w:rsidTr="0079382E">
              <w:trPr>
                <w:trHeight w:hRule="exact" w:val="787"/>
              </w:trPr>
              <w:tc>
                <w:tcPr>
                  <w:tcW w:w="3630" w:type="dxa"/>
                  <w:tcBorders>
                    <w:left w:val="single" w:sz="4" w:space="0" w:color="FFFFFF"/>
                    <w:bottom w:val="single" w:sz="4" w:space="0" w:color="FFFFFF"/>
                  </w:tcBorders>
                  <w:shd w:val="clear" w:color="auto" w:fill="DBE5F1"/>
                </w:tcPr>
                <w:p w14:paraId="329A22EF"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popytowe:</w:t>
                  </w:r>
                </w:p>
                <w:p w14:paraId="5E3B039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Poziom ruchu niższy niż prognozowany</w:t>
                  </w:r>
                </w:p>
              </w:tc>
              <w:tc>
                <w:tcPr>
                  <w:tcW w:w="1941" w:type="dxa"/>
                  <w:tcBorders>
                    <w:left w:val="single" w:sz="4" w:space="0" w:color="FFFFFF"/>
                    <w:bottom w:val="single" w:sz="4" w:space="0" w:color="FFFFFF"/>
                    <w:right w:val="single" w:sz="4" w:space="0" w:color="FFFFFF"/>
                  </w:tcBorders>
                  <w:shd w:val="clear" w:color="auto" w:fill="DBE5F1"/>
                </w:tcPr>
                <w:p w14:paraId="1906813E"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2998EDE2" w14:textId="77777777" w:rsidR="00600DEE" w:rsidRDefault="00600DEE">
                  <w:pPr>
                    <w:jc w:val="center"/>
                    <w:rPr>
                      <w:rFonts w:ascii="Calibri" w:eastAsia="Calibri" w:hAnsi="Calibri" w:cs="Calibri"/>
                      <w:color w:val="4F81BD"/>
                      <w:sz w:val="17"/>
                      <w:szCs w:val="17"/>
                    </w:rPr>
                  </w:pPr>
                </w:p>
              </w:tc>
            </w:tr>
            <w:tr w:rsidR="00600DEE" w14:paraId="65136146" w14:textId="77777777" w:rsidTr="0079382E">
              <w:trPr>
                <w:trHeight w:val="1125"/>
              </w:trPr>
              <w:tc>
                <w:tcPr>
                  <w:tcW w:w="3630" w:type="dxa"/>
                  <w:tcBorders>
                    <w:left w:val="single" w:sz="4" w:space="0" w:color="FFFFFF"/>
                    <w:bottom w:val="single" w:sz="4" w:space="0" w:color="FFFFFF"/>
                  </w:tcBorders>
                  <w:shd w:val="clear" w:color="auto" w:fill="DBE5F1"/>
                </w:tcPr>
                <w:p w14:paraId="4AD7BC52"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związane z projektowaniem:</w:t>
                  </w:r>
                </w:p>
                <w:p w14:paraId="516075C5"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Niedostateczne wizje lokalne i inwentaryzacja</w:t>
                  </w:r>
                </w:p>
                <w:p w14:paraId="7C92FA8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Niedoszacowanie kosztu projektowania</w:t>
                  </w:r>
                </w:p>
                <w:p w14:paraId="2DA2FA52" w14:textId="77777777" w:rsidR="00600DEE" w:rsidRDefault="00641FB5">
                  <w:pPr>
                    <w:rPr>
                      <w:rFonts w:ascii="Calibri" w:eastAsia="Calibri" w:hAnsi="Calibri" w:cs="Calibri"/>
                      <w:b/>
                      <w:color w:val="4F81BD"/>
                      <w:sz w:val="17"/>
                      <w:szCs w:val="17"/>
                    </w:rPr>
                  </w:pPr>
                  <w:r>
                    <w:rPr>
                      <w:rFonts w:ascii="Calibri" w:eastAsia="Calibri" w:hAnsi="Calibri" w:cs="Calibri"/>
                      <w:color w:val="4F81BD"/>
                      <w:sz w:val="17"/>
                      <w:szCs w:val="17"/>
                    </w:rPr>
                    <w:t>Błędy w projektowaniu</w:t>
                  </w:r>
                </w:p>
              </w:tc>
              <w:tc>
                <w:tcPr>
                  <w:tcW w:w="1941" w:type="dxa"/>
                  <w:tcBorders>
                    <w:left w:val="single" w:sz="4" w:space="0" w:color="FFFFFF"/>
                    <w:bottom w:val="single" w:sz="4" w:space="0" w:color="FFFFFF"/>
                    <w:right w:val="single" w:sz="4" w:space="0" w:color="FFFFFF"/>
                  </w:tcBorders>
                  <w:shd w:val="clear" w:color="auto" w:fill="DBE5F1"/>
                </w:tcPr>
                <w:p w14:paraId="6069E272"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59211444" w14:textId="77777777" w:rsidR="00600DEE" w:rsidRDefault="00600DEE">
                  <w:pPr>
                    <w:jc w:val="center"/>
                    <w:rPr>
                      <w:rFonts w:ascii="Calibri" w:eastAsia="Calibri" w:hAnsi="Calibri" w:cs="Calibri"/>
                      <w:color w:val="4F81BD"/>
                      <w:sz w:val="17"/>
                      <w:szCs w:val="17"/>
                    </w:rPr>
                  </w:pPr>
                </w:p>
              </w:tc>
            </w:tr>
            <w:tr w:rsidR="00600DEE" w14:paraId="467F15FE" w14:textId="77777777" w:rsidTr="0079382E">
              <w:trPr>
                <w:trHeight w:val="2250"/>
              </w:trPr>
              <w:tc>
                <w:tcPr>
                  <w:tcW w:w="3630" w:type="dxa"/>
                  <w:tcBorders>
                    <w:left w:val="single" w:sz="4" w:space="0" w:color="FFFFFF"/>
                    <w:bottom w:val="single" w:sz="4" w:space="0" w:color="FFFFFF"/>
                  </w:tcBorders>
                  <w:shd w:val="clear" w:color="auto" w:fill="DBE5F1"/>
                </w:tcPr>
                <w:p w14:paraId="33879BD6"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administracyjne (pozwolenia)</w:t>
                  </w:r>
                </w:p>
                <w:p w14:paraId="74723FAC"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Opóźnienia w uzyskiwaniu pozwoleń na realizację inwestycji (np. na budowę)</w:t>
                  </w:r>
                </w:p>
                <w:p w14:paraId="5E01AF01"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 xml:space="preserve">Opóźnienia związane z podłączeniem do sieci dystrybucyjnych </w:t>
                  </w:r>
                </w:p>
                <w:p w14:paraId="01A3AD95"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Opóźnienia w uzyskiwaniu decyzji środowiskowych</w:t>
                  </w:r>
                </w:p>
                <w:p w14:paraId="7F46D609"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Opóźnienia w usuwaniu kolizji z sieciami dystrybucyjnymi</w:t>
                  </w:r>
                </w:p>
              </w:tc>
              <w:tc>
                <w:tcPr>
                  <w:tcW w:w="1941" w:type="dxa"/>
                  <w:tcBorders>
                    <w:left w:val="single" w:sz="4" w:space="0" w:color="FFFFFF"/>
                    <w:bottom w:val="single" w:sz="4" w:space="0" w:color="FFFFFF"/>
                    <w:right w:val="single" w:sz="4" w:space="0" w:color="FFFFFF"/>
                  </w:tcBorders>
                  <w:shd w:val="clear" w:color="auto" w:fill="DBE5F1"/>
                </w:tcPr>
                <w:p w14:paraId="5B8E1E37"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762A0E9A" w14:textId="77777777" w:rsidR="00600DEE" w:rsidRDefault="00600DEE">
                  <w:pPr>
                    <w:jc w:val="center"/>
                    <w:rPr>
                      <w:rFonts w:ascii="Calibri" w:eastAsia="Calibri" w:hAnsi="Calibri" w:cs="Calibri"/>
                      <w:color w:val="4F81BD"/>
                      <w:sz w:val="17"/>
                      <w:szCs w:val="17"/>
                    </w:rPr>
                  </w:pPr>
                </w:p>
              </w:tc>
            </w:tr>
            <w:tr w:rsidR="00600DEE" w14:paraId="4A39A238" w14:textId="77777777" w:rsidTr="0079382E">
              <w:trPr>
                <w:trHeight w:hRule="exact" w:val="674"/>
              </w:trPr>
              <w:tc>
                <w:tcPr>
                  <w:tcW w:w="3630" w:type="dxa"/>
                  <w:tcBorders>
                    <w:left w:val="single" w:sz="4" w:space="0" w:color="FFFFFF"/>
                    <w:bottom w:val="single" w:sz="4" w:space="0" w:color="FFFFFF"/>
                  </w:tcBorders>
                  <w:shd w:val="clear" w:color="auto" w:fill="DBE5F1"/>
                </w:tcPr>
                <w:p w14:paraId="147B886B"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związane z nabyciem gruntów</w:t>
                  </w:r>
                </w:p>
                <w:p w14:paraId="622D2DDC"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Koszty gruntów wyższe, niż planowane</w:t>
                  </w:r>
                </w:p>
                <w:p w14:paraId="4F0124A4"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 xml:space="preserve">Opóźnienia w realizacji procedur </w:t>
                  </w:r>
                </w:p>
                <w:p w14:paraId="42486CF0" w14:textId="77777777" w:rsidR="000A249F" w:rsidRDefault="000A249F">
                  <w:pPr>
                    <w:rPr>
                      <w:rFonts w:ascii="Calibri" w:eastAsia="Calibri" w:hAnsi="Calibri" w:cs="Calibri"/>
                      <w:color w:val="4F81BD"/>
                      <w:sz w:val="17"/>
                      <w:szCs w:val="17"/>
                    </w:rPr>
                  </w:pPr>
                </w:p>
                <w:p w14:paraId="7A454B94" w14:textId="79E7878F" w:rsidR="000A249F" w:rsidRDefault="000A249F">
                  <w:pPr>
                    <w:rPr>
                      <w:rFonts w:ascii="Calibri" w:eastAsia="Calibri" w:hAnsi="Calibri" w:cs="Calibri"/>
                      <w:color w:val="4F81BD"/>
                      <w:sz w:val="17"/>
                      <w:szCs w:val="17"/>
                    </w:rPr>
                  </w:pPr>
                </w:p>
              </w:tc>
              <w:tc>
                <w:tcPr>
                  <w:tcW w:w="1941" w:type="dxa"/>
                  <w:tcBorders>
                    <w:left w:val="single" w:sz="4" w:space="0" w:color="FFFFFF"/>
                    <w:bottom w:val="single" w:sz="4" w:space="0" w:color="FFFFFF"/>
                    <w:right w:val="single" w:sz="4" w:space="0" w:color="FFFFFF"/>
                  </w:tcBorders>
                  <w:shd w:val="clear" w:color="auto" w:fill="DBE5F1"/>
                </w:tcPr>
                <w:p w14:paraId="4F7153DE"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49AB4317" w14:textId="77777777" w:rsidR="00600DEE" w:rsidRDefault="00600DEE">
                  <w:pPr>
                    <w:jc w:val="center"/>
                    <w:rPr>
                      <w:rFonts w:ascii="Calibri" w:eastAsia="Calibri" w:hAnsi="Calibri" w:cs="Calibri"/>
                      <w:color w:val="4F81BD"/>
                      <w:sz w:val="17"/>
                      <w:szCs w:val="17"/>
                    </w:rPr>
                  </w:pPr>
                </w:p>
              </w:tc>
            </w:tr>
            <w:tr w:rsidR="00600DEE" w14:paraId="595B5C83" w14:textId="77777777" w:rsidTr="0079382E">
              <w:trPr>
                <w:trHeight w:hRule="exact" w:val="674"/>
              </w:trPr>
              <w:tc>
                <w:tcPr>
                  <w:tcW w:w="3630" w:type="dxa"/>
                  <w:tcBorders>
                    <w:left w:val="single" w:sz="4" w:space="0" w:color="FFFFFF"/>
                    <w:bottom w:val="single" w:sz="4" w:space="0" w:color="FFFFFF"/>
                  </w:tcBorders>
                  <w:shd w:val="clear" w:color="auto" w:fill="DBE5F1"/>
                </w:tcPr>
                <w:p w14:paraId="20112885"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 xml:space="preserve">Ryzyka związane z zamówieniami </w:t>
                  </w:r>
                </w:p>
                <w:p w14:paraId="3BA06EF8"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 xml:space="preserve">Opóźnienia w realizacji procedur </w:t>
                  </w:r>
                </w:p>
                <w:p w14:paraId="47F2AEAD" w14:textId="77777777" w:rsidR="000A249F" w:rsidRDefault="000A249F">
                  <w:pPr>
                    <w:rPr>
                      <w:rFonts w:ascii="Calibri" w:eastAsia="Calibri" w:hAnsi="Calibri" w:cs="Calibri"/>
                      <w:color w:val="4F81BD"/>
                      <w:sz w:val="17"/>
                      <w:szCs w:val="17"/>
                    </w:rPr>
                  </w:pPr>
                </w:p>
                <w:p w14:paraId="4D4C388D" w14:textId="7593F388" w:rsidR="000A249F" w:rsidRDefault="000A249F">
                  <w:pPr>
                    <w:rPr>
                      <w:rFonts w:ascii="Calibri" w:eastAsia="Calibri" w:hAnsi="Calibri" w:cs="Calibri"/>
                      <w:color w:val="4F81BD"/>
                      <w:sz w:val="17"/>
                      <w:szCs w:val="17"/>
                    </w:rPr>
                  </w:pPr>
                </w:p>
              </w:tc>
              <w:tc>
                <w:tcPr>
                  <w:tcW w:w="1941" w:type="dxa"/>
                  <w:tcBorders>
                    <w:left w:val="single" w:sz="4" w:space="0" w:color="FFFFFF"/>
                    <w:bottom w:val="single" w:sz="4" w:space="0" w:color="FFFFFF"/>
                    <w:right w:val="single" w:sz="4" w:space="0" w:color="FFFFFF"/>
                  </w:tcBorders>
                  <w:shd w:val="clear" w:color="auto" w:fill="DBE5F1"/>
                </w:tcPr>
                <w:p w14:paraId="002268F2"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4320B8B9" w14:textId="77777777" w:rsidR="00600DEE" w:rsidRDefault="00600DEE">
                  <w:pPr>
                    <w:jc w:val="center"/>
                    <w:rPr>
                      <w:rFonts w:ascii="Calibri" w:eastAsia="Calibri" w:hAnsi="Calibri" w:cs="Calibri"/>
                      <w:color w:val="4F81BD"/>
                      <w:sz w:val="17"/>
                      <w:szCs w:val="17"/>
                    </w:rPr>
                  </w:pPr>
                </w:p>
              </w:tc>
            </w:tr>
            <w:tr w:rsidR="00600DEE" w14:paraId="12EF364E" w14:textId="77777777" w:rsidTr="0079382E">
              <w:trPr>
                <w:trHeight w:val="2250"/>
              </w:trPr>
              <w:tc>
                <w:tcPr>
                  <w:tcW w:w="3630" w:type="dxa"/>
                  <w:tcBorders>
                    <w:left w:val="single" w:sz="4" w:space="0" w:color="FFFFFF"/>
                    <w:bottom w:val="single" w:sz="4" w:space="0" w:color="FFFFFF"/>
                  </w:tcBorders>
                  <w:shd w:val="clear" w:color="auto" w:fill="DBE5F1"/>
                </w:tcPr>
                <w:p w14:paraId="20F8E482"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związane z wykonaniem robót</w:t>
                  </w:r>
                </w:p>
                <w:p w14:paraId="07631DAE"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Przekroczenie budżetu nakładów inwestycyjnych</w:t>
                  </w:r>
                </w:p>
                <w:p w14:paraId="00765682"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geologiczne (nieoczekiwane niekorzystne warunki gruntowe, osunięcia terenu, itp.)</w:t>
                  </w:r>
                </w:p>
                <w:p w14:paraId="56E178D7"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klimatyczne (opady, mrozy,  zmiany temperatury, itp.)</w:t>
                  </w:r>
                </w:p>
                <w:p w14:paraId="22E5B21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archeologiczne (wykopaliska)</w:t>
                  </w:r>
                </w:p>
                <w:p w14:paraId="60EED7F4"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związane z wykonawcą (bankructwo, brak wystarczających zasobów, itp.)</w:t>
                  </w:r>
                </w:p>
                <w:p w14:paraId="45DF882D" w14:textId="77777777" w:rsidR="00600DEE" w:rsidRDefault="00600DEE">
                  <w:pPr>
                    <w:rPr>
                      <w:rFonts w:ascii="Calibri" w:eastAsia="Calibri" w:hAnsi="Calibri" w:cs="Calibri"/>
                      <w:color w:val="4F81BD"/>
                      <w:sz w:val="17"/>
                      <w:szCs w:val="17"/>
                    </w:rPr>
                  </w:pPr>
                </w:p>
              </w:tc>
              <w:tc>
                <w:tcPr>
                  <w:tcW w:w="1941" w:type="dxa"/>
                  <w:tcBorders>
                    <w:left w:val="single" w:sz="4" w:space="0" w:color="FFFFFF"/>
                    <w:bottom w:val="single" w:sz="4" w:space="0" w:color="FFFFFF"/>
                    <w:right w:val="single" w:sz="4" w:space="0" w:color="FFFFFF"/>
                  </w:tcBorders>
                  <w:shd w:val="clear" w:color="auto" w:fill="DBE5F1"/>
                </w:tcPr>
                <w:p w14:paraId="2B780CB4"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378C0D83" w14:textId="77777777" w:rsidR="00600DEE" w:rsidRDefault="00600DEE">
                  <w:pPr>
                    <w:jc w:val="center"/>
                    <w:rPr>
                      <w:rFonts w:ascii="Calibri" w:eastAsia="Calibri" w:hAnsi="Calibri" w:cs="Calibri"/>
                      <w:color w:val="4F81BD"/>
                      <w:sz w:val="17"/>
                      <w:szCs w:val="17"/>
                    </w:rPr>
                  </w:pPr>
                </w:p>
              </w:tc>
            </w:tr>
            <w:tr w:rsidR="00600DEE" w14:paraId="0E312679" w14:textId="77777777" w:rsidTr="0079382E">
              <w:trPr>
                <w:trHeight w:val="411"/>
              </w:trPr>
              <w:tc>
                <w:tcPr>
                  <w:tcW w:w="3630" w:type="dxa"/>
                  <w:tcBorders>
                    <w:top w:val="single" w:sz="4" w:space="0" w:color="FFFFFF"/>
                    <w:left w:val="single" w:sz="4" w:space="0" w:color="FFFFFF"/>
                    <w:bottom w:val="single" w:sz="4" w:space="0" w:color="FFFFFF"/>
                  </w:tcBorders>
                  <w:shd w:val="clear" w:color="auto" w:fill="A6A6A6"/>
                  <w:vAlign w:val="center"/>
                </w:tcPr>
                <w:p w14:paraId="7E030E65"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lastRenderedPageBreak/>
                    <w:t>Nazwa ryzyka</w:t>
                  </w:r>
                </w:p>
              </w:tc>
              <w:tc>
                <w:tcPr>
                  <w:tcW w:w="194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64C4482"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Status ryzyka (aktywne/nieaktywne)</w:t>
                  </w:r>
                </w:p>
              </w:tc>
              <w:tc>
                <w:tcPr>
                  <w:tcW w:w="14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6ED06F8"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Jeśli nieaktywne, dlaczego:</w:t>
                  </w:r>
                </w:p>
              </w:tc>
            </w:tr>
            <w:tr w:rsidR="00600DEE" w14:paraId="5CFD00B2" w14:textId="77777777" w:rsidTr="0079382E">
              <w:trPr>
                <w:trHeight w:val="1125"/>
              </w:trPr>
              <w:tc>
                <w:tcPr>
                  <w:tcW w:w="3630" w:type="dxa"/>
                  <w:tcBorders>
                    <w:left w:val="single" w:sz="4" w:space="0" w:color="FFFFFF"/>
                    <w:bottom w:val="single" w:sz="4" w:space="0" w:color="FFFFFF"/>
                  </w:tcBorders>
                  <w:shd w:val="clear" w:color="auto" w:fill="DBE5F1"/>
                  <w:vAlign w:val="center"/>
                </w:tcPr>
                <w:p w14:paraId="0E9DA349"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operacyjne</w:t>
                  </w:r>
                </w:p>
                <w:p w14:paraId="508DEB41"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Przekroczenie budżetu kosztów operacyjnych</w:t>
                  </w:r>
                </w:p>
                <w:p w14:paraId="6F86FE3E"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klimatyczne (gwałtowne powodzie, nadzwyczajne upały, ulewy, opady śniegu, itp.)</w:t>
                  </w:r>
                </w:p>
              </w:tc>
              <w:tc>
                <w:tcPr>
                  <w:tcW w:w="1941" w:type="dxa"/>
                  <w:tcBorders>
                    <w:left w:val="single" w:sz="4" w:space="0" w:color="FFFFFF"/>
                    <w:bottom w:val="single" w:sz="4" w:space="0" w:color="FFFFFF"/>
                    <w:right w:val="single" w:sz="4" w:space="0" w:color="FFFFFF"/>
                  </w:tcBorders>
                  <w:shd w:val="clear" w:color="auto" w:fill="DBE5F1"/>
                  <w:vAlign w:val="center"/>
                </w:tcPr>
                <w:p w14:paraId="28D4845D"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7BE6B6BA" w14:textId="77777777" w:rsidR="00600DEE" w:rsidRDefault="00600DEE">
                  <w:pPr>
                    <w:jc w:val="center"/>
                    <w:rPr>
                      <w:rFonts w:ascii="Calibri" w:eastAsia="Calibri" w:hAnsi="Calibri" w:cs="Calibri"/>
                      <w:color w:val="4F81BD"/>
                      <w:sz w:val="17"/>
                      <w:szCs w:val="17"/>
                    </w:rPr>
                  </w:pPr>
                </w:p>
              </w:tc>
            </w:tr>
            <w:tr w:rsidR="00600DEE" w14:paraId="71E7012D" w14:textId="77777777" w:rsidTr="0079382E">
              <w:trPr>
                <w:trHeight w:val="899"/>
              </w:trPr>
              <w:tc>
                <w:tcPr>
                  <w:tcW w:w="3630" w:type="dxa"/>
                  <w:tcBorders>
                    <w:left w:val="single" w:sz="4" w:space="0" w:color="FFFFFF"/>
                    <w:bottom w:val="single" w:sz="4" w:space="0" w:color="FFFFFF"/>
                  </w:tcBorders>
                  <w:shd w:val="clear" w:color="auto" w:fill="DBE5F1"/>
                  <w:vAlign w:val="center"/>
                </w:tcPr>
                <w:p w14:paraId="711081B4"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regulacyjne:</w:t>
                  </w:r>
                </w:p>
                <w:p w14:paraId="214CDCD0"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Zmiany w przepisach prawnych dotyczących ochrony środowiska</w:t>
                  </w:r>
                </w:p>
              </w:tc>
              <w:tc>
                <w:tcPr>
                  <w:tcW w:w="1941" w:type="dxa"/>
                  <w:tcBorders>
                    <w:left w:val="single" w:sz="4" w:space="0" w:color="FFFFFF"/>
                    <w:bottom w:val="single" w:sz="4" w:space="0" w:color="FFFFFF"/>
                    <w:right w:val="single" w:sz="4" w:space="0" w:color="FFFFFF"/>
                  </w:tcBorders>
                  <w:shd w:val="clear" w:color="auto" w:fill="DBE5F1"/>
                  <w:vAlign w:val="center"/>
                </w:tcPr>
                <w:p w14:paraId="1CBFEC4F"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09D956E3" w14:textId="77777777" w:rsidR="00600DEE" w:rsidRDefault="00600DEE">
                  <w:pPr>
                    <w:jc w:val="center"/>
                    <w:rPr>
                      <w:rFonts w:ascii="Calibri" w:eastAsia="Calibri" w:hAnsi="Calibri" w:cs="Calibri"/>
                      <w:color w:val="4F81BD"/>
                      <w:sz w:val="17"/>
                      <w:szCs w:val="17"/>
                    </w:rPr>
                  </w:pPr>
                </w:p>
              </w:tc>
            </w:tr>
            <w:tr w:rsidR="00600DEE" w14:paraId="72BD7587" w14:textId="77777777" w:rsidTr="00482C1E">
              <w:trPr>
                <w:trHeight w:val="1664"/>
              </w:trPr>
              <w:tc>
                <w:tcPr>
                  <w:tcW w:w="3630" w:type="dxa"/>
                  <w:tcBorders>
                    <w:left w:val="single" w:sz="4" w:space="0" w:color="FFFFFF"/>
                    <w:bottom w:val="single" w:sz="4" w:space="0" w:color="FFFFFF"/>
                  </w:tcBorders>
                  <w:shd w:val="clear" w:color="auto" w:fill="DBE5F1"/>
                  <w:vAlign w:val="center"/>
                </w:tcPr>
                <w:p w14:paraId="46251CD3"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finansowe:</w:t>
                  </w:r>
                </w:p>
                <w:p w14:paraId="18CF9FB3"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Dostępność środków krajowych na finansowanie nakładów inwestycyjnych</w:t>
                  </w:r>
                </w:p>
                <w:p w14:paraId="702E4FB8"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Dostępność środków krajowych na finansowanie kosztów operacyjnych</w:t>
                  </w:r>
                </w:p>
                <w:p w14:paraId="3BB540C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Wzrost kosztów finansowania</w:t>
                  </w:r>
                </w:p>
              </w:tc>
              <w:tc>
                <w:tcPr>
                  <w:tcW w:w="1941" w:type="dxa"/>
                  <w:tcBorders>
                    <w:left w:val="single" w:sz="4" w:space="0" w:color="FFFFFF"/>
                    <w:bottom w:val="single" w:sz="4" w:space="0" w:color="FFFFFF"/>
                    <w:right w:val="single" w:sz="4" w:space="0" w:color="FFFFFF"/>
                  </w:tcBorders>
                  <w:shd w:val="clear" w:color="auto" w:fill="DBE5F1"/>
                  <w:vAlign w:val="center"/>
                </w:tcPr>
                <w:p w14:paraId="3383D529"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639553D1" w14:textId="77777777" w:rsidR="00600DEE" w:rsidRDefault="00600DEE">
                  <w:pPr>
                    <w:jc w:val="center"/>
                    <w:rPr>
                      <w:rFonts w:ascii="Calibri" w:eastAsia="Calibri" w:hAnsi="Calibri" w:cs="Calibri"/>
                      <w:color w:val="4F81BD"/>
                      <w:sz w:val="17"/>
                      <w:szCs w:val="17"/>
                    </w:rPr>
                  </w:pPr>
                </w:p>
              </w:tc>
            </w:tr>
            <w:tr w:rsidR="00600DEE" w14:paraId="64936973" w14:textId="77777777" w:rsidTr="00482C1E">
              <w:trPr>
                <w:trHeight w:val="782"/>
              </w:trPr>
              <w:tc>
                <w:tcPr>
                  <w:tcW w:w="3630" w:type="dxa"/>
                  <w:tcBorders>
                    <w:left w:val="single" w:sz="4" w:space="0" w:color="FFFFFF"/>
                    <w:bottom w:val="single" w:sz="4" w:space="0" w:color="FFFFFF"/>
                  </w:tcBorders>
                  <w:shd w:val="clear" w:color="auto" w:fill="DBE5F1"/>
                  <w:vAlign w:val="center"/>
                </w:tcPr>
                <w:p w14:paraId="6952BEDE"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zarządcze:</w:t>
                  </w:r>
                </w:p>
                <w:p w14:paraId="26712A2F"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Małe możliwości zarządzania przez Beneficjenta</w:t>
                  </w:r>
                </w:p>
              </w:tc>
              <w:tc>
                <w:tcPr>
                  <w:tcW w:w="1941" w:type="dxa"/>
                  <w:tcBorders>
                    <w:left w:val="single" w:sz="4" w:space="0" w:color="FFFFFF"/>
                    <w:bottom w:val="single" w:sz="4" w:space="0" w:color="FFFFFF"/>
                    <w:right w:val="single" w:sz="4" w:space="0" w:color="FFFFFF"/>
                  </w:tcBorders>
                  <w:shd w:val="clear" w:color="auto" w:fill="DBE5F1"/>
                  <w:vAlign w:val="center"/>
                </w:tcPr>
                <w:p w14:paraId="5E6C1740"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73C4EBB5" w14:textId="77777777" w:rsidR="00600DEE" w:rsidRDefault="00600DEE">
                  <w:pPr>
                    <w:jc w:val="center"/>
                    <w:rPr>
                      <w:rFonts w:ascii="Calibri" w:eastAsia="Calibri" w:hAnsi="Calibri" w:cs="Calibri"/>
                      <w:color w:val="4F81BD"/>
                      <w:sz w:val="17"/>
                      <w:szCs w:val="17"/>
                    </w:rPr>
                  </w:pPr>
                </w:p>
              </w:tc>
            </w:tr>
            <w:tr w:rsidR="00600DEE" w14:paraId="0A6711EC" w14:textId="77777777" w:rsidTr="0079382E">
              <w:trPr>
                <w:trHeight w:val="899"/>
              </w:trPr>
              <w:tc>
                <w:tcPr>
                  <w:tcW w:w="3630" w:type="dxa"/>
                  <w:tcBorders>
                    <w:left w:val="single" w:sz="4" w:space="0" w:color="FFFFFF"/>
                    <w:bottom w:val="single" w:sz="4" w:space="0" w:color="FFFFFF"/>
                  </w:tcBorders>
                  <w:shd w:val="clear" w:color="auto" w:fill="DBE5F1"/>
                  <w:vAlign w:val="center"/>
                </w:tcPr>
                <w:p w14:paraId="064153CC"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polityczne:</w:t>
                  </w:r>
                </w:p>
                <w:p w14:paraId="1338659F"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Protesty społeczne</w:t>
                  </w:r>
                </w:p>
                <w:p w14:paraId="759F3430" w14:textId="207CA376" w:rsidR="00600DEE" w:rsidRDefault="00641FB5" w:rsidP="00482C1E">
                  <w:pPr>
                    <w:rPr>
                      <w:rFonts w:ascii="Calibri" w:eastAsia="Calibri" w:hAnsi="Calibri" w:cs="Calibri"/>
                      <w:color w:val="4F81BD"/>
                      <w:sz w:val="17"/>
                      <w:szCs w:val="17"/>
                    </w:rPr>
                  </w:pPr>
                  <w:r>
                    <w:rPr>
                      <w:rFonts w:ascii="Calibri" w:eastAsia="Calibri" w:hAnsi="Calibri" w:cs="Calibri"/>
                      <w:color w:val="4F81BD"/>
                      <w:sz w:val="17"/>
                      <w:szCs w:val="17"/>
                    </w:rPr>
                    <w:t>Polityczne zmiany priorytetów inwestycyjnych</w:t>
                  </w:r>
                </w:p>
              </w:tc>
              <w:tc>
                <w:tcPr>
                  <w:tcW w:w="1941" w:type="dxa"/>
                  <w:tcBorders>
                    <w:left w:val="single" w:sz="4" w:space="0" w:color="FFFFFF"/>
                    <w:bottom w:val="single" w:sz="4" w:space="0" w:color="FFFFFF"/>
                    <w:right w:val="single" w:sz="4" w:space="0" w:color="FFFFFF"/>
                  </w:tcBorders>
                  <w:shd w:val="clear" w:color="auto" w:fill="DBE5F1"/>
                  <w:vAlign w:val="center"/>
                </w:tcPr>
                <w:p w14:paraId="77A214D0"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200567AD" w14:textId="77777777" w:rsidR="00600DEE" w:rsidRDefault="00600DEE">
                  <w:pPr>
                    <w:jc w:val="center"/>
                    <w:rPr>
                      <w:rFonts w:ascii="Calibri" w:eastAsia="Calibri" w:hAnsi="Calibri" w:cs="Calibri"/>
                      <w:color w:val="4F81BD"/>
                      <w:sz w:val="17"/>
                      <w:szCs w:val="17"/>
                    </w:rPr>
                  </w:pPr>
                </w:p>
              </w:tc>
            </w:tr>
            <w:tr w:rsidR="00600DEE" w14:paraId="53A3649C" w14:textId="77777777" w:rsidTr="0079382E">
              <w:trPr>
                <w:trHeight w:val="674"/>
              </w:trPr>
              <w:tc>
                <w:tcPr>
                  <w:tcW w:w="3630" w:type="dxa"/>
                  <w:tcBorders>
                    <w:left w:val="single" w:sz="4" w:space="0" w:color="FFFFFF"/>
                    <w:bottom w:val="single" w:sz="4" w:space="0" w:color="FFFFFF"/>
                  </w:tcBorders>
                  <w:shd w:val="clear" w:color="auto" w:fill="DBE5F1"/>
                  <w:vAlign w:val="center"/>
                </w:tcPr>
                <w:p w14:paraId="2F273572"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Inne ryzyka</w:t>
                  </w:r>
                </w:p>
                <w:p w14:paraId="0E3A1E6C"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(wyszczególnić)</w:t>
                  </w:r>
                </w:p>
              </w:tc>
              <w:tc>
                <w:tcPr>
                  <w:tcW w:w="1941" w:type="dxa"/>
                  <w:tcBorders>
                    <w:left w:val="single" w:sz="4" w:space="0" w:color="FFFFFF"/>
                    <w:bottom w:val="single" w:sz="4" w:space="0" w:color="FFFFFF"/>
                    <w:right w:val="single" w:sz="4" w:space="0" w:color="FFFFFF"/>
                  </w:tcBorders>
                  <w:shd w:val="clear" w:color="auto" w:fill="DBE5F1"/>
                  <w:vAlign w:val="center"/>
                </w:tcPr>
                <w:p w14:paraId="66ADDE10"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372CFAEF" w14:textId="77777777" w:rsidR="00600DEE" w:rsidRDefault="00600DEE">
                  <w:pPr>
                    <w:jc w:val="center"/>
                    <w:rPr>
                      <w:rFonts w:ascii="Calibri" w:eastAsia="Calibri" w:hAnsi="Calibri" w:cs="Calibri"/>
                      <w:color w:val="4F81BD"/>
                      <w:sz w:val="17"/>
                      <w:szCs w:val="17"/>
                    </w:rPr>
                  </w:pPr>
                </w:p>
              </w:tc>
            </w:tr>
          </w:tbl>
          <w:p w14:paraId="3E57A0F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10" w:name="_heading=h.1opuj5n" w:colFirst="0" w:colLast="0"/>
            <w:bookmarkEnd w:id="110"/>
            <w:r>
              <w:rPr>
                <w:rFonts w:ascii="Calibri" w:eastAsia="Calibri" w:hAnsi="Calibri" w:cs="Calibri"/>
                <w:color w:val="000000"/>
                <w:sz w:val="20"/>
                <w:szCs w:val="20"/>
              </w:rPr>
              <w:t>Powyższa lista ma charakter indykatywny i nie jest wyczerpująca. Jeśli inne szczególne ryzyko występuje w projekcie, należy je także opisać i ocenić.</w:t>
            </w:r>
          </w:p>
          <w:p w14:paraId="42C6297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Analiza jakościowa ryzyka</w:t>
            </w:r>
          </w:p>
          <w:p w14:paraId="4730E9D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każdego ze zidentyfikowanych czynników ryzyka, należy opisać i przeanalizować następujące aspekty, z wykorzystaniem tabeli w rozdziale 4.3:</w:t>
            </w:r>
          </w:p>
          <w:p w14:paraId="3A876E0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Przyczyna: co powoduje, że ryzyko występuje?</w:t>
            </w:r>
          </w:p>
          <w:p w14:paraId="7895516B"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Skutek: jaki wpływ będzie miało ryzyko na koszty/ korzyści / czas realizacji projektu/ finansowanie i trwałość finansową projektu?</w:t>
            </w:r>
          </w:p>
          <w:p w14:paraId="1361634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Podmiot zarządzający ryzykiem: podmiotem takim jest podmiot, który ma uprawnienia do zarządzania określonym ryzykiem i jest odpowiedzialny za zarządzanie nim. Może to być Beneficjent, instytucja zarządzająca programem operacyjnym (IZ), instytucja pośrednicząca, wykonawca robót lub inny podmiot. W przypadku, gdy podmiotem zarządzającym ryzykiem nie jest Beneficjent, należy wyjaśnić w jaki sposób może on wpływać na podmiot zarządzający konkretnym ryzykiem.</w:t>
            </w:r>
          </w:p>
          <w:p w14:paraId="1A2A090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Faza projektu, którego dotyczy ryzyko: należy wskazać, czy ryzyko dotyczy jednej z następujących faz projektu: faza przygotowania (tak/nie), faza wdrażania (tak/nie), faza operacyjna (tak/nie). Jeśli ryzyko występuje tylko w fazie projektu, która została zrealizowana do momentu złożenia dokumentacji/aktualizacji do IZ, to ryzyko należy traktować jako „nieaktywne” (jak opisano w paragrafie powyżej dotyczącym identyfikacji ryzyka) i nie należy go dalej oceniać.</w:t>
            </w:r>
          </w:p>
          <w:p w14:paraId="59A9763C"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Prawdopodobieństwo: wykorzystując poniższą tabelę, należy ocenić prawdopodobieństwo zdarzenia ryzyka w skali od A do E.</w:t>
            </w:r>
          </w:p>
          <w:p w14:paraId="5529BF13"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Siła oddziaływania ryzyka: wykorzystując poniższą tabelę, należy ocenić wpływ ryzyka w skali od I do V.</w:t>
            </w:r>
          </w:p>
          <w:p w14:paraId="560635AE" w14:textId="746289FD" w:rsidR="0018582B" w:rsidRPr="00FD2E0C" w:rsidRDefault="00641FB5" w:rsidP="00FD2E0C">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Poziom ryzyka: kombinacja skali prawdopodobieństwa i skali oddziaływania ryzyka wskazuje na całkowity poziom danego ryzyka w czterostopniowej skali (niskie/ średnie/ wysokie/ bardzo wysokie).</w:t>
            </w:r>
          </w:p>
          <w:p w14:paraId="78F29F13" w14:textId="0FABD07F" w:rsidR="00600DEE" w:rsidRDefault="00B67038" w:rsidP="00FD2E0C">
            <w:pPr>
              <w:pBdr>
                <w:top w:val="nil"/>
                <w:left w:val="nil"/>
                <w:bottom w:val="nil"/>
                <w:right w:val="nil"/>
                <w:between w:val="nil"/>
              </w:pBdr>
              <w:spacing w:before="240" w:after="120"/>
              <w:ind w:left="1276" w:hanging="1276"/>
              <w:jc w:val="both"/>
              <w:rPr>
                <w:rFonts w:ascii="Calibri" w:eastAsia="Calibri" w:hAnsi="Calibri" w:cs="Calibri"/>
                <w:b/>
                <w:color w:val="4F81BD"/>
                <w:sz w:val="20"/>
                <w:szCs w:val="20"/>
              </w:rPr>
            </w:pPr>
            <w:r>
              <w:rPr>
                <w:rFonts w:ascii="Calibri" w:eastAsia="Calibri" w:hAnsi="Calibri" w:cs="Calibri"/>
                <w:b/>
                <w:color w:val="4F81BD"/>
                <w:sz w:val="20"/>
                <w:szCs w:val="20"/>
              </w:rPr>
              <w:t>Tabela 32</w:t>
            </w:r>
            <w:r w:rsidR="00641FB5">
              <w:rPr>
                <w:rFonts w:ascii="Calibri" w:eastAsia="Calibri" w:hAnsi="Calibri" w:cs="Calibri"/>
                <w:b/>
                <w:color w:val="4F81BD"/>
                <w:sz w:val="20"/>
                <w:szCs w:val="20"/>
              </w:rPr>
              <w:t xml:space="preserve">a. Analiza jakościowa ryzyka – skala prawdopodobieństwa i skala siły </w:t>
            </w:r>
            <w:r w:rsidR="00641FB5">
              <w:rPr>
                <w:rFonts w:ascii="Calibri" w:eastAsia="Calibri" w:hAnsi="Calibri" w:cs="Calibri"/>
                <w:b/>
                <w:color w:val="4F81BD"/>
                <w:sz w:val="20"/>
                <w:szCs w:val="20"/>
              </w:rPr>
              <w:br/>
              <w:t xml:space="preserve"> oddziaływania na projekt</w:t>
            </w:r>
          </w:p>
          <w:tbl>
            <w:tblPr>
              <w:tblStyle w:val="afffffff9"/>
              <w:tblW w:w="5836" w:type="dxa"/>
              <w:tblLayout w:type="fixed"/>
              <w:tblLook w:val="0000" w:firstRow="0" w:lastRow="0" w:firstColumn="0" w:lastColumn="0" w:noHBand="0" w:noVBand="0"/>
            </w:tblPr>
            <w:tblGrid>
              <w:gridCol w:w="2038"/>
              <w:gridCol w:w="1899"/>
              <w:gridCol w:w="1899"/>
            </w:tblGrid>
            <w:tr w:rsidR="00600DEE" w14:paraId="00802E6B" w14:textId="77777777">
              <w:tc>
                <w:tcPr>
                  <w:tcW w:w="5836"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0ECD9956" w14:textId="77777777" w:rsidR="00600DEE" w:rsidRDefault="00641FB5">
                  <w:pPr>
                    <w:spacing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Prawdopodobieństwo</w:t>
                  </w:r>
                </w:p>
              </w:tc>
            </w:tr>
            <w:tr w:rsidR="00600DEE" w14:paraId="1DE51D6A" w14:textId="77777777" w:rsidTr="0018582B">
              <w:trPr>
                <w:trHeight w:hRule="exact" w:val="454"/>
              </w:trPr>
              <w:tc>
                <w:tcPr>
                  <w:tcW w:w="2038" w:type="dxa"/>
                  <w:tcBorders>
                    <w:top w:val="single" w:sz="4" w:space="0" w:color="FFFFFF"/>
                    <w:left w:val="single" w:sz="4" w:space="0" w:color="FFFFFF"/>
                    <w:bottom w:val="single" w:sz="4" w:space="0" w:color="FFFFFF"/>
                  </w:tcBorders>
                  <w:shd w:val="clear" w:color="auto" w:fill="A6A6A6"/>
                  <w:vAlign w:val="center"/>
                </w:tcPr>
                <w:p w14:paraId="50817EDC"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Skala</w:t>
                  </w:r>
                </w:p>
              </w:tc>
              <w:tc>
                <w:tcPr>
                  <w:tcW w:w="189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2EC9C69"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Zakres wartości</w:t>
                  </w:r>
                  <w:r>
                    <w:rPr>
                      <w:rFonts w:ascii="Calibri" w:eastAsia="Calibri" w:hAnsi="Calibri" w:cs="Calibri"/>
                      <w:b/>
                      <w:i/>
                      <w:color w:val="FFFFFF"/>
                      <w:sz w:val="18"/>
                      <w:szCs w:val="18"/>
                    </w:rPr>
                    <w:br/>
                    <w:t>prawdopodobieństwa</w:t>
                  </w:r>
                </w:p>
              </w:tc>
              <w:tc>
                <w:tcPr>
                  <w:tcW w:w="189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A3928F6"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Wartość punktowa</w:t>
                  </w:r>
                </w:p>
              </w:tc>
            </w:tr>
            <w:tr w:rsidR="00600DEE" w14:paraId="10B5905F"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79A64040"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 xml:space="preserve">Bardzo niskie </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79FBC1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4A4694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A</w:t>
                  </w:r>
                </w:p>
              </w:tc>
            </w:tr>
            <w:tr w:rsidR="00600DEE" w14:paraId="38BDC31E"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207039EC"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Niskie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0C6AC91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&lt;10% - 33%</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77B0125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B</w:t>
                  </w:r>
                </w:p>
              </w:tc>
            </w:tr>
            <w:tr w:rsidR="00600DEE" w14:paraId="6DBB1997"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62F3326F"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Średnie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26E2B2A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&lt;33% - 66%</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61ED7555" w14:textId="19E266BC" w:rsidR="00600DEE" w:rsidRDefault="00641FB5" w:rsidP="009A7A37">
                  <w:pPr>
                    <w:tabs>
                      <w:tab w:val="left" w:pos="546"/>
                      <w:tab w:val="center" w:pos="881"/>
                    </w:tabs>
                    <w:jc w:val="center"/>
                    <w:rPr>
                      <w:rFonts w:ascii="Calibri" w:eastAsia="Calibri" w:hAnsi="Calibri" w:cs="Calibri"/>
                      <w:color w:val="4F81BD"/>
                      <w:sz w:val="18"/>
                      <w:szCs w:val="18"/>
                    </w:rPr>
                  </w:pPr>
                  <w:r>
                    <w:rPr>
                      <w:rFonts w:ascii="Calibri" w:eastAsia="Calibri" w:hAnsi="Calibri" w:cs="Calibri"/>
                      <w:color w:val="4F81BD"/>
                      <w:sz w:val="18"/>
                      <w:szCs w:val="18"/>
                    </w:rPr>
                    <w:t>C</w:t>
                  </w:r>
                </w:p>
              </w:tc>
            </w:tr>
            <w:tr w:rsidR="00600DEE" w14:paraId="23992609"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3DD19C48"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Wysokie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2D655BA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&lt;66% - 90%</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247B272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D</w:t>
                  </w:r>
                </w:p>
              </w:tc>
            </w:tr>
            <w:tr w:rsidR="00600DEE" w14:paraId="2FD7203F"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4554E336"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Bardzo wysokie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649D747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&lt;90% - 100%</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07890D7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E</w:t>
                  </w:r>
                </w:p>
              </w:tc>
            </w:tr>
          </w:tbl>
          <w:p w14:paraId="4A792C50" w14:textId="7F1CB3A8" w:rsidR="009A7A37" w:rsidRDefault="00641FB5" w:rsidP="0079382E">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 xml:space="preserve">Źródło: “Guide to </w:t>
            </w:r>
            <w:proofErr w:type="spellStart"/>
            <w:r>
              <w:rPr>
                <w:rFonts w:ascii="Calibri" w:eastAsia="Calibri" w:hAnsi="Calibri" w:cs="Calibri"/>
                <w:b/>
                <w:i/>
                <w:sz w:val="16"/>
                <w:szCs w:val="16"/>
              </w:rPr>
              <w:t>Cost</w:t>
            </w:r>
            <w:proofErr w:type="spellEnd"/>
            <w:r>
              <w:rPr>
                <w:rFonts w:ascii="Calibri" w:eastAsia="Calibri" w:hAnsi="Calibri" w:cs="Calibri"/>
                <w:b/>
                <w:i/>
                <w:sz w:val="16"/>
                <w:szCs w:val="16"/>
              </w:rPr>
              <w:t xml:space="preserve">-benefit Analysis of Investment </w:t>
            </w:r>
            <w:proofErr w:type="spellStart"/>
            <w:r>
              <w:rPr>
                <w:rFonts w:ascii="Calibri" w:eastAsia="Calibri" w:hAnsi="Calibri" w:cs="Calibri"/>
                <w:b/>
                <w:i/>
                <w:sz w:val="16"/>
                <w:szCs w:val="16"/>
              </w:rPr>
              <w:t>Projects</w:t>
            </w:r>
            <w:proofErr w:type="spellEnd"/>
            <w:r>
              <w:rPr>
                <w:rFonts w:ascii="Calibri" w:eastAsia="Calibri" w:hAnsi="Calibri" w:cs="Calibri"/>
                <w:b/>
                <w:i/>
                <w:sz w:val="16"/>
                <w:szCs w:val="16"/>
              </w:rPr>
              <w:t xml:space="preserve"> - </w:t>
            </w:r>
            <w:proofErr w:type="spellStart"/>
            <w:r>
              <w:rPr>
                <w:rFonts w:ascii="Calibri" w:eastAsia="Calibri" w:hAnsi="Calibri" w:cs="Calibri"/>
                <w:b/>
                <w:i/>
                <w:sz w:val="16"/>
                <w:szCs w:val="16"/>
              </w:rPr>
              <w:t>Economic</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appraisal</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tool</w:t>
            </w:r>
            <w:proofErr w:type="spellEnd"/>
            <w:r>
              <w:rPr>
                <w:rFonts w:ascii="Calibri" w:eastAsia="Calibri" w:hAnsi="Calibri" w:cs="Calibri"/>
                <w:b/>
                <w:i/>
                <w:sz w:val="16"/>
                <w:szCs w:val="16"/>
              </w:rPr>
              <w:t xml:space="preserve"> for </w:t>
            </w:r>
            <w:proofErr w:type="spellStart"/>
            <w:r>
              <w:rPr>
                <w:rFonts w:ascii="Calibri" w:eastAsia="Calibri" w:hAnsi="Calibri" w:cs="Calibri"/>
                <w:b/>
                <w:i/>
                <w:sz w:val="16"/>
                <w:szCs w:val="16"/>
              </w:rPr>
              <w:t>Cohesion</w:t>
            </w:r>
            <w:proofErr w:type="spellEnd"/>
            <w:r>
              <w:rPr>
                <w:rFonts w:ascii="Calibri" w:eastAsia="Calibri" w:hAnsi="Calibri" w:cs="Calibri"/>
                <w:b/>
                <w:i/>
                <w:sz w:val="16"/>
                <w:szCs w:val="16"/>
              </w:rPr>
              <w:t xml:space="preserve"> Policy 2014-2020” DG </w:t>
            </w:r>
            <w:proofErr w:type="spellStart"/>
            <w:r>
              <w:rPr>
                <w:rFonts w:ascii="Calibri" w:eastAsia="Calibri" w:hAnsi="Calibri" w:cs="Calibri"/>
                <w:b/>
                <w:i/>
                <w:sz w:val="16"/>
                <w:szCs w:val="16"/>
              </w:rPr>
              <w:t>Regio</w:t>
            </w:r>
            <w:proofErr w:type="spellEnd"/>
            <w:r>
              <w:rPr>
                <w:rFonts w:ascii="Calibri" w:eastAsia="Calibri" w:hAnsi="Calibri" w:cs="Calibri"/>
                <w:b/>
                <w:i/>
                <w:sz w:val="16"/>
                <w:szCs w:val="16"/>
              </w:rPr>
              <w:t>, grudzień 2014.</w:t>
            </w:r>
          </w:p>
          <w:tbl>
            <w:tblPr>
              <w:tblStyle w:val="afffffffa"/>
              <w:tblW w:w="6909" w:type="dxa"/>
              <w:tblLayout w:type="fixed"/>
              <w:tblLook w:val="0000" w:firstRow="0" w:lastRow="0" w:firstColumn="0" w:lastColumn="0" w:noHBand="0" w:noVBand="0"/>
            </w:tblPr>
            <w:tblGrid>
              <w:gridCol w:w="4973"/>
              <w:gridCol w:w="1936"/>
            </w:tblGrid>
            <w:tr w:rsidR="00600DEE" w14:paraId="103B666E" w14:textId="77777777" w:rsidTr="0079382E">
              <w:trPr>
                <w:trHeight w:val="355"/>
              </w:trPr>
              <w:tc>
                <w:tcPr>
                  <w:tcW w:w="690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7F844441" w14:textId="77777777" w:rsidR="00600DEE" w:rsidRDefault="00641FB5" w:rsidP="00FD2E0C">
                  <w:pPr>
                    <w:spacing w:before="120"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lastRenderedPageBreak/>
                    <w:t>Siła oddziaływania na projekt</w:t>
                  </w:r>
                </w:p>
              </w:tc>
            </w:tr>
            <w:tr w:rsidR="00600DEE" w14:paraId="2C7B87C1" w14:textId="77777777" w:rsidTr="0079382E">
              <w:trPr>
                <w:trHeight w:val="437"/>
              </w:trPr>
              <w:tc>
                <w:tcPr>
                  <w:tcW w:w="497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1D54454"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Znaczenie</w:t>
                  </w:r>
                </w:p>
              </w:tc>
              <w:tc>
                <w:tcPr>
                  <w:tcW w:w="1936"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7DAB3775"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Wartość punktowa</w:t>
                  </w:r>
                </w:p>
              </w:tc>
            </w:tr>
            <w:tr w:rsidR="00600DEE" w14:paraId="5E0A8AF9" w14:textId="77777777" w:rsidTr="0079382E">
              <w:trPr>
                <w:trHeight w:val="546"/>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1A13C18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Brak wpływu na dobrobyt społeczny, nawet bez podejmowania działań zaradczych</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2F3CC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w:t>
                  </w:r>
                </w:p>
              </w:tc>
            </w:tr>
            <w:tr w:rsidR="00600DEE" w14:paraId="4A283877" w14:textId="77777777" w:rsidTr="0079382E">
              <w:trPr>
                <w:trHeight w:val="820"/>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5582669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Mały wpływ na dobrobyt społeczny, mały wpływ na efekty finansowe projektu, działania zaradcze i korygujące są jednak potrzebne</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6A6DA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w:t>
                  </w:r>
                </w:p>
              </w:tc>
            </w:tr>
            <w:tr w:rsidR="00600DEE" w14:paraId="15C469CF" w14:textId="77777777" w:rsidTr="0079382E">
              <w:trPr>
                <w:trHeight w:val="427"/>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040B0CB1"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Umiarkowany wpływ na dobrobyt społeczny, głównie negatywne efekty finansowe nawet w średnim lub długim terminie</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6F2A58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III</w:t>
                  </w:r>
                </w:p>
              </w:tc>
            </w:tr>
            <w:tr w:rsidR="00600DEE" w14:paraId="4AF452A7" w14:textId="77777777" w:rsidTr="00482C1E">
              <w:trPr>
                <w:trHeight w:val="989"/>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2B1BEE2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 Poziom krytyczny: wysoka strata dla dobrobytu społecznego, wystąpienie zdarzenia powoduje niemożliwość realizacji podstawowego celu projektu, działania zaradcze bardzo intensywne mogą nie doprowadzić do uniknięcia wysokich strat</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98C6B1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IV</w:t>
                  </w:r>
                </w:p>
              </w:tc>
            </w:tr>
            <w:tr w:rsidR="00600DEE" w:rsidRPr="007463B9" w14:paraId="0D6AB996" w14:textId="77777777" w:rsidTr="0079382E">
              <w:trPr>
                <w:trHeight w:val="765"/>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1A13A49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 Poziom katastroficzny: Fiasko projektu, zdarzenie może wywołać całkowity brak realizacji celu projektu, główne efekty projektu nie będą uzyskane w średnim i długim terminie</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E9DF91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w:t>
                  </w:r>
                </w:p>
              </w:tc>
            </w:tr>
          </w:tbl>
          <w:p w14:paraId="525E6045" w14:textId="77777777" w:rsidR="00600DEE" w:rsidRPr="0045151D" w:rsidRDefault="00641FB5" w:rsidP="0079382E">
            <w:pPr>
              <w:spacing w:before="120"/>
              <w:ind w:right="170"/>
              <w:jc w:val="both"/>
              <w:rPr>
                <w:rFonts w:ascii="Calibri" w:eastAsia="Calibri" w:hAnsi="Calibri" w:cs="Calibri"/>
                <w:b/>
                <w:i/>
                <w:sz w:val="16"/>
                <w:szCs w:val="16"/>
                <w:lang w:val="en-GB"/>
              </w:rPr>
            </w:pPr>
            <w:proofErr w:type="spellStart"/>
            <w:r w:rsidRPr="0045151D">
              <w:rPr>
                <w:rFonts w:ascii="Calibri" w:eastAsia="Calibri" w:hAnsi="Calibri" w:cs="Calibri"/>
                <w:b/>
                <w:i/>
                <w:sz w:val="16"/>
                <w:szCs w:val="16"/>
                <w:lang w:val="en-GB"/>
              </w:rPr>
              <w:t>Źródło</w:t>
            </w:r>
            <w:proofErr w:type="spellEnd"/>
            <w:r w:rsidRPr="0045151D">
              <w:rPr>
                <w:rFonts w:ascii="Calibri" w:eastAsia="Calibri" w:hAnsi="Calibri" w:cs="Calibri"/>
                <w:b/>
                <w:i/>
                <w:sz w:val="16"/>
                <w:szCs w:val="16"/>
                <w:lang w:val="en-GB"/>
              </w:rPr>
              <w:t xml:space="preserve">: “Guide to Cost-benefit Analysis of Investment Projects - Economic appraisal tool for Cohesion Policy 2014-2020” DG Regio, </w:t>
            </w:r>
            <w:proofErr w:type="spellStart"/>
            <w:r w:rsidRPr="0045151D">
              <w:rPr>
                <w:rFonts w:ascii="Calibri" w:eastAsia="Calibri" w:hAnsi="Calibri" w:cs="Calibri"/>
                <w:b/>
                <w:i/>
                <w:sz w:val="16"/>
                <w:szCs w:val="16"/>
                <w:lang w:val="en-GB"/>
              </w:rPr>
              <w:t>grudzień</w:t>
            </w:r>
            <w:proofErr w:type="spellEnd"/>
            <w:r w:rsidRPr="0045151D">
              <w:rPr>
                <w:rFonts w:ascii="Calibri" w:eastAsia="Calibri" w:hAnsi="Calibri" w:cs="Calibri"/>
                <w:b/>
                <w:i/>
                <w:sz w:val="16"/>
                <w:szCs w:val="16"/>
                <w:lang w:val="en-GB"/>
              </w:rPr>
              <w:t xml:space="preserve"> 2014.</w:t>
            </w:r>
          </w:p>
          <w:p w14:paraId="09A01A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Poziom ryzyka jest kombinacją prawdopodobieństwa i siły oddziaływania. Im wyższy poziom ryzyka, tym intensywniejsze działania zaradcze należy podjąć w celu obniżenia poziomu ryzyka. Poniższa tabela definiuje poziom ryzyka w zależności od prawdopodobieństwa i siły oddziaływania w odpowiednich kolorach.</w:t>
            </w:r>
          </w:p>
          <w:p w14:paraId="5E227587" w14:textId="633BEC8A" w:rsidR="00600DEE" w:rsidRDefault="00B67038">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32</w:t>
            </w:r>
            <w:r w:rsidR="00641FB5">
              <w:rPr>
                <w:rFonts w:ascii="Calibri" w:eastAsia="Calibri" w:hAnsi="Calibri" w:cs="Calibri"/>
                <w:b/>
                <w:color w:val="4F81BD"/>
                <w:sz w:val="20"/>
                <w:szCs w:val="20"/>
              </w:rPr>
              <w:t xml:space="preserve">b. Analiza jakościowa ryzyka – </w:t>
            </w:r>
            <w:r>
              <w:rPr>
                <w:rFonts w:ascii="Calibri" w:eastAsia="Calibri" w:hAnsi="Calibri" w:cs="Calibri"/>
                <w:b/>
                <w:color w:val="4F81BD"/>
                <w:sz w:val="20"/>
                <w:szCs w:val="20"/>
              </w:rPr>
              <w:t>Macierz p</w:t>
            </w:r>
            <w:r w:rsidR="00641FB5">
              <w:rPr>
                <w:rFonts w:ascii="Calibri" w:eastAsia="Calibri" w:hAnsi="Calibri" w:cs="Calibri"/>
                <w:b/>
                <w:color w:val="4F81BD"/>
                <w:sz w:val="20"/>
                <w:szCs w:val="20"/>
              </w:rPr>
              <w:t>oziom</w:t>
            </w:r>
            <w:r>
              <w:rPr>
                <w:rFonts w:ascii="Calibri" w:eastAsia="Calibri" w:hAnsi="Calibri" w:cs="Calibri"/>
                <w:b/>
                <w:color w:val="4F81BD"/>
                <w:sz w:val="20"/>
                <w:szCs w:val="20"/>
              </w:rPr>
              <w:t>u</w:t>
            </w:r>
            <w:r w:rsidR="00641FB5">
              <w:rPr>
                <w:rFonts w:ascii="Calibri" w:eastAsia="Calibri" w:hAnsi="Calibri" w:cs="Calibri"/>
                <w:b/>
                <w:color w:val="4F81BD"/>
                <w:sz w:val="20"/>
                <w:szCs w:val="20"/>
              </w:rPr>
              <w:t xml:space="preserve"> ryzyka</w:t>
            </w:r>
          </w:p>
          <w:tbl>
            <w:tblPr>
              <w:tblStyle w:val="afffffffb"/>
              <w:tblW w:w="6801" w:type="dxa"/>
              <w:tblBorders>
                <w:insideH w:val="single" w:sz="6" w:space="0" w:color="FFFFFF"/>
                <w:insideV w:val="single" w:sz="6" w:space="0" w:color="FFFFFF"/>
              </w:tblBorders>
              <w:tblLayout w:type="fixed"/>
              <w:tblLook w:val="0000" w:firstRow="0" w:lastRow="0" w:firstColumn="0" w:lastColumn="0" w:noHBand="0" w:noVBand="0"/>
            </w:tblPr>
            <w:tblGrid>
              <w:gridCol w:w="481"/>
              <w:gridCol w:w="607"/>
              <w:gridCol w:w="816"/>
              <w:gridCol w:w="815"/>
              <w:gridCol w:w="1359"/>
              <w:gridCol w:w="1359"/>
              <w:gridCol w:w="1364"/>
            </w:tblGrid>
            <w:tr w:rsidR="00600DEE" w14:paraId="7D9A4C0A" w14:textId="77777777" w:rsidTr="00193C5C">
              <w:trPr>
                <w:trHeight w:val="391"/>
              </w:trPr>
              <w:tc>
                <w:tcPr>
                  <w:tcW w:w="1088" w:type="dxa"/>
                  <w:gridSpan w:val="2"/>
                  <w:vMerge w:val="restart"/>
                  <w:tcBorders>
                    <w:top w:val="nil"/>
                    <w:bottom w:val="single" w:sz="6" w:space="0" w:color="FFFFFF"/>
                  </w:tcBorders>
                  <w:shd w:val="clear" w:color="auto" w:fill="DBE5F1"/>
                  <w:vAlign w:val="bottom"/>
                </w:tcPr>
                <w:p w14:paraId="6B03A324" w14:textId="77777777" w:rsidR="00600DEE" w:rsidRDefault="00600DEE">
                  <w:pPr>
                    <w:pBdr>
                      <w:top w:val="nil"/>
                      <w:left w:val="nil"/>
                      <w:bottom w:val="nil"/>
                      <w:right w:val="nil"/>
                      <w:between w:val="nil"/>
                    </w:pBdr>
                    <w:spacing w:line="264" w:lineRule="auto"/>
                    <w:jc w:val="center"/>
                    <w:rPr>
                      <w:rFonts w:ascii="Calibri" w:eastAsia="Calibri" w:hAnsi="Calibri" w:cs="Calibri"/>
                      <w:b/>
                      <w:color w:val="4F81BD"/>
                      <w:sz w:val="20"/>
                      <w:szCs w:val="20"/>
                    </w:rPr>
                  </w:pPr>
                  <w:bookmarkStart w:id="111" w:name="_heading=h.48pi1tg" w:colFirst="0" w:colLast="0"/>
                  <w:bookmarkEnd w:id="111"/>
                </w:p>
              </w:tc>
              <w:tc>
                <w:tcPr>
                  <w:tcW w:w="5713" w:type="dxa"/>
                  <w:gridSpan w:val="5"/>
                  <w:tcBorders>
                    <w:top w:val="nil"/>
                    <w:bottom w:val="single" w:sz="6" w:space="0" w:color="FFFFFF"/>
                  </w:tcBorders>
                  <w:shd w:val="clear" w:color="auto" w:fill="DBE5F1"/>
                  <w:vAlign w:val="bottom"/>
                </w:tcPr>
                <w:p w14:paraId="059699E3" w14:textId="7314AA67" w:rsidR="00600DEE" w:rsidRDefault="00B67038">
                  <w:pPr>
                    <w:pBdr>
                      <w:top w:val="nil"/>
                      <w:left w:val="nil"/>
                      <w:bottom w:val="nil"/>
                      <w:right w:val="nil"/>
                      <w:between w:val="nil"/>
                    </w:pBdr>
                    <w:jc w:val="center"/>
                    <w:rPr>
                      <w:rFonts w:ascii="Calibri" w:eastAsia="Calibri" w:hAnsi="Calibri" w:cs="Calibri"/>
                      <w:b/>
                      <w:color w:val="4F81BD"/>
                      <w:sz w:val="20"/>
                      <w:szCs w:val="20"/>
                    </w:rPr>
                  </w:pPr>
                  <w:r>
                    <w:rPr>
                      <w:rFonts w:ascii="Calibri" w:eastAsia="Calibri" w:hAnsi="Calibri" w:cs="Calibri"/>
                      <w:b/>
                      <w:color w:val="4F81BD"/>
                      <w:sz w:val="20"/>
                      <w:szCs w:val="20"/>
                    </w:rPr>
                    <w:t>Siła oddziaływania</w:t>
                  </w:r>
                </w:p>
              </w:tc>
            </w:tr>
            <w:tr w:rsidR="00600DEE" w14:paraId="62E746E9" w14:textId="77777777" w:rsidTr="00193C5C">
              <w:trPr>
                <w:trHeight w:val="198"/>
              </w:trPr>
              <w:tc>
                <w:tcPr>
                  <w:tcW w:w="1088" w:type="dxa"/>
                  <w:gridSpan w:val="2"/>
                  <w:vMerge/>
                  <w:tcBorders>
                    <w:top w:val="nil"/>
                    <w:bottom w:val="single" w:sz="6" w:space="0" w:color="FFFFFF"/>
                  </w:tcBorders>
                  <w:shd w:val="clear" w:color="auto" w:fill="DBE5F1"/>
                  <w:vAlign w:val="bottom"/>
                </w:tcPr>
                <w:p w14:paraId="23640CC7"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4F81BD"/>
                      <w:sz w:val="20"/>
                      <w:szCs w:val="20"/>
                    </w:rPr>
                  </w:pPr>
                </w:p>
              </w:tc>
              <w:tc>
                <w:tcPr>
                  <w:tcW w:w="816" w:type="dxa"/>
                  <w:tcBorders>
                    <w:top w:val="single" w:sz="6" w:space="0" w:color="FFFFFF"/>
                    <w:bottom w:val="single" w:sz="6" w:space="0" w:color="FFFFFF"/>
                  </w:tcBorders>
                  <w:shd w:val="clear" w:color="auto" w:fill="DBE5F1"/>
                  <w:vAlign w:val="center"/>
                </w:tcPr>
                <w:p w14:paraId="504AEC8F"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w:t>
                  </w:r>
                </w:p>
              </w:tc>
              <w:tc>
                <w:tcPr>
                  <w:tcW w:w="815" w:type="dxa"/>
                  <w:tcBorders>
                    <w:top w:val="single" w:sz="6" w:space="0" w:color="FFFFFF"/>
                    <w:bottom w:val="single" w:sz="6" w:space="0" w:color="FFFFFF"/>
                  </w:tcBorders>
                  <w:shd w:val="clear" w:color="auto" w:fill="DBE5F1"/>
                  <w:vAlign w:val="center"/>
                </w:tcPr>
                <w:p w14:paraId="6562019D"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II</w:t>
                  </w:r>
                </w:p>
              </w:tc>
              <w:tc>
                <w:tcPr>
                  <w:tcW w:w="1359" w:type="dxa"/>
                  <w:tcBorders>
                    <w:top w:val="single" w:sz="6" w:space="0" w:color="FFFFFF"/>
                    <w:bottom w:val="single" w:sz="6" w:space="0" w:color="FFFFFF"/>
                  </w:tcBorders>
                  <w:shd w:val="clear" w:color="auto" w:fill="DBE5F1"/>
                  <w:vAlign w:val="center"/>
                </w:tcPr>
                <w:p w14:paraId="7BE4D1CD"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III</w:t>
                  </w:r>
                </w:p>
              </w:tc>
              <w:tc>
                <w:tcPr>
                  <w:tcW w:w="1359" w:type="dxa"/>
                  <w:tcBorders>
                    <w:top w:val="single" w:sz="6" w:space="0" w:color="FFFFFF"/>
                    <w:bottom w:val="single" w:sz="6" w:space="0" w:color="FFFFFF"/>
                  </w:tcBorders>
                  <w:shd w:val="clear" w:color="auto" w:fill="DBE5F1"/>
                  <w:vAlign w:val="center"/>
                </w:tcPr>
                <w:p w14:paraId="1451A9A6"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IV</w:t>
                  </w:r>
                </w:p>
              </w:tc>
              <w:tc>
                <w:tcPr>
                  <w:tcW w:w="1362" w:type="dxa"/>
                  <w:tcBorders>
                    <w:top w:val="single" w:sz="6" w:space="0" w:color="FFFFFF"/>
                    <w:bottom w:val="single" w:sz="6" w:space="0" w:color="FFFFFF"/>
                  </w:tcBorders>
                  <w:shd w:val="clear" w:color="auto" w:fill="DBE5F1"/>
                  <w:vAlign w:val="center"/>
                </w:tcPr>
                <w:p w14:paraId="1BE608AB"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V</w:t>
                  </w:r>
                </w:p>
              </w:tc>
            </w:tr>
            <w:tr w:rsidR="00600DEE" w14:paraId="59BCE31E" w14:textId="77777777" w:rsidTr="00193C5C">
              <w:trPr>
                <w:trHeight w:hRule="exact" w:val="260"/>
              </w:trPr>
              <w:tc>
                <w:tcPr>
                  <w:tcW w:w="481" w:type="dxa"/>
                  <w:vMerge w:val="restart"/>
                  <w:tcBorders>
                    <w:top w:val="single" w:sz="6" w:space="0" w:color="FFFFFF"/>
                    <w:bottom w:val="single" w:sz="6" w:space="0" w:color="FFFFFF"/>
                  </w:tcBorders>
                  <w:shd w:val="clear" w:color="auto" w:fill="DBE5F1"/>
                  <w:textDirection w:val="btLr"/>
                  <w:vAlign w:val="center"/>
                </w:tcPr>
                <w:p w14:paraId="5D983AB9" w14:textId="54749342" w:rsidR="00600DEE" w:rsidRDefault="0079382E" w:rsidP="0079382E">
                  <w:pPr>
                    <w:pBdr>
                      <w:top w:val="nil"/>
                      <w:left w:val="nil"/>
                      <w:bottom w:val="nil"/>
                      <w:right w:val="nil"/>
                      <w:between w:val="nil"/>
                    </w:pBdr>
                    <w:ind w:left="113" w:right="113"/>
                    <w:jc w:val="center"/>
                    <w:rPr>
                      <w:rFonts w:ascii="Calibri" w:eastAsia="Calibri" w:hAnsi="Calibri" w:cs="Calibri"/>
                      <w:b/>
                      <w:color w:val="4F81BD"/>
                      <w:sz w:val="20"/>
                      <w:szCs w:val="20"/>
                    </w:rPr>
                  </w:pPr>
                  <w:proofErr w:type="spellStart"/>
                  <w:r>
                    <w:rPr>
                      <w:rFonts w:asciiTheme="minorHAnsi" w:hAnsiTheme="minorHAnsi"/>
                      <w:b/>
                      <w:color w:val="4F81BD" w:themeColor="accent1"/>
                      <w:sz w:val="20"/>
                    </w:rPr>
                    <w:t>Prawdopodobie</w:t>
                  </w:r>
                  <w:proofErr w:type="spellEnd"/>
                </w:p>
              </w:tc>
              <w:tc>
                <w:tcPr>
                  <w:tcW w:w="606" w:type="dxa"/>
                  <w:tcBorders>
                    <w:top w:val="single" w:sz="6" w:space="0" w:color="FFFFFF"/>
                    <w:bottom w:val="single" w:sz="6" w:space="0" w:color="FFFFFF"/>
                  </w:tcBorders>
                  <w:shd w:val="clear" w:color="auto" w:fill="DBE5F1"/>
                  <w:vAlign w:val="center"/>
                </w:tcPr>
                <w:p w14:paraId="3411C27E"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A</w:t>
                  </w:r>
                </w:p>
              </w:tc>
              <w:tc>
                <w:tcPr>
                  <w:tcW w:w="816" w:type="dxa"/>
                  <w:tcBorders>
                    <w:top w:val="single" w:sz="6" w:space="0" w:color="FFFFFF"/>
                  </w:tcBorders>
                  <w:shd w:val="clear" w:color="auto" w:fill="92D050"/>
                  <w:vAlign w:val="center"/>
                </w:tcPr>
                <w:p w14:paraId="285F3C3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tcBorders>
                    <w:top w:val="single" w:sz="6" w:space="0" w:color="FFFFFF"/>
                  </w:tcBorders>
                  <w:shd w:val="clear" w:color="auto" w:fill="92D050"/>
                  <w:vAlign w:val="center"/>
                </w:tcPr>
                <w:p w14:paraId="68958E5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59" w:type="dxa"/>
                  <w:tcBorders>
                    <w:top w:val="single" w:sz="6" w:space="0" w:color="FFFFFF"/>
                  </w:tcBorders>
                  <w:shd w:val="clear" w:color="auto" w:fill="92D050"/>
                  <w:vAlign w:val="center"/>
                </w:tcPr>
                <w:p w14:paraId="4C81F48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59" w:type="dxa"/>
                  <w:tcBorders>
                    <w:top w:val="single" w:sz="6" w:space="0" w:color="FFFFFF"/>
                  </w:tcBorders>
                  <w:shd w:val="clear" w:color="auto" w:fill="92D050"/>
                  <w:vAlign w:val="center"/>
                </w:tcPr>
                <w:p w14:paraId="308E818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62" w:type="dxa"/>
                  <w:tcBorders>
                    <w:top w:val="single" w:sz="6" w:space="0" w:color="FFFFFF"/>
                    <w:bottom w:val="single" w:sz="6" w:space="0" w:color="FFFFFF"/>
                  </w:tcBorders>
                  <w:shd w:val="clear" w:color="auto" w:fill="FFFF00"/>
                  <w:vAlign w:val="center"/>
                </w:tcPr>
                <w:p w14:paraId="660B4758"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r>
            <w:tr w:rsidR="00600DEE" w14:paraId="6BA1B5FE"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3E61E22C"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single" w:sz="6" w:space="0" w:color="FFFFFF"/>
                  </w:tcBorders>
                  <w:shd w:val="clear" w:color="auto" w:fill="DBE5F1"/>
                  <w:vAlign w:val="center"/>
                </w:tcPr>
                <w:p w14:paraId="4C2E7784"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B</w:t>
                  </w:r>
                </w:p>
              </w:tc>
              <w:tc>
                <w:tcPr>
                  <w:tcW w:w="816" w:type="dxa"/>
                  <w:shd w:val="clear" w:color="auto" w:fill="92D050"/>
                  <w:vAlign w:val="center"/>
                </w:tcPr>
                <w:p w14:paraId="2DABF25F"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shd w:val="clear" w:color="auto" w:fill="92D050"/>
                  <w:vAlign w:val="center"/>
                </w:tcPr>
                <w:p w14:paraId="387E042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59" w:type="dxa"/>
                  <w:shd w:val="clear" w:color="auto" w:fill="FFFF00"/>
                  <w:vAlign w:val="center"/>
                </w:tcPr>
                <w:p w14:paraId="5572E7C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bottom w:val="single" w:sz="6" w:space="0" w:color="FFFFFF"/>
                  </w:tcBorders>
                  <w:shd w:val="clear" w:color="auto" w:fill="FFFF00"/>
                  <w:vAlign w:val="center"/>
                </w:tcPr>
                <w:p w14:paraId="34325DF6"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62" w:type="dxa"/>
                  <w:tcBorders>
                    <w:top w:val="single" w:sz="6" w:space="0" w:color="FFFFFF"/>
                    <w:bottom w:val="single" w:sz="6" w:space="0" w:color="FFFFFF"/>
                  </w:tcBorders>
                  <w:shd w:val="clear" w:color="auto" w:fill="FF0000"/>
                  <w:vAlign w:val="center"/>
                </w:tcPr>
                <w:p w14:paraId="0B4B87B4"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r>
            <w:tr w:rsidR="00600DEE" w14:paraId="7A13063F"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35CFB48E"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single" w:sz="6" w:space="0" w:color="FFFFFF"/>
                  </w:tcBorders>
                  <w:shd w:val="clear" w:color="auto" w:fill="DBE5F1"/>
                  <w:vAlign w:val="center"/>
                </w:tcPr>
                <w:p w14:paraId="7C4E78FC"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C</w:t>
                  </w:r>
                </w:p>
              </w:tc>
              <w:tc>
                <w:tcPr>
                  <w:tcW w:w="816" w:type="dxa"/>
                  <w:shd w:val="clear" w:color="auto" w:fill="92D050"/>
                  <w:vAlign w:val="center"/>
                </w:tcPr>
                <w:p w14:paraId="69844DB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shd w:val="clear" w:color="auto" w:fill="FFFF00"/>
                  <w:vAlign w:val="center"/>
                </w:tcPr>
                <w:p w14:paraId="13A71E9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bottom w:val="single" w:sz="6" w:space="0" w:color="FFFFFF"/>
                  </w:tcBorders>
                  <w:shd w:val="clear" w:color="auto" w:fill="FFFF00"/>
                  <w:vAlign w:val="center"/>
                </w:tcPr>
                <w:p w14:paraId="0D4DFD1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top w:val="single" w:sz="6" w:space="0" w:color="FFFFFF"/>
                    <w:bottom w:val="single" w:sz="6" w:space="0" w:color="FFFFFF"/>
                  </w:tcBorders>
                  <w:shd w:val="clear" w:color="auto" w:fill="FF0000"/>
                  <w:vAlign w:val="center"/>
                </w:tcPr>
                <w:p w14:paraId="03F27070"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c>
                <w:tcPr>
                  <w:tcW w:w="1362" w:type="dxa"/>
                  <w:tcBorders>
                    <w:top w:val="single" w:sz="6" w:space="0" w:color="FFFFFF"/>
                  </w:tcBorders>
                  <w:shd w:val="clear" w:color="auto" w:fill="FF0000"/>
                  <w:vAlign w:val="center"/>
                </w:tcPr>
                <w:p w14:paraId="06D0247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r>
            <w:tr w:rsidR="00600DEE" w14:paraId="04051087"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46E3A11D"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single" w:sz="6" w:space="0" w:color="FFFFFF"/>
                  </w:tcBorders>
                  <w:shd w:val="clear" w:color="auto" w:fill="DBE5F1"/>
                  <w:vAlign w:val="center"/>
                </w:tcPr>
                <w:p w14:paraId="25A8A3B0"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D</w:t>
                  </w:r>
                </w:p>
              </w:tc>
              <w:tc>
                <w:tcPr>
                  <w:tcW w:w="816" w:type="dxa"/>
                  <w:shd w:val="clear" w:color="auto" w:fill="92D050"/>
                  <w:vAlign w:val="center"/>
                </w:tcPr>
                <w:p w14:paraId="519C5BB9"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shd w:val="clear" w:color="auto" w:fill="FFFF00"/>
                  <w:vAlign w:val="center"/>
                </w:tcPr>
                <w:p w14:paraId="7677984D"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top w:val="single" w:sz="6" w:space="0" w:color="FFFFFF"/>
                    <w:bottom w:val="single" w:sz="6" w:space="0" w:color="FFFFFF"/>
                  </w:tcBorders>
                  <w:shd w:val="clear" w:color="auto" w:fill="FF0000"/>
                  <w:vAlign w:val="center"/>
                </w:tcPr>
                <w:p w14:paraId="651AC8D7"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c>
                <w:tcPr>
                  <w:tcW w:w="1359" w:type="dxa"/>
                  <w:tcBorders>
                    <w:top w:val="single" w:sz="6" w:space="0" w:color="FFFFFF"/>
                  </w:tcBorders>
                  <w:shd w:val="clear" w:color="auto" w:fill="C00000"/>
                  <w:vAlign w:val="center"/>
                </w:tcPr>
                <w:p w14:paraId="4F97DE82"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c>
                <w:tcPr>
                  <w:tcW w:w="1362" w:type="dxa"/>
                  <w:shd w:val="clear" w:color="auto" w:fill="C00000"/>
                  <w:vAlign w:val="center"/>
                </w:tcPr>
                <w:p w14:paraId="10400B7A"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r>
            <w:tr w:rsidR="00600DEE" w14:paraId="26F0F018"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5157D047"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nil"/>
                  </w:tcBorders>
                  <w:shd w:val="clear" w:color="auto" w:fill="DBE5F1"/>
                  <w:vAlign w:val="center"/>
                </w:tcPr>
                <w:p w14:paraId="30DE0757"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E</w:t>
                  </w:r>
                </w:p>
              </w:tc>
              <w:tc>
                <w:tcPr>
                  <w:tcW w:w="816" w:type="dxa"/>
                  <w:shd w:val="clear" w:color="auto" w:fill="FFFF00"/>
                  <w:vAlign w:val="center"/>
                </w:tcPr>
                <w:p w14:paraId="50CC5C6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815" w:type="dxa"/>
                  <w:shd w:val="clear" w:color="auto" w:fill="FF0000"/>
                  <w:vAlign w:val="center"/>
                </w:tcPr>
                <w:p w14:paraId="4B011C41"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c>
                <w:tcPr>
                  <w:tcW w:w="1359" w:type="dxa"/>
                  <w:tcBorders>
                    <w:top w:val="single" w:sz="6" w:space="0" w:color="FFFFFF"/>
                  </w:tcBorders>
                  <w:shd w:val="clear" w:color="auto" w:fill="C00000"/>
                  <w:vAlign w:val="center"/>
                </w:tcPr>
                <w:p w14:paraId="04A5BEB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c>
                <w:tcPr>
                  <w:tcW w:w="1359" w:type="dxa"/>
                  <w:shd w:val="clear" w:color="auto" w:fill="C00000"/>
                  <w:vAlign w:val="center"/>
                </w:tcPr>
                <w:p w14:paraId="6592F2F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c>
                <w:tcPr>
                  <w:tcW w:w="1362" w:type="dxa"/>
                  <w:shd w:val="clear" w:color="auto" w:fill="C00000"/>
                  <w:vAlign w:val="center"/>
                </w:tcPr>
                <w:p w14:paraId="517F97D7"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r>
          </w:tbl>
          <w:p w14:paraId="04378C28" w14:textId="77777777" w:rsidR="00600DEE" w:rsidRPr="00374F74" w:rsidRDefault="00641FB5">
            <w:pPr>
              <w:spacing w:before="120" w:after="120" w:line="276" w:lineRule="auto"/>
              <w:ind w:right="170"/>
              <w:jc w:val="both"/>
              <w:rPr>
                <w:rFonts w:ascii="Calibri" w:eastAsia="Calibri" w:hAnsi="Calibri" w:cs="Calibri"/>
                <w:b/>
                <w:i/>
                <w:sz w:val="16"/>
                <w:szCs w:val="16"/>
              </w:rPr>
            </w:pPr>
            <w:r w:rsidRPr="00374F74">
              <w:rPr>
                <w:rFonts w:ascii="Calibri" w:eastAsia="Calibri" w:hAnsi="Calibri" w:cs="Calibri"/>
                <w:b/>
                <w:i/>
                <w:sz w:val="16"/>
                <w:szCs w:val="16"/>
              </w:rPr>
              <w:t xml:space="preserve">Źródło: “Guide to </w:t>
            </w:r>
            <w:proofErr w:type="spellStart"/>
            <w:r w:rsidRPr="00374F74">
              <w:rPr>
                <w:rFonts w:ascii="Calibri" w:eastAsia="Calibri" w:hAnsi="Calibri" w:cs="Calibri"/>
                <w:b/>
                <w:i/>
                <w:sz w:val="16"/>
                <w:szCs w:val="16"/>
              </w:rPr>
              <w:t>Cost</w:t>
            </w:r>
            <w:proofErr w:type="spellEnd"/>
            <w:r w:rsidRPr="00374F74">
              <w:rPr>
                <w:rFonts w:ascii="Calibri" w:eastAsia="Calibri" w:hAnsi="Calibri" w:cs="Calibri"/>
                <w:b/>
                <w:i/>
                <w:sz w:val="16"/>
                <w:szCs w:val="16"/>
              </w:rPr>
              <w:t xml:space="preserve">-benefit Analysis of Investment </w:t>
            </w:r>
            <w:proofErr w:type="spellStart"/>
            <w:r w:rsidRPr="00374F74">
              <w:rPr>
                <w:rFonts w:ascii="Calibri" w:eastAsia="Calibri" w:hAnsi="Calibri" w:cs="Calibri"/>
                <w:b/>
                <w:i/>
                <w:sz w:val="16"/>
                <w:szCs w:val="16"/>
              </w:rPr>
              <w:t>Projects</w:t>
            </w:r>
            <w:proofErr w:type="spellEnd"/>
            <w:r w:rsidRPr="00374F74">
              <w:rPr>
                <w:rFonts w:ascii="Calibri" w:eastAsia="Calibri" w:hAnsi="Calibri" w:cs="Calibri"/>
                <w:b/>
                <w:i/>
                <w:sz w:val="16"/>
                <w:szCs w:val="16"/>
              </w:rPr>
              <w:t xml:space="preserve"> - </w:t>
            </w:r>
            <w:proofErr w:type="spellStart"/>
            <w:r w:rsidRPr="00374F74">
              <w:rPr>
                <w:rFonts w:ascii="Calibri" w:eastAsia="Calibri" w:hAnsi="Calibri" w:cs="Calibri"/>
                <w:b/>
                <w:i/>
                <w:sz w:val="16"/>
                <w:szCs w:val="16"/>
              </w:rPr>
              <w:t>Economic</w:t>
            </w:r>
            <w:proofErr w:type="spellEnd"/>
            <w:r w:rsidRPr="00374F74">
              <w:rPr>
                <w:rFonts w:ascii="Calibri" w:eastAsia="Calibri" w:hAnsi="Calibri" w:cs="Calibri"/>
                <w:b/>
                <w:i/>
                <w:sz w:val="16"/>
                <w:szCs w:val="16"/>
              </w:rPr>
              <w:t xml:space="preserve"> </w:t>
            </w:r>
            <w:proofErr w:type="spellStart"/>
            <w:r w:rsidRPr="00374F74">
              <w:rPr>
                <w:rFonts w:ascii="Calibri" w:eastAsia="Calibri" w:hAnsi="Calibri" w:cs="Calibri"/>
                <w:b/>
                <w:i/>
                <w:sz w:val="16"/>
                <w:szCs w:val="16"/>
              </w:rPr>
              <w:t>appraisal</w:t>
            </w:r>
            <w:proofErr w:type="spellEnd"/>
            <w:r w:rsidRPr="00374F74">
              <w:rPr>
                <w:rFonts w:ascii="Calibri" w:eastAsia="Calibri" w:hAnsi="Calibri" w:cs="Calibri"/>
                <w:b/>
                <w:i/>
                <w:sz w:val="16"/>
                <w:szCs w:val="16"/>
              </w:rPr>
              <w:t xml:space="preserve"> </w:t>
            </w:r>
            <w:proofErr w:type="spellStart"/>
            <w:r w:rsidRPr="00374F74">
              <w:rPr>
                <w:rFonts w:ascii="Calibri" w:eastAsia="Calibri" w:hAnsi="Calibri" w:cs="Calibri"/>
                <w:b/>
                <w:i/>
                <w:sz w:val="16"/>
                <w:szCs w:val="16"/>
              </w:rPr>
              <w:t>tool</w:t>
            </w:r>
            <w:proofErr w:type="spellEnd"/>
            <w:r w:rsidRPr="00374F74">
              <w:rPr>
                <w:rFonts w:ascii="Calibri" w:eastAsia="Calibri" w:hAnsi="Calibri" w:cs="Calibri"/>
                <w:b/>
                <w:i/>
                <w:sz w:val="16"/>
                <w:szCs w:val="16"/>
              </w:rPr>
              <w:t xml:space="preserve"> for </w:t>
            </w:r>
            <w:proofErr w:type="spellStart"/>
            <w:r w:rsidRPr="00374F74">
              <w:rPr>
                <w:rFonts w:ascii="Calibri" w:eastAsia="Calibri" w:hAnsi="Calibri" w:cs="Calibri"/>
                <w:b/>
                <w:i/>
                <w:sz w:val="16"/>
                <w:szCs w:val="16"/>
              </w:rPr>
              <w:t>Cohesion</w:t>
            </w:r>
            <w:proofErr w:type="spellEnd"/>
            <w:r w:rsidRPr="00374F74">
              <w:rPr>
                <w:rFonts w:ascii="Calibri" w:eastAsia="Calibri" w:hAnsi="Calibri" w:cs="Calibri"/>
                <w:b/>
                <w:i/>
                <w:sz w:val="16"/>
                <w:szCs w:val="16"/>
              </w:rPr>
              <w:t xml:space="preserve"> Policy 2014-2020” DG </w:t>
            </w:r>
            <w:proofErr w:type="spellStart"/>
            <w:r w:rsidRPr="00374F74">
              <w:rPr>
                <w:rFonts w:ascii="Calibri" w:eastAsia="Calibri" w:hAnsi="Calibri" w:cs="Calibri"/>
                <w:b/>
                <w:i/>
                <w:sz w:val="16"/>
                <w:szCs w:val="16"/>
              </w:rPr>
              <w:t>Regio</w:t>
            </w:r>
            <w:proofErr w:type="spellEnd"/>
            <w:r w:rsidRPr="00374F74">
              <w:rPr>
                <w:rFonts w:ascii="Calibri" w:eastAsia="Calibri" w:hAnsi="Calibri" w:cs="Calibri"/>
                <w:b/>
                <w:i/>
                <w:sz w:val="16"/>
                <w:szCs w:val="16"/>
              </w:rPr>
              <w:t>, grudzień 2014.</w:t>
            </w:r>
          </w:p>
          <w:p w14:paraId="6208A04A" w14:textId="6764CB8B"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12" w:name="_heading=h.2nusc19" w:colFirst="0" w:colLast="0"/>
            <w:bookmarkEnd w:id="112"/>
            <w:r>
              <w:rPr>
                <w:rFonts w:ascii="Calibri" w:eastAsia="Calibri" w:hAnsi="Calibri" w:cs="Calibri"/>
                <w:b/>
                <w:color w:val="000000"/>
                <w:sz w:val="20"/>
                <w:szCs w:val="20"/>
              </w:rPr>
              <w:lastRenderedPageBreak/>
              <w:t>Należy podkreślić, że częścią analizy jakościowej ryzyka całego projektu powinna być</w:t>
            </w:r>
            <w:r>
              <w:rPr>
                <w:rFonts w:ascii="Calibri" w:eastAsia="Calibri" w:hAnsi="Calibri" w:cs="Calibri"/>
                <w:color w:val="000000"/>
                <w:sz w:val="20"/>
                <w:szCs w:val="20"/>
              </w:rPr>
              <w:t xml:space="preserve"> </w:t>
            </w:r>
            <w:r>
              <w:rPr>
                <w:rFonts w:ascii="Calibri" w:eastAsia="Calibri" w:hAnsi="Calibri" w:cs="Calibri"/>
                <w:b/>
                <w:color w:val="000000"/>
                <w:sz w:val="20"/>
                <w:szCs w:val="20"/>
              </w:rPr>
              <w:t xml:space="preserve">ocena ryzyka zmian klimatu (w szczególności będzie to wymagało szerszego ujęcia, jeśli nie zostało ujęte w OOŚ). Działania zaradcze, adaptacyjne i uodparniające na skutki zmian klimatu powinny być należycie przedstawione. Szczegółowe wytyczne na ten temat nie są przedmiotem niniejszego podręcznika, </w:t>
            </w:r>
            <w:r w:rsidR="00B67038">
              <w:rPr>
                <w:rFonts w:ascii="Calibri" w:eastAsia="Calibri" w:hAnsi="Calibri" w:cs="Calibri"/>
                <w:b/>
                <w:color w:val="000000"/>
                <w:sz w:val="20"/>
                <w:szCs w:val="20"/>
              </w:rPr>
              <w:t>ale</w:t>
            </w:r>
            <w:r>
              <w:rPr>
                <w:rFonts w:ascii="Calibri" w:eastAsia="Calibri" w:hAnsi="Calibri" w:cs="Calibri"/>
                <w:b/>
                <w:color w:val="000000"/>
                <w:sz w:val="20"/>
                <w:szCs w:val="20"/>
              </w:rPr>
              <w:t xml:space="preserve"> powinny być częścią ogólnej analizy ryzyka projektu wg. powyżej przedstawionego podejścia</w:t>
            </w:r>
            <w:r w:rsidRPr="00B67038">
              <w:rPr>
                <w:rFonts w:ascii="Calibri" w:eastAsia="Calibri" w:hAnsi="Calibri" w:cs="Calibri"/>
                <w:b/>
                <w:color w:val="000000"/>
                <w:sz w:val="20"/>
                <w:szCs w:val="20"/>
              </w:rPr>
              <w:t xml:space="preserve">, </w:t>
            </w:r>
            <w:r w:rsidR="00B67038" w:rsidRPr="00B67038">
              <w:rPr>
                <w:rFonts w:asciiTheme="minorHAnsi" w:hAnsiTheme="minorHAnsi"/>
                <w:b/>
                <w:sz w:val="20"/>
                <w:szCs w:val="20"/>
                <w:lang w:eastAsia="en-US"/>
              </w:rPr>
              <w:t xml:space="preserve">szczegółowe zalecenia znajdują się w dokumencie </w:t>
            </w:r>
            <w:hyperlink r:id="rId134">
              <w:r>
                <w:rPr>
                  <w:rFonts w:ascii="Calibri" w:eastAsia="Calibri" w:hAnsi="Calibri" w:cs="Calibri"/>
                  <w:b/>
                  <w:color w:val="0000FF"/>
                  <w:sz w:val="20"/>
                  <w:szCs w:val="20"/>
                  <w:u w:val="single"/>
                </w:rPr>
                <w:t>Wytyczne techniczne dotyczące weryfikacji infrastruktury pod względem wpływu na klimat w latach 2021–2027</w:t>
              </w:r>
            </w:hyperlink>
            <w:r>
              <w:rPr>
                <w:rFonts w:ascii="Calibri" w:eastAsia="Calibri" w:hAnsi="Calibri" w:cs="Calibri"/>
                <w:b/>
                <w:color w:val="000000"/>
                <w:sz w:val="20"/>
                <w:szCs w:val="20"/>
              </w:rPr>
              <w:t>.</w:t>
            </w:r>
          </w:p>
          <w:p w14:paraId="7FFA14D7"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Działania zaradcze i wskazanie podmiotów odpowiedzialnych </w:t>
            </w:r>
          </w:p>
          <w:p w14:paraId="37FE73C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 zidentyfikowaniu </w:t>
            </w:r>
            <w:proofErr w:type="spellStart"/>
            <w:r>
              <w:rPr>
                <w:rFonts w:ascii="Calibri" w:eastAsia="Calibri" w:hAnsi="Calibri" w:cs="Calibri"/>
                <w:color w:val="000000"/>
                <w:sz w:val="20"/>
                <w:szCs w:val="20"/>
              </w:rPr>
              <w:t>ryzyk</w:t>
            </w:r>
            <w:proofErr w:type="spellEnd"/>
            <w:r>
              <w:rPr>
                <w:rFonts w:ascii="Calibri" w:eastAsia="Calibri" w:hAnsi="Calibri" w:cs="Calibri"/>
                <w:color w:val="000000"/>
                <w:sz w:val="20"/>
                <w:szCs w:val="20"/>
              </w:rPr>
              <w:t xml:space="preserve"> i ich ocenie, dla każdego ryzyka należy określić strategię reagowania oraz działania zaradcze. </w:t>
            </w:r>
          </w:p>
          <w:p w14:paraId="37AC033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Wyróżniamy cztery główne strategie działań zaradczych:</w:t>
            </w:r>
          </w:p>
          <w:p w14:paraId="5D03323C"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Zapobieganie ryzyku:</w:t>
            </w:r>
            <w:r>
              <w:rPr>
                <w:rFonts w:ascii="Calibri" w:eastAsia="Calibri" w:hAnsi="Calibri" w:cs="Calibri"/>
                <w:color w:val="000000"/>
                <w:sz w:val="20"/>
                <w:szCs w:val="20"/>
              </w:rPr>
              <w:t xml:space="preserve"> oznacza zmianę planu przedsięwzięcia w celu wyeliminowania zagrożenia lub wyeliminowania wpływu ryzyka na projekt. Działania zaradcze mogą polegać na zmianie projektu technicznego, modelu instytucjonalnego, sposobu finansowania lub formuły kontraktu wykonawczego.</w:t>
            </w:r>
          </w:p>
          <w:p w14:paraId="5EAB13EB"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Ograniczanie ryzyka:</w:t>
            </w:r>
            <w:r>
              <w:rPr>
                <w:rFonts w:ascii="Calibri" w:eastAsia="Calibri" w:hAnsi="Calibri" w:cs="Calibri"/>
                <w:color w:val="000000"/>
                <w:sz w:val="20"/>
                <w:szCs w:val="20"/>
              </w:rPr>
              <w:t xml:space="preserve"> oznacza redukcję prawdopodobieństwa wystąpienia ryzyka lub jego skutków poprzez wprowadzenie zmian do przedsięwzięcia, takich jak zmiany w projektowaniu lub wykorzystaniu materiałów. Różnica w stosunku do strategii ”zapobiegania” ryzyka polega na tym, że ryzyko jest jedynie ograniczone, a nie jest wyeliminowane.</w:t>
            </w:r>
          </w:p>
          <w:p w14:paraId="6427FC54"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Przeniesienie ryzyka:</w:t>
            </w:r>
            <w:r>
              <w:rPr>
                <w:rFonts w:ascii="Calibri" w:eastAsia="Calibri" w:hAnsi="Calibri" w:cs="Calibri"/>
                <w:color w:val="000000"/>
                <w:sz w:val="20"/>
                <w:szCs w:val="20"/>
              </w:rPr>
              <w:t xml:space="preserve"> oznacza przeniesienie odpowiedzialności za ryzyko na stronę trzecią (inny podmiot) za określoną cenę. Firmy ubezpieczeniowe są najbardziej oczywistym przykładem takiej strony trzeciej, ale może to być również inny podmiot uczestniczący w projekcie, np. wykonawca. Przeniesienie ryzyka musi wynikać z umowy, gwarancji lub mechanizmów cenowych (między innymi). Przeniesienie ryzyka ma sens tylko wtedy, jeśli strona przejmująca ryzyko jest w stanie (lepiej) kontrolować dane ryzyko, a także posiada środki na pokrycie skutków oddziaływania danego ryzyka, w przypadku, gdy ryzyko się zmaterializuje.</w:t>
            </w:r>
          </w:p>
          <w:p w14:paraId="6D081A2C"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Tolerowanie ryzyka:</w:t>
            </w:r>
            <w:r>
              <w:rPr>
                <w:rFonts w:ascii="Calibri" w:eastAsia="Calibri" w:hAnsi="Calibri" w:cs="Calibri"/>
                <w:color w:val="000000"/>
                <w:sz w:val="20"/>
                <w:szCs w:val="20"/>
              </w:rPr>
              <w:t xml:space="preserve"> jest strategią przyjmowaną w sytuacjach, w których nie można zapobiec ryzyku, ograniczyć go lub (ekonomicznie) przenieść. Dlatego takie ryzyko musi być po prostu tolerowane. Jednakże to podejście wymaga opracowania planu awaryjnego na wypadek wystąpienia negatywnego zdarzenia lecz nie wymaga wcześniejszych działań.</w:t>
            </w:r>
          </w:p>
          <w:p w14:paraId="6AE10D42" w14:textId="77777777" w:rsidR="00600DEE" w:rsidRDefault="00641FB5" w:rsidP="003441F7">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Strategie ”Zapobiegania” i “Ograniczania” są powiązane z matrycą poziomu ryzyka w następujący sposób:</w:t>
            </w:r>
          </w:p>
          <w:tbl>
            <w:tblPr>
              <w:tblStyle w:val="afffffffc"/>
              <w:tblW w:w="5973" w:type="dxa"/>
              <w:tblBorders>
                <w:top w:val="single" w:sz="4" w:space="0" w:color="9BBB59"/>
                <w:bottom w:val="single" w:sz="4" w:space="0" w:color="9BBB59"/>
              </w:tblBorders>
              <w:tblLayout w:type="fixed"/>
              <w:tblLook w:val="0400" w:firstRow="0" w:lastRow="0" w:firstColumn="0" w:lastColumn="0" w:noHBand="0" w:noVBand="1"/>
            </w:tblPr>
            <w:tblGrid>
              <w:gridCol w:w="2086"/>
              <w:gridCol w:w="275"/>
              <w:gridCol w:w="1144"/>
              <w:gridCol w:w="831"/>
              <w:gridCol w:w="876"/>
              <w:gridCol w:w="761"/>
            </w:tblGrid>
            <w:tr w:rsidR="00600DEE" w14:paraId="2673C819" w14:textId="77777777">
              <w:trPr>
                <w:trHeight w:val="520"/>
              </w:trPr>
              <w:tc>
                <w:tcPr>
                  <w:tcW w:w="2086" w:type="dxa"/>
                  <w:tcBorders>
                    <w:top w:val="single" w:sz="4" w:space="0" w:color="92D050"/>
                    <w:bottom w:val="single" w:sz="4" w:space="0" w:color="92D050"/>
                    <w:right w:val="single" w:sz="4" w:space="0" w:color="92D050"/>
                  </w:tcBorders>
                  <w:shd w:val="clear" w:color="auto" w:fill="auto"/>
                  <w:vAlign w:val="center"/>
                </w:tcPr>
                <w:p w14:paraId="56C67FCE"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Siła wpływu/ Prawdopodobieństwo</w:t>
                  </w:r>
                </w:p>
              </w:tc>
              <w:tc>
                <w:tcPr>
                  <w:tcW w:w="275" w:type="dxa"/>
                  <w:tcBorders>
                    <w:top w:val="single" w:sz="4" w:space="0" w:color="92D050"/>
                    <w:left w:val="single" w:sz="4" w:space="0" w:color="92D050"/>
                    <w:bottom w:val="single" w:sz="4" w:space="0" w:color="92D050"/>
                    <w:right w:val="nil"/>
                  </w:tcBorders>
                  <w:shd w:val="clear" w:color="auto" w:fill="auto"/>
                  <w:vAlign w:val="center"/>
                </w:tcPr>
                <w:p w14:paraId="1821F228"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w:t>
                  </w:r>
                </w:p>
              </w:tc>
              <w:tc>
                <w:tcPr>
                  <w:tcW w:w="1144" w:type="dxa"/>
                  <w:tcBorders>
                    <w:top w:val="single" w:sz="4" w:space="0" w:color="92D050"/>
                    <w:left w:val="nil"/>
                    <w:bottom w:val="single" w:sz="4" w:space="0" w:color="92D050"/>
                  </w:tcBorders>
                  <w:shd w:val="clear" w:color="auto" w:fill="auto"/>
                  <w:vAlign w:val="center"/>
                </w:tcPr>
                <w:p w14:paraId="6953A6B8"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II</w:t>
                  </w:r>
                </w:p>
              </w:tc>
              <w:tc>
                <w:tcPr>
                  <w:tcW w:w="831" w:type="dxa"/>
                  <w:tcBorders>
                    <w:top w:val="single" w:sz="4" w:space="0" w:color="92D050"/>
                    <w:bottom w:val="single" w:sz="4" w:space="0" w:color="92D050"/>
                  </w:tcBorders>
                  <w:shd w:val="clear" w:color="auto" w:fill="auto"/>
                  <w:vAlign w:val="center"/>
                </w:tcPr>
                <w:p w14:paraId="492FD7E8"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III</w:t>
                  </w:r>
                </w:p>
              </w:tc>
              <w:tc>
                <w:tcPr>
                  <w:tcW w:w="876" w:type="dxa"/>
                  <w:tcBorders>
                    <w:top w:val="single" w:sz="4" w:space="0" w:color="92D050"/>
                    <w:bottom w:val="single" w:sz="4" w:space="0" w:color="92D050"/>
                  </w:tcBorders>
                  <w:shd w:val="clear" w:color="auto" w:fill="auto"/>
                  <w:vAlign w:val="center"/>
                </w:tcPr>
                <w:p w14:paraId="4B7AAACF"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IV</w:t>
                  </w:r>
                </w:p>
              </w:tc>
              <w:tc>
                <w:tcPr>
                  <w:tcW w:w="761" w:type="dxa"/>
                  <w:tcBorders>
                    <w:top w:val="single" w:sz="4" w:space="0" w:color="92D050"/>
                    <w:bottom w:val="single" w:sz="4" w:space="0" w:color="92D050"/>
                  </w:tcBorders>
                  <w:shd w:val="clear" w:color="auto" w:fill="auto"/>
                  <w:vAlign w:val="center"/>
                </w:tcPr>
                <w:p w14:paraId="3BF7A4A3"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V</w:t>
                  </w:r>
                </w:p>
              </w:tc>
            </w:tr>
            <w:tr w:rsidR="00600DEE" w14:paraId="4DD7EEC5" w14:textId="77777777">
              <w:tc>
                <w:tcPr>
                  <w:tcW w:w="2086" w:type="dxa"/>
                  <w:tcBorders>
                    <w:top w:val="single" w:sz="4" w:space="0" w:color="92D050"/>
                    <w:bottom w:val="nil"/>
                    <w:right w:val="single" w:sz="4" w:space="0" w:color="92D050"/>
                  </w:tcBorders>
                  <w:shd w:val="clear" w:color="auto" w:fill="auto"/>
                  <w:vAlign w:val="center"/>
                </w:tcPr>
                <w:p w14:paraId="42D03A7A"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A</w:t>
                  </w:r>
                </w:p>
              </w:tc>
              <w:tc>
                <w:tcPr>
                  <w:tcW w:w="1419" w:type="dxa"/>
                  <w:gridSpan w:val="2"/>
                  <w:vMerge w:val="restart"/>
                  <w:tcBorders>
                    <w:top w:val="single" w:sz="4" w:space="0" w:color="92D050"/>
                    <w:left w:val="single" w:sz="4" w:space="0" w:color="92D050"/>
                    <w:bottom w:val="nil"/>
                  </w:tcBorders>
                  <w:shd w:val="clear" w:color="auto" w:fill="auto"/>
                  <w:vAlign w:val="center"/>
                </w:tcPr>
                <w:p w14:paraId="49603A87"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Zapobieganie lub ograniczanie</w:t>
                  </w:r>
                </w:p>
              </w:tc>
              <w:tc>
                <w:tcPr>
                  <w:tcW w:w="2468" w:type="dxa"/>
                  <w:gridSpan w:val="3"/>
                  <w:vMerge w:val="restart"/>
                  <w:tcBorders>
                    <w:top w:val="single" w:sz="4" w:space="0" w:color="92D050"/>
                    <w:bottom w:val="nil"/>
                  </w:tcBorders>
                  <w:shd w:val="clear" w:color="auto" w:fill="auto"/>
                  <w:vAlign w:val="center"/>
                </w:tcPr>
                <w:p w14:paraId="0BB22F94"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Ograniczanie</w:t>
                  </w:r>
                </w:p>
              </w:tc>
            </w:tr>
            <w:tr w:rsidR="00600DEE" w14:paraId="23CA3D61" w14:textId="77777777">
              <w:tc>
                <w:tcPr>
                  <w:tcW w:w="2086" w:type="dxa"/>
                  <w:tcBorders>
                    <w:top w:val="nil"/>
                    <w:right w:val="single" w:sz="4" w:space="0" w:color="92D050"/>
                  </w:tcBorders>
                  <w:shd w:val="clear" w:color="auto" w:fill="auto"/>
                  <w:vAlign w:val="center"/>
                </w:tcPr>
                <w:p w14:paraId="6FEFE9A2"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B</w:t>
                  </w:r>
                </w:p>
              </w:tc>
              <w:tc>
                <w:tcPr>
                  <w:tcW w:w="1419" w:type="dxa"/>
                  <w:gridSpan w:val="2"/>
                  <w:vMerge/>
                  <w:tcBorders>
                    <w:top w:val="single" w:sz="4" w:space="0" w:color="92D050"/>
                    <w:left w:val="single" w:sz="4" w:space="0" w:color="92D050"/>
                    <w:bottom w:val="nil"/>
                  </w:tcBorders>
                  <w:shd w:val="clear" w:color="auto" w:fill="auto"/>
                  <w:vAlign w:val="center"/>
                </w:tcPr>
                <w:p w14:paraId="61E2E589"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c>
                <w:tcPr>
                  <w:tcW w:w="2468" w:type="dxa"/>
                  <w:gridSpan w:val="3"/>
                  <w:vMerge/>
                  <w:tcBorders>
                    <w:top w:val="single" w:sz="4" w:space="0" w:color="92D050"/>
                    <w:bottom w:val="nil"/>
                  </w:tcBorders>
                  <w:shd w:val="clear" w:color="auto" w:fill="auto"/>
                  <w:vAlign w:val="center"/>
                </w:tcPr>
                <w:p w14:paraId="588C9202"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r>
            <w:tr w:rsidR="00600DEE" w14:paraId="12002841" w14:textId="77777777">
              <w:tc>
                <w:tcPr>
                  <w:tcW w:w="2086" w:type="dxa"/>
                  <w:tcBorders>
                    <w:bottom w:val="nil"/>
                    <w:right w:val="single" w:sz="4" w:space="0" w:color="92D050"/>
                  </w:tcBorders>
                  <w:shd w:val="clear" w:color="auto" w:fill="auto"/>
                  <w:vAlign w:val="center"/>
                </w:tcPr>
                <w:p w14:paraId="20A1863C"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C</w:t>
                  </w:r>
                </w:p>
              </w:tc>
              <w:tc>
                <w:tcPr>
                  <w:tcW w:w="1419" w:type="dxa"/>
                  <w:gridSpan w:val="2"/>
                  <w:vMerge/>
                  <w:tcBorders>
                    <w:top w:val="single" w:sz="4" w:space="0" w:color="92D050"/>
                    <w:left w:val="single" w:sz="4" w:space="0" w:color="92D050"/>
                    <w:bottom w:val="nil"/>
                  </w:tcBorders>
                  <w:shd w:val="clear" w:color="auto" w:fill="auto"/>
                  <w:vAlign w:val="center"/>
                </w:tcPr>
                <w:p w14:paraId="6FA77706"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c>
                <w:tcPr>
                  <w:tcW w:w="2468" w:type="dxa"/>
                  <w:gridSpan w:val="3"/>
                  <w:vMerge/>
                  <w:tcBorders>
                    <w:top w:val="single" w:sz="4" w:space="0" w:color="92D050"/>
                    <w:bottom w:val="nil"/>
                  </w:tcBorders>
                  <w:shd w:val="clear" w:color="auto" w:fill="auto"/>
                  <w:vAlign w:val="center"/>
                </w:tcPr>
                <w:p w14:paraId="068E091C"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r>
            <w:tr w:rsidR="00600DEE" w14:paraId="4744FE6A" w14:textId="77777777">
              <w:tc>
                <w:tcPr>
                  <w:tcW w:w="2086" w:type="dxa"/>
                  <w:tcBorders>
                    <w:top w:val="nil"/>
                    <w:bottom w:val="nil"/>
                    <w:right w:val="single" w:sz="4" w:space="0" w:color="92D050"/>
                  </w:tcBorders>
                  <w:shd w:val="clear" w:color="auto" w:fill="auto"/>
                  <w:vAlign w:val="center"/>
                </w:tcPr>
                <w:p w14:paraId="2B14F81E"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D</w:t>
                  </w:r>
                </w:p>
              </w:tc>
              <w:tc>
                <w:tcPr>
                  <w:tcW w:w="1419" w:type="dxa"/>
                  <w:gridSpan w:val="2"/>
                  <w:vMerge w:val="restart"/>
                  <w:tcBorders>
                    <w:top w:val="nil"/>
                    <w:left w:val="single" w:sz="4" w:space="0" w:color="92D050"/>
                    <w:bottom w:val="nil"/>
                  </w:tcBorders>
                  <w:shd w:val="clear" w:color="auto" w:fill="auto"/>
                  <w:vAlign w:val="center"/>
                </w:tcPr>
                <w:p w14:paraId="5E7F5AB5"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Zapobieganie</w:t>
                  </w:r>
                </w:p>
              </w:tc>
              <w:tc>
                <w:tcPr>
                  <w:tcW w:w="2468" w:type="dxa"/>
                  <w:gridSpan w:val="3"/>
                  <w:vMerge w:val="restart"/>
                  <w:shd w:val="clear" w:color="auto" w:fill="auto"/>
                  <w:vAlign w:val="center"/>
                </w:tcPr>
                <w:p w14:paraId="56C7BA5A"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Zapobieganie i ograniczanie</w:t>
                  </w:r>
                </w:p>
              </w:tc>
            </w:tr>
            <w:tr w:rsidR="00600DEE" w14:paraId="463AED4B" w14:textId="77777777">
              <w:tc>
                <w:tcPr>
                  <w:tcW w:w="2086" w:type="dxa"/>
                  <w:tcBorders>
                    <w:top w:val="nil"/>
                    <w:bottom w:val="single" w:sz="4" w:space="0" w:color="92D050"/>
                    <w:right w:val="single" w:sz="4" w:space="0" w:color="92D050"/>
                  </w:tcBorders>
                  <w:shd w:val="clear" w:color="auto" w:fill="auto"/>
                  <w:vAlign w:val="center"/>
                </w:tcPr>
                <w:p w14:paraId="3CE0FBAE"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E</w:t>
                  </w:r>
                </w:p>
              </w:tc>
              <w:tc>
                <w:tcPr>
                  <w:tcW w:w="1419" w:type="dxa"/>
                  <w:gridSpan w:val="2"/>
                  <w:vMerge/>
                  <w:tcBorders>
                    <w:top w:val="nil"/>
                    <w:left w:val="single" w:sz="4" w:space="0" w:color="92D050"/>
                    <w:bottom w:val="nil"/>
                  </w:tcBorders>
                  <w:shd w:val="clear" w:color="auto" w:fill="auto"/>
                  <w:vAlign w:val="center"/>
                </w:tcPr>
                <w:p w14:paraId="1E240D84"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c>
                <w:tcPr>
                  <w:tcW w:w="2468" w:type="dxa"/>
                  <w:gridSpan w:val="3"/>
                  <w:vMerge/>
                  <w:shd w:val="clear" w:color="auto" w:fill="auto"/>
                  <w:vAlign w:val="center"/>
                </w:tcPr>
                <w:p w14:paraId="6827497B"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r>
          </w:tbl>
          <w:p w14:paraId="5DAE2884" w14:textId="77777777" w:rsidR="00600DEE" w:rsidRDefault="00641FB5">
            <w:pPr>
              <w:spacing w:before="120" w:line="276" w:lineRule="auto"/>
              <w:ind w:right="170"/>
              <w:jc w:val="both"/>
              <w:rPr>
                <w:rFonts w:ascii="Calibri" w:eastAsia="Calibri" w:hAnsi="Calibri" w:cs="Calibri"/>
                <w:b/>
                <w:i/>
                <w:sz w:val="16"/>
                <w:szCs w:val="16"/>
              </w:rPr>
            </w:pPr>
            <w:r>
              <w:rPr>
                <w:rFonts w:ascii="Calibri" w:eastAsia="Calibri" w:hAnsi="Calibri" w:cs="Calibri"/>
                <w:b/>
                <w:i/>
                <w:sz w:val="16"/>
                <w:szCs w:val="16"/>
              </w:rPr>
              <w:t xml:space="preserve">Źródło: “Guide to </w:t>
            </w:r>
            <w:proofErr w:type="spellStart"/>
            <w:r>
              <w:rPr>
                <w:rFonts w:ascii="Calibri" w:eastAsia="Calibri" w:hAnsi="Calibri" w:cs="Calibri"/>
                <w:b/>
                <w:i/>
                <w:sz w:val="16"/>
                <w:szCs w:val="16"/>
              </w:rPr>
              <w:t>Cost</w:t>
            </w:r>
            <w:proofErr w:type="spellEnd"/>
            <w:r>
              <w:rPr>
                <w:rFonts w:ascii="Calibri" w:eastAsia="Calibri" w:hAnsi="Calibri" w:cs="Calibri"/>
                <w:b/>
                <w:i/>
                <w:sz w:val="16"/>
                <w:szCs w:val="16"/>
              </w:rPr>
              <w:t xml:space="preserve">-benefit Analysis of Investment </w:t>
            </w:r>
            <w:proofErr w:type="spellStart"/>
            <w:r>
              <w:rPr>
                <w:rFonts w:ascii="Calibri" w:eastAsia="Calibri" w:hAnsi="Calibri" w:cs="Calibri"/>
                <w:b/>
                <w:i/>
                <w:sz w:val="16"/>
                <w:szCs w:val="16"/>
              </w:rPr>
              <w:t>Projects</w:t>
            </w:r>
            <w:proofErr w:type="spellEnd"/>
            <w:r>
              <w:rPr>
                <w:rFonts w:ascii="Calibri" w:eastAsia="Calibri" w:hAnsi="Calibri" w:cs="Calibri"/>
                <w:b/>
                <w:i/>
                <w:sz w:val="16"/>
                <w:szCs w:val="16"/>
              </w:rPr>
              <w:t xml:space="preserve"> - </w:t>
            </w:r>
            <w:proofErr w:type="spellStart"/>
            <w:r>
              <w:rPr>
                <w:rFonts w:ascii="Calibri" w:eastAsia="Calibri" w:hAnsi="Calibri" w:cs="Calibri"/>
                <w:b/>
                <w:i/>
                <w:sz w:val="16"/>
                <w:szCs w:val="16"/>
              </w:rPr>
              <w:t>Economic</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appraisal</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tool</w:t>
            </w:r>
            <w:proofErr w:type="spellEnd"/>
            <w:r>
              <w:rPr>
                <w:rFonts w:ascii="Calibri" w:eastAsia="Calibri" w:hAnsi="Calibri" w:cs="Calibri"/>
                <w:b/>
                <w:i/>
                <w:sz w:val="16"/>
                <w:szCs w:val="16"/>
              </w:rPr>
              <w:t xml:space="preserve"> for </w:t>
            </w:r>
            <w:proofErr w:type="spellStart"/>
            <w:r>
              <w:rPr>
                <w:rFonts w:ascii="Calibri" w:eastAsia="Calibri" w:hAnsi="Calibri" w:cs="Calibri"/>
                <w:b/>
                <w:i/>
                <w:sz w:val="16"/>
                <w:szCs w:val="16"/>
              </w:rPr>
              <w:t>Cohesion</w:t>
            </w:r>
            <w:proofErr w:type="spellEnd"/>
            <w:r>
              <w:rPr>
                <w:rFonts w:ascii="Calibri" w:eastAsia="Calibri" w:hAnsi="Calibri" w:cs="Calibri"/>
                <w:b/>
                <w:i/>
                <w:sz w:val="16"/>
                <w:szCs w:val="16"/>
              </w:rPr>
              <w:t xml:space="preserve"> Policy 2014-2020” DG </w:t>
            </w:r>
            <w:proofErr w:type="spellStart"/>
            <w:r>
              <w:rPr>
                <w:rFonts w:ascii="Calibri" w:eastAsia="Calibri" w:hAnsi="Calibri" w:cs="Calibri"/>
                <w:b/>
                <w:i/>
                <w:sz w:val="16"/>
                <w:szCs w:val="16"/>
              </w:rPr>
              <w:t>Regio</w:t>
            </w:r>
            <w:proofErr w:type="spellEnd"/>
            <w:r>
              <w:rPr>
                <w:rFonts w:ascii="Calibri" w:eastAsia="Calibri" w:hAnsi="Calibri" w:cs="Calibri"/>
                <w:b/>
                <w:i/>
                <w:sz w:val="16"/>
                <w:szCs w:val="16"/>
              </w:rPr>
              <w:t>, grudzień 2014.</w:t>
            </w:r>
          </w:p>
          <w:p w14:paraId="7D553AB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Strategie “Przeniesienie” i “Tolerowanie” dotyczą tylko wybranych czynników ryzyka.</w:t>
            </w:r>
          </w:p>
          <w:p w14:paraId="49BAC53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 wyborze strategii reagowania, dla każdego czynnika ryzyka, należy określić bardziej szczegółowe działania zaradcze dla każdego z nich. Dla wybranych działań zaradczych należy uwzględnić koszty ich wprowadzania. Należy również jednoznacznie wskazać podmiot odpowiedzialny za ich realizację.</w:t>
            </w:r>
          </w:p>
          <w:p w14:paraId="1D2BB78E" w14:textId="6232EB34"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13" w:name="_heading=h.1302m92" w:colFirst="0" w:colLast="0"/>
            <w:bookmarkEnd w:id="113"/>
            <w:r>
              <w:rPr>
                <w:rFonts w:ascii="Calibri" w:eastAsia="Calibri" w:hAnsi="Calibri" w:cs="Calibri"/>
                <w:b/>
                <w:color w:val="000000"/>
                <w:sz w:val="20"/>
                <w:szCs w:val="20"/>
              </w:rPr>
              <w:t>Monitorowanie ryzyka</w:t>
            </w:r>
          </w:p>
          <w:p w14:paraId="312D726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14" w:name="_heading=h.3mzq4wv" w:colFirst="0" w:colLast="0"/>
            <w:bookmarkEnd w:id="114"/>
            <w:r>
              <w:rPr>
                <w:rFonts w:ascii="Calibri" w:eastAsia="Calibri" w:hAnsi="Calibri" w:cs="Calibri"/>
                <w:color w:val="000000"/>
                <w:sz w:val="20"/>
                <w:szCs w:val="20"/>
              </w:rPr>
              <w:t>Beneficjent musi opisać zastosowane strategie monitorowania ryzyka, aby później można było oszacować prawidłowość oceny ryzyka i skuteczność działań zaradczych. Można przedstawić krótki opis procedur monitorowania i stosowanych protokołów.</w:t>
            </w:r>
          </w:p>
          <w:p w14:paraId="378A3BD2"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Analiza ilościowa ryzyka</w:t>
            </w:r>
          </w:p>
          <w:p w14:paraId="4D25CAC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Probabilistyczna analiza ryzyka jest wymagana wtedy, gdy ryzyko rezydualne jest nadal znaczne lub w innych przypadkach, w zależności od wielkości projektu oraz dostępności danych o rozkładach prawdopodobieństwa. Pomimo że nie jest to obowiązkowe, zachęcamy Beneficjentów do wykorzystywania rozkładów prawdopodobieństwa uzyskanych na podstawie historycznych danych o wdrożonych projektach, jeśli są one dostępne, takich jak: wartość nakładów kapitałowych, termin realizacji przedsięwzięcia, wartość korzyści ekonomicznych, czy też dane ruchowe. </w:t>
            </w:r>
          </w:p>
          <w:p w14:paraId="3DE1AFFA"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color w:val="000000"/>
                <w:sz w:val="20"/>
                <w:szCs w:val="20"/>
              </w:rPr>
              <w:t xml:space="preserve">W sektorze transportu, krytycznymi parametrami dla projektu są najczęściej koszt inwestycji, poziom ruchu i terminy realizacji projektu (opóźnienia powodują zmniejszenie korzyści). Po zgromadzeniu odpowiednich danych i zakończeniu </w:t>
            </w:r>
            <w:r>
              <w:rPr>
                <w:rFonts w:ascii="Calibri" w:eastAsia="Calibri" w:hAnsi="Calibri" w:cs="Calibri"/>
                <w:color w:val="000000"/>
                <w:sz w:val="20"/>
                <w:szCs w:val="20"/>
              </w:rPr>
              <w:lastRenderedPageBreak/>
              <w:t>analizy, przy pomocy funkcji rozkładu prawdopodobieństwa zmiennych, można za pomocą symulacji Monte Carlo lub podobnych narzędzi, wyznaczyć rozkład prawdopodobieństwa dla wartości ERR, ENPV, FNPV i FRR (jeśli możliwe).</w:t>
            </w:r>
          </w:p>
          <w:p w14:paraId="1628E8A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Jeśli nie są dostępne rozkłady prawdopodobieństwa, analiza ryzyka projektu będzie ograniczona tylko do analizy jakościowej.</w:t>
            </w:r>
          </w:p>
        </w:tc>
        <w:tc>
          <w:tcPr>
            <w:tcW w:w="7201" w:type="dxa"/>
            <w:tcBorders>
              <w:left w:val="single" w:sz="4" w:space="0" w:color="000000"/>
            </w:tcBorders>
            <w:tcMar>
              <w:left w:w="284" w:type="dxa"/>
              <w:right w:w="284" w:type="dxa"/>
            </w:tcMar>
            <w:vAlign w:val="center"/>
          </w:tcPr>
          <w:p w14:paraId="3A73336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It is recommended to assess the project risks considering the following stages:</w:t>
            </w:r>
          </w:p>
          <w:p w14:paraId="7087C83D"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Risk</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identification</w:t>
            </w:r>
            <w:proofErr w:type="spellEnd"/>
          </w:p>
          <w:p w14:paraId="2419B37D"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Qualitative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risk</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analysis</w:t>
            </w:r>
            <w:proofErr w:type="spellEnd"/>
          </w:p>
          <w:p w14:paraId="09078879"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Mitigation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measures</w:t>
            </w:r>
            <w:proofErr w:type="spellEnd"/>
            <w:r>
              <w:rPr>
                <w:rFonts w:ascii="Calibri" w:eastAsia="Calibri" w:hAnsi="Calibri" w:cs="Calibri"/>
                <w:color w:val="000000"/>
                <w:sz w:val="20"/>
                <w:szCs w:val="20"/>
              </w:rPr>
              <w:t xml:space="preserve"> and </w:t>
            </w:r>
            <w:proofErr w:type="spellStart"/>
            <w:r>
              <w:rPr>
                <w:rFonts w:ascii="Calibri" w:eastAsia="Calibri" w:hAnsi="Calibri" w:cs="Calibri"/>
                <w:color w:val="000000"/>
                <w:sz w:val="20"/>
                <w:szCs w:val="20"/>
              </w:rPr>
              <w:t>allocation</w:t>
            </w:r>
            <w:proofErr w:type="spellEnd"/>
            <w:r>
              <w:rPr>
                <w:rFonts w:ascii="Calibri" w:eastAsia="Calibri" w:hAnsi="Calibri" w:cs="Calibri"/>
                <w:color w:val="000000"/>
                <w:sz w:val="20"/>
                <w:szCs w:val="20"/>
              </w:rPr>
              <w:t xml:space="preserve"> </w:t>
            </w:r>
          </w:p>
          <w:p w14:paraId="010B3711"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Monitoring</w:t>
            </w:r>
          </w:p>
          <w:p w14:paraId="264C47FE"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Quantitative risk analysis (in the cases specified below)</w:t>
            </w:r>
          </w:p>
          <w:p w14:paraId="57729352" w14:textId="401B358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methodology of carrying out the above mentioned stages is described below; results should be synthetized using the tables presented in the last chapter of the Risk Assessment and be accompanied by an interpretation.</w:t>
            </w:r>
          </w:p>
          <w:p w14:paraId="6EE24F8A" w14:textId="77777777" w:rsidR="00FD2E0C" w:rsidRPr="0045151D" w:rsidRDefault="00FD2E0C" w:rsidP="00FD2E0C">
            <w:pPr>
              <w:pBdr>
                <w:top w:val="nil"/>
                <w:left w:val="nil"/>
                <w:bottom w:val="nil"/>
                <w:right w:val="nil"/>
                <w:between w:val="nil"/>
              </w:pBdr>
              <w:spacing w:before="240"/>
              <w:jc w:val="both"/>
              <w:rPr>
                <w:rFonts w:ascii="Calibri" w:eastAsia="Calibri" w:hAnsi="Calibri" w:cs="Calibri"/>
                <w:color w:val="000000"/>
                <w:sz w:val="20"/>
                <w:szCs w:val="20"/>
                <w:lang w:val="en-GB"/>
              </w:rPr>
            </w:pPr>
          </w:p>
          <w:p w14:paraId="618A9108" w14:textId="2A05681D" w:rsidR="00600DEE" w:rsidRPr="0045151D" w:rsidRDefault="00641FB5" w:rsidP="0018582B">
            <w:pPr>
              <w:pBdr>
                <w:top w:val="nil"/>
                <w:left w:val="nil"/>
                <w:bottom w:val="nil"/>
                <w:right w:val="nil"/>
                <w:between w:val="nil"/>
              </w:pBdr>
              <w:spacing w:before="36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Risk identification</w:t>
            </w:r>
          </w:p>
          <w:p w14:paraId="1BEAD92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Beneficiary should identify all risks that could have impact on the project; several common risks for road projects are presented in the table below. For each risk it should be identified if this risk is considered active (e.g. present and relevant for the project at the stage of the risk analysis elaboration), or not. If not (i.e. the risk is “closed”), then this should be briefly explained. In case the risk is identified as active, a detailed qualitative risk analysis has to be performed, as described below.</w:t>
            </w:r>
          </w:p>
          <w:p w14:paraId="1B990FE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A02B706" w14:textId="535EEE18"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BE0FB83" w14:textId="011DC6E8" w:rsidR="00FD2E0C" w:rsidRPr="0045151D" w:rsidRDefault="00FD2E0C">
            <w:pPr>
              <w:pBdr>
                <w:top w:val="nil"/>
                <w:left w:val="nil"/>
                <w:bottom w:val="nil"/>
                <w:right w:val="nil"/>
                <w:between w:val="nil"/>
              </w:pBdr>
              <w:spacing w:before="120"/>
              <w:jc w:val="both"/>
              <w:rPr>
                <w:rFonts w:ascii="Calibri" w:eastAsia="Calibri" w:hAnsi="Calibri" w:cs="Calibri"/>
                <w:color w:val="000000"/>
                <w:sz w:val="20"/>
                <w:szCs w:val="20"/>
                <w:lang w:val="en-GB"/>
              </w:rPr>
            </w:pPr>
          </w:p>
          <w:p w14:paraId="3534594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34524C3E" w14:textId="616CD271" w:rsidR="00600DEE" w:rsidRPr="00416DAD" w:rsidRDefault="00B67038">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31</w:t>
            </w:r>
            <w:r w:rsidR="00641FB5" w:rsidRPr="00416DAD">
              <w:rPr>
                <w:rFonts w:ascii="Calibri" w:eastAsia="Calibri" w:hAnsi="Calibri" w:cs="Calibri"/>
                <w:b/>
                <w:color w:val="4F81BD"/>
                <w:sz w:val="20"/>
                <w:szCs w:val="20"/>
                <w:lang w:val="en-GB"/>
              </w:rPr>
              <w:t>. Risk identification</w:t>
            </w:r>
          </w:p>
          <w:tbl>
            <w:tblPr>
              <w:tblStyle w:val="afffffffd"/>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096"/>
              <w:gridCol w:w="2084"/>
              <w:gridCol w:w="1759"/>
            </w:tblGrid>
            <w:tr w:rsidR="00600DEE" w:rsidRPr="007463B9" w14:paraId="1DD5DAD7" w14:textId="77777777" w:rsidTr="000117E4">
              <w:trPr>
                <w:trHeight w:hRule="exact" w:val="680"/>
              </w:trPr>
              <w:tc>
                <w:tcPr>
                  <w:tcW w:w="3096" w:type="dxa"/>
                  <w:shd w:val="clear" w:color="auto" w:fill="A6A6A6"/>
                  <w:vAlign w:val="center"/>
                </w:tcPr>
                <w:p w14:paraId="5443B0A0" w14:textId="77777777" w:rsidR="00600DEE" w:rsidRPr="00416DAD" w:rsidRDefault="00641FB5">
                  <w:pPr>
                    <w:spacing w:line="264" w:lineRule="auto"/>
                    <w:jc w:val="center"/>
                    <w:rPr>
                      <w:rFonts w:ascii="Calibri" w:eastAsia="Calibri" w:hAnsi="Calibri" w:cs="Calibri"/>
                      <w:b/>
                      <w:color w:val="FFFFFF"/>
                      <w:sz w:val="17"/>
                      <w:szCs w:val="17"/>
                      <w:lang w:val="en-GB"/>
                    </w:rPr>
                  </w:pPr>
                  <w:r w:rsidRPr="00416DAD">
                    <w:rPr>
                      <w:rFonts w:ascii="Calibri" w:eastAsia="Calibri" w:hAnsi="Calibri" w:cs="Calibri"/>
                      <w:b/>
                      <w:color w:val="FFFFFF"/>
                      <w:sz w:val="17"/>
                      <w:szCs w:val="17"/>
                      <w:lang w:val="en-GB"/>
                    </w:rPr>
                    <w:t>Risk name</w:t>
                  </w:r>
                </w:p>
              </w:tc>
              <w:tc>
                <w:tcPr>
                  <w:tcW w:w="2084" w:type="dxa"/>
                  <w:shd w:val="clear" w:color="auto" w:fill="A6A6A6"/>
                  <w:vAlign w:val="center"/>
                </w:tcPr>
                <w:p w14:paraId="43DBDC9E" w14:textId="77777777" w:rsidR="00600DEE" w:rsidRPr="00416DAD" w:rsidRDefault="00641FB5">
                  <w:pPr>
                    <w:spacing w:line="264" w:lineRule="auto"/>
                    <w:jc w:val="center"/>
                    <w:rPr>
                      <w:rFonts w:ascii="Calibri" w:eastAsia="Calibri" w:hAnsi="Calibri" w:cs="Calibri"/>
                      <w:b/>
                      <w:color w:val="FFFFFF"/>
                      <w:sz w:val="17"/>
                      <w:szCs w:val="17"/>
                      <w:lang w:val="en-GB"/>
                    </w:rPr>
                  </w:pPr>
                  <w:r w:rsidRPr="00416DAD">
                    <w:rPr>
                      <w:rFonts w:ascii="Calibri" w:eastAsia="Calibri" w:hAnsi="Calibri" w:cs="Calibri"/>
                      <w:b/>
                      <w:color w:val="FFFFFF"/>
                      <w:sz w:val="17"/>
                      <w:szCs w:val="17"/>
                      <w:lang w:val="en-GB"/>
                    </w:rPr>
                    <w:t>Risk status (active/closed)</w:t>
                  </w:r>
                </w:p>
              </w:tc>
              <w:tc>
                <w:tcPr>
                  <w:tcW w:w="1759" w:type="dxa"/>
                  <w:shd w:val="clear" w:color="auto" w:fill="A6A6A6"/>
                  <w:vAlign w:val="center"/>
                </w:tcPr>
                <w:p w14:paraId="64AB61DA" w14:textId="77777777" w:rsidR="00600DEE" w:rsidRPr="0045151D" w:rsidRDefault="00641FB5">
                  <w:pPr>
                    <w:spacing w:line="264" w:lineRule="auto"/>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If closed, provide the reasons.</w:t>
                  </w:r>
                </w:p>
              </w:tc>
            </w:tr>
            <w:tr w:rsidR="00600DEE" w:rsidRPr="007463B9" w14:paraId="3E15B55E" w14:textId="77777777" w:rsidTr="000117E4">
              <w:trPr>
                <w:trHeight w:hRule="exact" w:val="794"/>
              </w:trPr>
              <w:tc>
                <w:tcPr>
                  <w:tcW w:w="3096" w:type="dxa"/>
                  <w:shd w:val="clear" w:color="auto" w:fill="DBE5F1"/>
                </w:tcPr>
                <w:p w14:paraId="30391A23"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Demand risks:</w:t>
                  </w:r>
                </w:p>
                <w:p w14:paraId="19AC74C1"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Traffic different than predicted</w:t>
                  </w:r>
                </w:p>
              </w:tc>
              <w:tc>
                <w:tcPr>
                  <w:tcW w:w="2084" w:type="dxa"/>
                  <w:shd w:val="clear" w:color="auto" w:fill="DBE5F1"/>
                </w:tcPr>
                <w:p w14:paraId="0807C0E5"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tcPr>
                <w:p w14:paraId="2C7FCE2F"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62DEBC4A" w14:textId="77777777" w:rsidTr="000117E4">
              <w:trPr>
                <w:trHeight w:val="1134"/>
              </w:trPr>
              <w:tc>
                <w:tcPr>
                  <w:tcW w:w="3096" w:type="dxa"/>
                  <w:shd w:val="clear" w:color="auto" w:fill="DBE5F1"/>
                  <w:vAlign w:val="bottom"/>
                </w:tcPr>
                <w:p w14:paraId="61DBBE3F"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Design risks:</w:t>
                  </w:r>
                </w:p>
                <w:p w14:paraId="461E74B1"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Inadequate site surveys and investigation</w:t>
                  </w:r>
                </w:p>
                <w:p w14:paraId="196F832B"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Inadequate design cost estimates</w:t>
                  </w:r>
                </w:p>
                <w:p w14:paraId="6607CC6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Mistakes in design</w:t>
                  </w:r>
                </w:p>
              </w:tc>
              <w:tc>
                <w:tcPr>
                  <w:tcW w:w="2084" w:type="dxa"/>
                  <w:shd w:val="clear" w:color="auto" w:fill="DBE5F1"/>
                </w:tcPr>
                <w:p w14:paraId="543A808F"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tcPr>
                <w:p w14:paraId="6362DDAA"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29DD0D21" w14:textId="77777777" w:rsidTr="0035488D">
              <w:trPr>
                <w:trHeight w:val="2268"/>
              </w:trPr>
              <w:tc>
                <w:tcPr>
                  <w:tcW w:w="3096" w:type="dxa"/>
                  <w:shd w:val="clear" w:color="auto" w:fill="DBE5F1"/>
                  <w:vAlign w:val="bottom"/>
                </w:tcPr>
                <w:p w14:paraId="15EA548D"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Administrative risks (permits)</w:t>
                  </w:r>
                </w:p>
                <w:p w14:paraId="59BA6DC1"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obtaining implementation permits (e.g. building permit)</w:t>
                  </w:r>
                </w:p>
                <w:p w14:paraId="6011585B"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utility connections approvals</w:t>
                  </w:r>
                </w:p>
                <w:p w14:paraId="147793B2"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obtaining environmental approvals</w:t>
                  </w:r>
                </w:p>
                <w:p w14:paraId="4A69D813"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elimination of collisions with media</w:t>
                  </w:r>
                </w:p>
              </w:tc>
              <w:tc>
                <w:tcPr>
                  <w:tcW w:w="2084" w:type="dxa"/>
                  <w:shd w:val="clear" w:color="auto" w:fill="DBE5F1"/>
                </w:tcPr>
                <w:p w14:paraId="59932485"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tcPr>
                <w:p w14:paraId="7CECF76D" w14:textId="77777777" w:rsidR="00600DEE" w:rsidRPr="0045151D" w:rsidRDefault="00600DEE">
                  <w:pPr>
                    <w:jc w:val="center"/>
                    <w:rPr>
                      <w:rFonts w:ascii="Calibri" w:eastAsia="Calibri" w:hAnsi="Calibri" w:cs="Calibri"/>
                      <w:color w:val="4F81BD"/>
                      <w:sz w:val="17"/>
                      <w:szCs w:val="17"/>
                      <w:lang w:val="en-GB"/>
                    </w:rPr>
                  </w:pPr>
                </w:p>
              </w:tc>
            </w:tr>
            <w:tr w:rsidR="00600DEE" w14:paraId="7864FA82" w14:textId="77777777" w:rsidTr="00FD2E0C">
              <w:trPr>
                <w:trHeight w:hRule="exact" w:val="680"/>
              </w:trPr>
              <w:tc>
                <w:tcPr>
                  <w:tcW w:w="3096" w:type="dxa"/>
                  <w:shd w:val="clear" w:color="auto" w:fill="DBE5F1"/>
                  <w:vAlign w:val="bottom"/>
                </w:tcPr>
                <w:p w14:paraId="204D80A2"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Land acquisition risks</w:t>
                  </w:r>
                </w:p>
                <w:p w14:paraId="584C91E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Land costs higher than predicted</w:t>
                  </w:r>
                </w:p>
                <w:p w14:paraId="52710B51" w14:textId="77777777" w:rsidR="00600DEE" w:rsidRDefault="00641FB5">
                  <w:pPr>
                    <w:rPr>
                      <w:rFonts w:ascii="Calibri" w:eastAsia="Calibri" w:hAnsi="Calibri" w:cs="Calibri"/>
                      <w:color w:val="4F81BD"/>
                      <w:sz w:val="17"/>
                      <w:szCs w:val="17"/>
                    </w:rPr>
                  </w:pPr>
                  <w:proofErr w:type="spellStart"/>
                  <w:r>
                    <w:rPr>
                      <w:rFonts w:ascii="Calibri" w:eastAsia="Calibri" w:hAnsi="Calibri" w:cs="Calibri"/>
                      <w:color w:val="4F81BD"/>
                      <w:sz w:val="17"/>
                      <w:szCs w:val="17"/>
                    </w:rPr>
                    <w:t>Procedural</w:t>
                  </w:r>
                  <w:proofErr w:type="spellEnd"/>
                  <w:r>
                    <w:rPr>
                      <w:rFonts w:ascii="Calibri" w:eastAsia="Calibri" w:hAnsi="Calibri" w:cs="Calibri"/>
                      <w:color w:val="4F81BD"/>
                      <w:sz w:val="17"/>
                      <w:szCs w:val="17"/>
                    </w:rPr>
                    <w:t xml:space="preserve"> </w:t>
                  </w:r>
                  <w:proofErr w:type="spellStart"/>
                  <w:r>
                    <w:rPr>
                      <w:rFonts w:ascii="Calibri" w:eastAsia="Calibri" w:hAnsi="Calibri" w:cs="Calibri"/>
                      <w:color w:val="4F81BD"/>
                      <w:sz w:val="17"/>
                      <w:szCs w:val="17"/>
                    </w:rPr>
                    <w:t>delays</w:t>
                  </w:r>
                  <w:proofErr w:type="spellEnd"/>
                </w:p>
                <w:p w14:paraId="0E3A8723" w14:textId="77777777" w:rsidR="000A249F" w:rsidRDefault="000A249F">
                  <w:pPr>
                    <w:rPr>
                      <w:rFonts w:ascii="Calibri" w:eastAsia="Calibri" w:hAnsi="Calibri" w:cs="Calibri"/>
                      <w:color w:val="4F81BD"/>
                      <w:sz w:val="17"/>
                      <w:szCs w:val="17"/>
                    </w:rPr>
                  </w:pPr>
                </w:p>
                <w:p w14:paraId="0C873174" w14:textId="55CC0076" w:rsidR="000A249F" w:rsidRDefault="000A249F">
                  <w:pPr>
                    <w:rPr>
                      <w:rFonts w:ascii="Calibri" w:eastAsia="Calibri" w:hAnsi="Calibri" w:cs="Calibri"/>
                      <w:color w:val="4F81BD"/>
                      <w:sz w:val="17"/>
                      <w:szCs w:val="17"/>
                    </w:rPr>
                  </w:pPr>
                </w:p>
              </w:tc>
              <w:tc>
                <w:tcPr>
                  <w:tcW w:w="2084" w:type="dxa"/>
                  <w:shd w:val="clear" w:color="auto" w:fill="DBE5F1"/>
                </w:tcPr>
                <w:p w14:paraId="3980E863" w14:textId="77777777" w:rsidR="00600DEE" w:rsidRDefault="00600DEE">
                  <w:pPr>
                    <w:jc w:val="center"/>
                    <w:rPr>
                      <w:rFonts w:ascii="Calibri" w:eastAsia="Calibri" w:hAnsi="Calibri" w:cs="Calibri"/>
                      <w:color w:val="4F81BD"/>
                      <w:sz w:val="17"/>
                      <w:szCs w:val="17"/>
                    </w:rPr>
                  </w:pPr>
                </w:p>
              </w:tc>
              <w:tc>
                <w:tcPr>
                  <w:tcW w:w="1759" w:type="dxa"/>
                  <w:shd w:val="clear" w:color="auto" w:fill="DBE5F1"/>
                </w:tcPr>
                <w:p w14:paraId="215FEF1D" w14:textId="77777777" w:rsidR="00600DEE" w:rsidRDefault="00600DEE">
                  <w:pPr>
                    <w:jc w:val="center"/>
                    <w:rPr>
                      <w:rFonts w:ascii="Calibri" w:eastAsia="Calibri" w:hAnsi="Calibri" w:cs="Calibri"/>
                      <w:color w:val="4F81BD"/>
                      <w:sz w:val="17"/>
                      <w:szCs w:val="17"/>
                    </w:rPr>
                  </w:pPr>
                </w:p>
              </w:tc>
            </w:tr>
            <w:tr w:rsidR="00600DEE" w14:paraId="0B74D9A7" w14:textId="77777777" w:rsidTr="00FD2E0C">
              <w:trPr>
                <w:trHeight w:hRule="exact" w:val="680"/>
              </w:trPr>
              <w:tc>
                <w:tcPr>
                  <w:tcW w:w="3096" w:type="dxa"/>
                  <w:tcBorders>
                    <w:bottom w:val="single" w:sz="4" w:space="0" w:color="FFFFFF"/>
                  </w:tcBorders>
                  <w:shd w:val="clear" w:color="auto" w:fill="DBE5F1"/>
                  <w:vAlign w:val="bottom"/>
                </w:tcPr>
                <w:p w14:paraId="54EB384C" w14:textId="77777777" w:rsidR="00600DEE" w:rsidRDefault="00641FB5">
                  <w:pPr>
                    <w:rPr>
                      <w:rFonts w:ascii="Calibri" w:eastAsia="Calibri" w:hAnsi="Calibri" w:cs="Calibri"/>
                      <w:b/>
                      <w:color w:val="4F81BD"/>
                      <w:sz w:val="17"/>
                      <w:szCs w:val="17"/>
                      <w:u w:val="single"/>
                    </w:rPr>
                  </w:pPr>
                  <w:proofErr w:type="spellStart"/>
                  <w:r>
                    <w:rPr>
                      <w:rFonts w:ascii="Calibri" w:eastAsia="Calibri" w:hAnsi="Calibri" w:cs="Calibri"/>
                      <w:b/>
                      <w:color w:val="4F81BD"/>
                      <w:sz w:val="17"/>
                      <w:szCs w:val="17"/>
                      <w:u w:val="single"/>
                    </w:rPr>
                    <w:t>Procurement</w:t>
                  </w:r>
                  <w:proofErr w:type="spellEnd"/>
                  <w:r>
                    <w:rPr>
                      <w:rFonts w:ascii="Calibri" w:eastAsia="Calibri" w:hAnsi="Calibri" w:cs="Calibri"/>
                      <w:b/>
                      <w:color w:val="4F81BD"/>
                      <w:sz w:val="17"/>
                      <w:szCs w:val="17"/>
                      <w:u w:val="single"/>
                    </w:rPr>
                    <w:t xml:space="preserve"> </w:t>
                  </w:r>
                  <w:proofErr w:type="spellStart"/>
                  <w:r>
                    <w:rPr>
                      <w:rFonts w:ascii="Calibri" w:eastAsia="Calibri" w:hAnsi="Calibri" w:cs="Calibri"/>
                      <w:b/>
                      <w:color w:val="4F81BD"/>
                      <w:sz w:val="17"/>
                      <w:szCs w:val="17"/>
                      <w:u w:val="single"/>
                    </w:rPr>
                    <w:t>risks</w:t>
                  </w:r>
                  <w:proofErr w:type="spellEnd"/>
                </w:p>
                <w:p w14:paraId="34FBD449" w14:textId="77777777" w:rsidR="00600DEE" w:rsidRDefault="00641FB5">
                  <w:pPr>
                    <w:rPr>
                      <w:rFonts w:ascii="Calibri" w:eastAsia="Calibri" w:hAnsi="Calibri" w:cs="Calibri"/>
                      <w:color w:val="4F81BD"/>
                      <w:sz w:val="17"/>
                      <w:szCs w:val="17"/>
                    </w:rPr>
                  </w:pPr>
                  <w:proofErr w:type="spellStart"/>
                  <w:r>
                    <w:rPr>
                      <w:rFonts w:ascii="Calibri" w:eastAsia="Calibri" w:hAnsi="Calibri" w:cs="Calibri"/>
                      <w:color w:val="4F81BD"/>
                      <w:sz w:val="17"/>
                      <w:szCs w:val="17"/>
                    </w:rPr>
                    <w:t>Procedural</w:t>
                  </w:r>
                  <w:proofErr w:type="spellEnd"/>
                  <w:r>
                    <w:rPr>
                      <w:rFonts w:ascii="Calibri" w:eastAsia="Calibri" w:hAnsi="Calibri" w:cs="Calibri"/>
                      <w:color w:val="4F81BD"/>
                      <w:sz w:val="17"/>
                      <w:szCs w:val="17"/>
                    </w:rPr>
                    <w:t xml:space="preserve"> </w:t>
                  </w:r>
                  <w:proofErr w:type="spellStart"/>
                  <w:r>
                    <w:rPr>
                      <w:rFonts w:ascii="Calibri" w:eastAsia="Calibri" w:hAnsi="Calibri" w:cs="Calibri"/>
                      <w:color w:val="4F81BD"/>
                      <w:sz w:val="17"/>
                      <w:szCs w:val="17"/>
                    </w:rPr>
                    <w:t>delays</w:t>
                  </w:r>
                  <w:proofErr w:type="spellEnd"/>
                </w:p>
                <w:p w14:paraId="290D12B8" w14:textId="77777777" w:rsidR="000A249F" w:rsidRDefault="000A249F">
                  <w:pPr>
                    <w:rPr>
                      <w:rFonts w:ascii="Calibri" w:eastAsia="Calibri" w:hAnsi="Calibri" w:cs="Calibri"/>
                      <w:color w:val="4F81BD"/>
                      <w:sz w:val="17"/>
                      <w:szCs w:val="17"/>
                    </w:rPr>
                  </w:pPr>
                </w:p>
                <w:p w14:paraId="5EDBAB2D" w14:textId="3C0BBAE1" w:rsidR="000A249F" w:rsidRDefault="000A249F">
                  <w:pPr>
                    <w:rPr>
                      <w:rFonts w:ascii="Calibri" w:eastAsia="Calibri" w:hAnsi="Calibri" w:cs="Calibri"/>
                      <w:color w:val="4F81BD"/>
                      <w:sz w:val="17"/>
                      <w:szCs w:val="17"/>
                    </w:rPr>
                  </w:pPr>
                </w:p>
              </w:tc>
              <w:tc>
                <w:tcPr>
                  <w:tcW w:w="2084" w:type="dxa"/>
                  <w:tcBorders>
                    <w:bottom w:val="single" w:sz="4" w:space="0" w:color="FFFFFF"/>
                  </w:tcBorders>
                  <w:shd w:val="clear" w:color="auto" w:fill="DBE5F1"/>
                </w:tcPr>
                <w:p w14:paraId="2C42C8F2" w14:textId="77777777" w:rsidR="00600DEE" w:rsidRDefault="00600DEE">
                  <w:pPr>
                    <w:jc w:val="center"/>
                    <w:rPr>
                      <w:rFonts w:ascii="Calibri" w:eastAsia="Calibri" w:hAnsi="Calibri" w:cs="Calibri"/>
                      <w:color w:val="4F81BD"/>
                      <w:sz w:val="17"/>
                      <w:szCs w:val="17"/>
                    </w:rPr>
                  </w:pPr>
                </w:p>
              </w:tc>
              <w:tc>
                <w:tcPr>
                  <w:tcW w:w="1759" w:type="dxa"/>
                  <w:tcBorders>
                    <w:bottom w:val="single" w:sz="4" w:space="0" w:color="FFFFFF"/>
                  </w:tcBorders>
                  <w:shd w:val="clear" w:color="auto" w:fill="DBE5F1"/>
                </w:tcPr>
                <w:p w14:paraId="1923BF76" w14:textId="77777777" w:rsidR="00600DEE" w:rsidRDefault="00600DEE">
                  <w:pPr>
                    <w:jc w:val="center"/>
                    <w:rPr>
                      <w:rFonts w:ascii="Calibri" w:eastAsia="Calibri" w:hAnsi="Calibri" w:cs="Calibri"/>
                      <w:color w:val="4F81BD"/>
                      <w:sz w:val="17"/>
                      <w:szCs w:val="17"/>
                    </w:rPr>
                  </w:pPr>
                </w:p>
              </w:tc>
            </w:tr>
            <w:tr w:rsidR="00600DEE" w:rsidRPr="007463B9" w14:paraId="7A75FC97" w14:textId="77777777" w:rsidTr="0035488D">
              <w:trPr>
                <w:trHeight w:val="2268"/>
              </w:trPr>
              <w:tc>
                <w:tcPr>
                  <w:tcW w:w="3096" w:type="dxa"/>
                  <w:tcBorders>
                    <w:bottom w:val="single" w:sz="4" w:space="0" w:color="FFFFFF"/>
                  </w:tcBorders>
                  <w:shd w:val="clear" w:color="auto" w:fill="DBE5F1"/>
                  <w:vAlign w:val="bottom"/>
                </w:tcPr>
                <w:p w14:paraId="1CCE8F99"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Construction risks</w:t>
                  </w:r>
                </w:p>
                <w:p w14:paraId="3B678F57"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Project cost overruns</w:t>
                  </w:r>
                </w:p>
                <w:p w14:paraId="0EF2BD46"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Geological risks (unexpected bad soil conditions, landslides, etc.)</w:t>
                  </w:r>
                </w:p>
                <w:p w14:paraId="1153D08B"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Climate risks (rainfall, frost, temperature variation, etc.)</w:t>
                  </w:r>
                </w:p>
                <w:p w14:paraId="57741B1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Archaeological risks (findings)</w:t>
                  </w:r>
                </w:p>
                <w:p w14:paraId="1C4137B3"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Contractor related (bankruptcy, lack of sufficient resources, etc.)</w:t>
                  </w:r>
                </w:p>
                <w:p w14:paraId="0D0293CA" w14:textId="77777777" w:rsidR="00600DEE" w:rsidRPr="0045151D" w:rsidRDefault="00600DEE">
                  <w:pPr>
                    <w:rPr>
                      <w:rFonts w:ascii="Calibri" w:eastAsia="Calibri" w:hAnsi="Calibri" w:cs="Calibri"/>
                      <w:color w:val="4F81BD"/>
                      <w:sz w:val="17"/>
                      <w:szCs w:val="17"/>
                      <w:lang w:val="en-GB"/>
                    </w:rPr>
                  </w:pPr>
                </w:p>
              </w:tc>
              <w:tc>
                <w:tcPr>
                  <w:tcW w:w="2084" w:type="dxa"/>
                  <w:tcBorders>
                    <w:bottom w:val="single" w:sz="4" w:space="0" w:color="FFFFFF"/>
                  </w:tcBorders>
                  <w:shd w:val="clear" w:color="auto" w:fill="DBE5F1"/>
                </w:tcPr>
                <w:p w14:paraId="36EC63FB" w14:textId="77777777" w:rsidR="00600DEE" w:rsidRPr="0045151D" w:rsidRDefault="00600DEE">
                  <w:pPr>
                    <w:jc w:val="center"/>
                    <w:rPr>
                      <w:rFonts w:ascii="Calibri" w:eastAsia="Calibri" w:hAnsi="Calibri" w:cs="Calibri"/>
                      <w:color w:val="4F81BD"/>
                      <w:sz w:val="17"/>
                      <w:szCs w:val="17"/>
                      <w:lang w:val="en-GB"/>
                    </w:rPr>
                  </w:pPr>
                </w:p>
              </w:tc>
              <w:tc>
                <w:tcPr>
                  <w:tcW w:w="1759" w:type="dxa"/>
                  <w:tcBorders>
                    <w:bottom w:val="single" w:sz="4" w:space="0" w:color="FFFFFF"/>
                  </w:tcBorders>
                  <w:shd w:val="clear" w:color="auto" w:fill="DBE5F1"/>
                </w:tcPr>
                <w:p w14:paraId="25C4657C"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13D2D71E" w14:textId="77777777">
              <w:trPr>
                <w:trHeight w:val="415"/>
              </w:trPr>
              <w:tc>
                <w:tcPr>
                  <w:tcW w:w="3096" w:type="dxa"/>
                  <w:shd w:val="clear" w:color="auto" w:fill="A6A6A6"/>
                  <w:vAlign w:val="center"/>
                </w:tcPr>
                <w:p w14:paraId="1B68360D" w14:textId="77777777" w:rsidR="00600DEE" w:rsidRDefault="00641FB5">
                  <w:pPr>
                    <w:spacing w:line="264" w:lineRule="auto"/>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lastRenderedPageBreak/>
                    <w:t>Risk</w:t>
                  </w:r>
                  <w:proofErr w:type="spellEnd"/>
                  <w:r>
                    <w:rPr>
                      <w:rFonts w:ascii="Calibri" w:eastAsia="Calibri" w:hAnsi="Calibri" w:cs="Calibri"/>
                      <w:b/>
                      <w:color w:val="FFFFFF"/>
                      <w:sz w:val="17"/>
                      <w:szCs w:val="17"/>
                    </w:rPr>
                    <w:t xml:space="preserve"> </w:t>
                  </w:r>
                  <w:proofErr w:type="spellStart"/>
                  <w:r>
                    <w:rPr>
                      <w:rFonts w:ascii="Calibri" w:eastAsia="Calibri" w:hAnsi="Calibri" w:cs="Calibri"/>
                      <w:b/>
                      <w:color w:val="FFFFFF"/>
                      <w:sz w:val="17"/>
                      <w:szCs w:val="17"/>
                    </w:rPr>
                    <w:t>name</w:t>
                  </w:r>
                  <w:proofErr w:type="spellEnd"/>
                </w:p>
              </w:tc>
              <w:tc>
                <w:tcPr>
                  <w:tcW w:w="2084" w:type="dxa"/>
                  <w:shd w:val="clear" w:color="auto" w:fill="A6A6A6"/>
                  <w:vAlign w:val="center"/>
                </w:tcPr>
                <w:p w14:paraId="07EE5AAE" w14:textId="77777777" w:rsidR="00600DEE" w:rsidRDefault="00641FB5">
                  <w:pPr>
                    <w:spacing w:line="264" w:lineRule="auto"/>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Risk</w:t>
                  </w:r>
                  <w:proofErr w:type="spellEnd"/>
                  <w:r>
                    <w:rPr>
                      <w:rFonts w:ascii="Calibri" w:eastAsia="Calibri" w:hAnsi="Calibri" w:cs="Calibri"/>
                      <w:b/>
                      <w:color w:val="FFFFFF"/>
                      <w:sz w:val="17"/>
                      <w:szCs w:val="17"/>
                    </w:rPr>
                    <w:t xml:space="preserve"> status (</w:t>
                  </w:r>
                  <w:proofErr w:type="spellStart"/>
                  <w:r>
                    <w:rPr>
                      <w:rFonts w:ascii="Calibri" w:eastAsia="Calibri" w:hAnsi="Calibri" w:cs="Calibri"/>
                      <w:b/>
                      <w:color w:val="FFFFFF"/>
                      <w:sz w:val="17"/>
                      <w:szCs w:val="17"/>
                    </w:rPr>
                    <w:t>active</w:t>
                  </w:r>
                  <w:proofErr w:type="spellEnd"/>
                  <w:r>
                    <w:rPr>
                      <w:rFonts w:ascii="Calibri" w:eastAsia="Calibri" w:hAnsi="Calibri" w:cs="Calibri"/>
                      <w:b/>
                      <w:color w:val="FFFFFF"/>
                      <w:sz w:val="17"/>
                      <w:szCs w:val="17"/>
                    </w:rPr>
                    <w:t>/</w:t>
                  </w:r>
                  <w:proofErr w:type="spellStart"/>
                  <w:r>
                    <w:rPr>
                      <w:rFonts w:ascii="Calibri" w:eastAsia="Calibri" w:hAnsi="Calibri" w:cs="Calibri"/>
                      <w:b/>
                      <w:color w:val="FFFFFF"/>
                      <w:sz w:val="17"/>
                      <w:szCs w:val="17"/>
                    </w:rPr>
                    <w:t>closed</w:t>
                  </w:r>
                  <w:proofErr w:type="spellEnd"/>
                  <w:r>
                    <w:rPr>
                      <w:rFonts w:ascii="Calibri" w:eastAsia="Calibri" w:hAnsi="Calibri" w:cs="Calibri"/>
                      <w:b/>
                      <w:color w:val="FFFFFF"/>
                      <w:sz w:val="17"/>
                      <w:szCs w:val="17"/>
                    </w:rPr>
                    <w:t>)</w:t>
                  </w:r>
                </w:p>
              </w:tc>
              <w:tc>
                <w:tcPr>
                  <w:tcW w:w="1759" w:type="dxa"/>
                  <w:shd w:val="clear" w:color="auto" w:fill="A6A6A6"/>
                  <w:vAlign w:val="center"/>
                </w:tcPr>
                <w:p w14:paraId="5E198366" w14:textId="77777777" w:rsidR="00600DEE" w:rsidRPr="0045151D" w:rsidRDefault="00641FB5">
                  <w:pPr>
                    <w:spacing w:line="264" w:lineRule="auto"/>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If closed, provide the reasons.</w:t>
                  </w:r>
                </w:p>
              </w:tc>
            </w:tr>
            <w:tr w:rsidR="00600DEE" w:rsidRPr="007463B9" w14:paraId="6406FBD8" w14:textId="77777777" w:rsidTr="000A249F">
              <w:trPr>
                <w:trHeight w:val="1134"/>
              </w:trPr>
              <w:tc>
                <w:tcPr>
                  <w:tcW w:w="3096" w:type="dxa"/>
                  <w:shd w:val="clear" w:color="auto" w:fill="DBE5F1"/>
                  <w:vAlign w:val="center"/>
                </w:tcPr>
                <w:p w14:paraId="1A93656E"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Operation risks</w:t>
                  </w:r>
                </w:p>
                <w:p w14:paraId="23A6E409"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O&amp;M cost overruns</w:t>
                  </w:r>
                </w:p>
                <w:p w14:paraId="5486F427" w14:textId="77777777" w:rsidR="00600DEE" w:rsidRPr="0045151D" w:rsidRDefault="00641FB5">
                  <w:pPr>
                    <w:rPr>
                      <w:rFonts w:ascii="Calibri" w:eastAsia="Calibri" w:hAnsi="Calibri" w:cs="Calibri"/>
                      <w:b/>
                      <w:color w:val="4F81BD"/>
                      <w:sz w:val="17"/>
                      <w:szCs w:val="17"/>
                      <w:lang w:val="en-GB"/>
                    </w:rPr>
                  </w:pPr>
                  <w:r w:rsidRPr="0045151D">
                    <w:rPr>
                      <w:rFonts w:ascii="Calibri" w:eastAsia="Calibri" w:hAnsi="Calibri" w:cs="Calibri"/>
                      <w:color w:val="4F81BD"/>
                      <w:sz w:val="17"/>
                      <w:szCs w:val="17"/>
                      <w:lang w:val="en-GB"/>
                    </w:rPr>
                    <w:t>Climate change risks (flash flooding, extreme heat, extreme rain or snowfall, etc.)</w:t>
                  </w:r>
                </w:p>
              </w:tc>
              <w:tc>
                <w:tcPr>
                  <w:tcW w:w="2084" w:type="dxa"/>
                  <w:shd w:val="clear" w:color="auto" w:fill="DBE5F1"/>
                  <w:vAlign w:val="center"/>
                </w:tcPr>
                <w:p w14:paraId="58514F90"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42662785"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3C292C13" w14:textId="77777777" w:rsidTr="000A249F">
              <w:trPr>
                <w:trHeight w:val="907"/>
              </w:trPr>
              <w:tc>
                <w:tcPr>
                  <w:tcW w:w="3096" w:type="dxa"/>
                  <w:shd w:val="clear" w:color="auto" w:fill="DBE5F1"/>
                  <w:vAlign w:val="center"/>
                </w:tcPr>
                <w:p w14:paraId="7AF88833"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Regulatory risks:</w:t>
                  </w:r>
                </w:p>
                <w:p w14:paraId="2B8DFA99"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Changes in environmental requirements</w:t>
                  </w:r>
                </w:p>
              </w:tc>
              <w:tc>
                <w:tcPr>
                  <w:tcW w:w="2084" w:type="dxa"/>
                  <w:shd w:val="clear" w:color="auto" w:fill="DBE5F1"/>
                  <w:vAlign w:val="center"/>
                </w:tcPr>
                <w:p w14:paraId="00D392FB"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4FBA6107" w14:textId="77777777" w:rsidR="00600DEE" w:rsidRPr="0045151D" w:rsidRDefault="00600DEE">
                  <w:pPr>
                    <w:jc w:val="center"/>
                    <w:rPr>
                      <w:rFonts w:ascii="Calibri" w:eastAsia="Calibri" w:hAnsi="Calibri" w:cs="Calibri"/>
                      <w:color w:val="4F81BD"/>
                      <w:sz w:val="17"/>
                      <w:szCs w:val="17"/>
                      <w:lang w:val="en-GB"/>
                    </w:rPr>
                  </w:pPr>
                </w:p>
              </w:tc>
            </w:tr>
            <w:tr w:rsidR="00600DEE" w14:paraId="70BC854E" w14:textId="77777777" w:rsidTr="000A249F">
              <w:trPr>
                <w:trHeight w:val="1701"/>
              </w:trPr>
              <w:tc>
                <w:tcPr>
                  <w:tcW w:w="3096" w:type="dxa"/>
                  <w:shd w:val="clear" w:color="auto" w:fill="DBE5F1"/>
                  <w:vAlign w:val="center"/>
                </w:tcPr>
                <w:p w14:paraId="128CB4BD"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Financial risks</w:t>
                  </w:r>
                </w:p>
                <w:p w14:paraId="3AFE765A"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Availability of national financing for CAPEX</w:t>
                  </w:r>
                </w:p>
                <w:p w14:paraId="4F0F1D4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Availability of national financing for OPEX</w:t>
                  </w:r>
                </w:p>
                <w:p w14:paraId="11E42589" w14:textId="77777777" w:rsidR="00600DEE" w:rsidRDefault="00641FB5">
                  <w:pPr>
                    <w:rPr>
                      <w:rFonts w:ascii="Calibri" w:eastAsia="Calibri" w:hAnsi="Calibri" w:cs="Calibri"/>
                      <w:color w:val="4F81BD"/>
                      <w:sz w:val="17"/>
                      <w:szCs w:val="17"/>
                    </w:rPr>
                  </w:pPr>
                  <w:proofErr w:type="spellStart"/>
                  <w:r>
                    <w:rPr>
                      <w:rFonts w:ascii="Calibri" w:eastAsia="Calibri" w:hAnsi="Calibri" w:cs="Calibri"/>
                      <w:color w:val="4F81BD"/>
                      <w:sz w:val="17"/>
                      <w:szCs w:val="17"/>
                    </w:rPr>
                    <w:t>Increase</w:t>
                  </w:r>
                  <w:proofErr w:type="spellEnd"/>
                  <w:r>
                    <w:rPr>
                      <w:rFonts w:ascii="Calibri" w:eastAsia="Calibri" w:hAnsi="Calibri" w:cs="Calibri"/>
                      <w:color w:val="4F81BD"/>
                      <w:sz w:val="17"/>
                      <w:szCs w:val="17"/>
                    </w:rPr>
                    <w:t xml:space="preserve"> of </w:t>
                  </w:r>
                  <w:proofErr w:type="spellStart"/>
                  <w:r>
                    <w:rPr>
                      <w:rFonts w:ascii="Calibri" w:eastAsia="Calibri" w:hAnsi="Calibri" w:cs="Calibri"/>
                      <w:color w:val="4F81BD"/>
                      <w:sz w:val="17"/>
                      <w:szCs w:val="17"/>
                    </w:rPr>
                    <w:t>financing</w:t>
                  </w:r>
                  <w:proofErr w:type="spellEnd"/>
                  <w:r>
                    <w:rPr>
                      <w:rFonts w:ascii="Calibri" w:eastAsia="Calibri" w:hAnsi="Calibri" w:cs="Calibri"/>
                      <w:color w:val="4F81BD"/>
                      <w:sz w:val="17"/>
                      <w:szCs w:val="17"/>
                    </w:rPr>
                    <w:t xml:space="preserve"> </w:t>
                  </w:r>
                  <w:proofErr w:type="spellStart"/>
                  <w:r>
                    <w:rPr>
                      <w:rFonts w:ascii="Calibri" w:eastAsia="Calibri" w:hAnsi="Calibri" w:cs="Calibri"/>
                      <w:color w:val="4F81BD"/>
                      <w:sz w:val="17"/>
                      <w:szCs w:val="17"/>
                    </w:rPr>
                    <w:t>costs</w:t>
                  </w:r>
                  <w:proofErr w:type="spellEnd"/>
                </w:p>
              </w:tc>
              <w:tc>
                <w:tcPr>
                  <w:tcW w:w="2084" w:type="dxa"/>
                  <w:shd w:val="clear" w:color="auto" w:fill="DBE5F1"/>
                  <w:vAlign w:val="center"/>
                </w:tcPr>
                <w:p w14:paraId="7880B755" w14:textId="77777777" w:rsidR="00600DEE" w:rsidRDefault="00600DEE">
                  <w:pPr>
                    <w:jc w:val="center"/>
                    <w:rPr>
                      <w:rFonts w:ascii="Calibri" w:eastAsia="Calibri" w:hAnsi="Calibri" w:cs="Calibri"/>
                      <w:color w:val="4F81BD"/>
                      <w:sz w:val="17"/>
                      <w:szCs w:val="17"/>
                    </w:rPr>
                  </w:pPr>
                </w:p>
              </w:tc>
              <w:tc>
                <w:tcPr>
                  <w:tcW w:w="1759" w:type="dxa"/>
                  <w:shd w:val="clear" w:color="auto" w:fill="DBE5F1"/>
                  <w:vAlign w:val="center"/>
                </w:tcPr>
                <w:p w14:paraId="7D062B6A" w14:textId="77777777" w:rsidR="00600DEE" w:rsidRDefault="00600DEE">
                  <w:pPr>
                    <w:jc w:val="center"/>
                    <w:rPr>
                      <w:rFonts w:ascii="Calibri" w:eastAsia="Calibri" w:hAnsi="Calibri" w:cs="Calibri"/>
                      <w:color w:val="4F81BD"/>
                      <w:sz w:val="17"/>
                      <w:szCs w:val="17"/>
                    </w:rPr>
                  </w:pPr>
                </w:p>
              </w:tc>
            </w:tr>
            <w:tr w:rsidR="00600DEE" w:rsidRPr="007463B9" w14:paraId="27EF6594" w14:textId="77777777" w:rsidTr="000A249F">
              <w:trPr>
                <w:trHeight w:val="907"/>
              </w:trPr>
              <w:tc>
                <w:tcPr>
                  <w:tcW w:w="3096" w:type="dxa"/>
                  <w:shd w:val="clear" w:color="auto" w:fill="DBE5F1"/>
                  <w:vAlign w:val="center"/>
                </w:tcPr>
                <w:p w14:paraId="0B52EEA9"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Management risks:</w:t>
                  </w:r>
                </w:p>
                <w:p w14:paraId="079A7D79"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Weak capacity of management from the Beneficiary</w:t>
                  </w:r>
                </w:p>
              </w:tc>
              <w:tc>
                <w:tcPr>
                  <w:tcW w:w="2084" w:type="dxa"/>
                  <w:shd w:val="clear" w:color="auto" w:fill="DBE5F1"/>
                  <w:vAlign w:val="center"/>
                </w:tcPr>
                <w:p w14:paraId="4CCC47A6"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53E58A17"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6965195D" w14:textId="77777777" w:rsidTr="000A249F">
              <w:trPr>
                <w:trHeight w:val="907"/>
              </w:trPr>
              <w:tc>
                <w:tcPr>
                  <w:tcW w:w="3096" w:type="dxa"/>
                  <w:shd w:val="clear" w:color="auto" w:fill="DBE5F1"/>
                  <w:vAlign w:val="center"/>
                </w:tcPr>
                <w:p w14:paraId="2618B4B6" w14:textId="77777777" w:rsidR="00600DEE" w:rsidRPr="0045151D" w:rsidRDefault="00641FB5">
                  <w:pPr>
                    <w:pBdr>
                      <w:top w:val="nil"/>
                      <w:left w:val="nil"/>
                      <w:bottom w:val="nil"/>
                      <w:right w:val="nil"/>
                      <w:between w:val="nil"/>
                    </w:pBd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Political risks:</w:t>
                  </w:r>
                </w:p>
                <w:p w14:paraId="1CD96AB5"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Public opposition</w:t>
                  </w:r>
                </w:p>
                <w:p w14:paraId="5BDF6B42"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Political changes in investment priorities</w:t>
                  </w:r>
                </w:p>
              </w:tc>
              <w:tc>
                <w:tcPr>
                  <w:tcW w:w="2084" w:type="dxa"/>
                  <w:shd w:val="clear" w:color="auto" w:fill="DBE5F1"/>
                  <w:vAlign w:val="center"/>
                </w:tcPr>
                <w:p w14:paraId="2522A416"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3CFDA30E"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669EEEF6" w14:textId="77777777" w:rsidTr="000A249F">
              <w:trPr>
                <w:trHeight w:val="680"/>
              </w:trPr>
              <w:tc>
                <w:tcPr>
                  <w:tcW w:w="3096" w:type="dxa"/>
                  <w:shd w:val="clear" w:color="auto" w:fill="DBE5F1"/>
                  <w:vAlign w:val="center"/>
                </w:tcPr>
                <w:p w14:paraId="668AF759" w14:textId="77777777" w:rsidR="00600DEE" w:rsidRPr="0045151D" w:rsidRDefault="00641FB5">
                  <w:pPr>
                    <w:pBdr>
                      <w:top w:val="nil"/>
                      <w:left w:val="nil"/>
                      <w:bottom w:val="nil"/>
                      <w:right w:val="nil"/>
                      <w:between w:val="nil"/>
                    </w:pBd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Other risks</w:t>
                  </w:r>
                </w:p>
                <w:p w14:paraId="7C40071E" w14:textId="77777777" w:rsidR="00600DEE" w:rsidRPr="0045151D" w:rsidRDefault="00641FB5">
                  <w:pPr>
                    <w:pBdr>
                      <w:top w:val="nil"/>
                      <w:left w:val="nil"/>
                      <w:bottom w:val="nil"/>
                      <w:right w:val="nil"/>
                      <w:between w:val="nil"/>
                    </w:pBdr>
                    <w:rPr>
                      <w:rFonts w:ascii="Calibri" w:eastAsia="Calibri" w:hAnsi="Calibri" w:cs="Calibri"/>
                      <w:color w:val="4F81BD"/>
                      <w:sz w:val="17"/>
                      <w:szCs w:val="17"/>
                      <w:u w:val="single"/>
                      <w:lang w:val="en-GB"/>
                    </w:rPr>
                  </w:pPr>
                  <w:r w:rsidRPr="0045151D">
                    <w:rPr>
                      <w:rFonts w:ascii="Calibri" w:eastAsia="Calibri" w:hAnsi="Calibri" w:cs="Calibri"/>
                      <w:color w:val="4F81BD"/>
                      <w:sz w:val="17"/>
                      <w:szCs w:val="17"/>
                      <w:lang w:val="en-GB"/>
                    </w:rPr>
                    <w:t>(specify)</w:t>
                  </w:r>
                </w:p>
              </w:tc>
              <w:tc>
                <w:tcPr>
                  <w:tcW w:w="2084" w:type="dxa"/>
                  <w:shd w:val="clear" w:color="auto" w:fill="DBE5F1"/>
                  <w:vAlign w:val="center"/>
                </w:tcPr>
                <w:p w14:paraId="3F5DF86B"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130FF7B7" w14:textId="77777777" w:rsidR="00600DEE" w:rsidRPr="0045151D" w:rsidRDefault="00600DEE">
                  <w:pPr>
                    <w:jc w:val="center"/>
                    <w:rPr>
                      <w:rFonts w:ascii="Calibri" w:eastAsia="Calibri" w:hAnsi="Calibri" w:cs="Calibri"/>
                      <w:color w:val="4F81BD"/>
                      <w:sz w:val="17"/>
                      <w:szCs w:val="17"/>
                      <w:lang w:val="en-GB"/>
                    </w:rPr>
                  </w:pPr>
                </w:p>
              </w:tc>
            </w:tr>
          </w:tbl>
          <w:p w14:paraId="7A42382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list above is an indicative and not exhaustive list of main risks. If other specific risks apply to the project, they should be described and assessed as well.</w:t>
            </w:r>
          </w:p>
          <w:p w14:paraId="5970C90B"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Qualitative risk analysis</w:t>
            </w:r>
          </w:p>
          <w:p w14:paraId="56DD908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each relevant risk identified, the following aspects must be described and analysed, using the table specified in chapter 4.3:</w:t>
            </w:r>
          </w:p>
          <w:p w14:paraId="0CFE433E"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Cause: what causes the risk?</w:t>
            </w:r>
          </w:p>
          <w:p w14:paraId="11665DD8"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Consequence: what effect will the risk have on costs/ benefits / implementation time / funding and financial sustainability?</w:t>
            </w:r>
          </w:p>
          <w:p w14:paraId="1F2AE36A"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Risk owner: the risk owner is the entity that has been given the authority to manage a particular risk and is accountable for doing so. It could be the Beneficiary, managing authority, implementing body, contractor, or other. Where it is not the beneficiary who is the risk owner, describe the ways in which the Beneficiary can influence the risk owner with regard to this particular risk.</w:t>
            </w:r>
          </w:p>
          <w:p w14:paraId="4B6318F9"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Project stage in which risk occurs: please indicate whether the risk exists in any of the following: Preparation stage (yes/no), Implementation stage (yes/no), Operational stage (yes/no). If a risk occurs only at a stage that has been completed at the moment of submission/update of the documentation to the MA, then this risk is “closed” (as described in the risk identification above) and does not need to be assessed anymore. </w:t>
            </w:r>
          </w:p>
          <w:p w14:paraId="33C1DC87"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Probability: using the table below, score the probability of the risk event occurring on a scale A-E.</w:t>
            </w:r>
          </w:p>
          <w:p w14:paraId="2F35F93E"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Severity: using the table below, score the impact of the risk event on a scale I-V.</w:t>
            </w:r>
          </w:p>
          <w:p w14:paraId="44A77CF7"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Risk level: the combination of probability and impact gives the risk on a four-level scale (low/ moderate/ high/ very high).</w:t>
            </w:r>
          </w:p>
          <w:p w14:paraId="6871E778"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4A1D5C7D" w14:textId="77777777" w:rsidR="0018582B" w:rsidRPr="0045151D" w:rsidRDefault="0018582B">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0CAE618E" w14:textId="793FDA41" w:rsidR="00600DEE" w:rsidRPr="0045151D" w:rsidRDefault="00B67038" w:rsidP="00FD2E0C">
            <w:pPr>
              <w:pBdr>
                <w:top w:val="nil"/>
                <w:left w:val="nil"/>
                <w:bottom w:val="nil"/>
                <w:right w:val="nil"/>
                <w:between w:val="nil"/>
              </w:pBdr>
              <w:spacing w:before="24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32</w:t>
            </w:r>
            <w:r w:rsidR="00641FB5" w:rsidRPr="0045151D">
              <w:rPr>
                <w:rFonts w:ascii="Calibri" w:eastAsia="Calibri" w:hAnsi="Calibri" w:cs="Calibri"/>
                <w:b/>
                <w:color w:val="4F81BD"/>
                <w:sz w:val="20"/>
                <w:szCs w:val="20"/>
                <w:lang w:val="en-GB"/>
              </w:rPr>
              <w:t>a. Qualitative risk – Probability and Severity</w:t>
            </w:r>
          </w:p>
          <w:p w14:paraId="1CC8CF9F" w14:textId="77777777" w:rsidR="009A7A37" w:rsidRPr="0045151D" w:rsidRDefault="009A7A37" w:rsidP="009A7A37">
            <w:pPr>
              <w:pBdr>
                <w:top w:val="nil"/>
                <w:left w:val="nil"/>
                <w:bottom w:val="nil"/>
                <w:right w:val="nil"/>
                <w:between w:val="nil"/>
              </w:pBdr>
              <w:jc w:val="both"/>
              <w:rPr>
                <w:rFonts w:ascii="Calibri" w:eastAsia="Calibri" w:hAnsi="Calibri" w:cs="Calibri"/>
                <w:b/>
                <w:color w:val="4F81BD"/>
                <w:sz w:val="20"/>
                <w:szCs w:val="20"/>
                <w:lang w:val="en-GB"/>
              </w:rPr>
            </w:pPr>
          </w:p>
          <w:tbl>
            <w:tblPr>
              <w:tblStyle w:val="afffffffe"/>
              <w:tblW w:w="5639" w:type="dxa"/>
              <w:tblLayout w:type="fixed"/>
              <w:tblLook w:val="0000" w:firstRow="0" w:lastRow="0" w:firstColumn="0" w:lastColumn="0" w:noHBand="0" w:noVBand="0"/>
            </w:tblPr>
            <w:tblGrid>
              <w:gridCol w:w="1879"/>
              <w:gridCol w:w="1880"/>
              <w:gridCol w:w="1880"/>
            </w:tblGrid>
            <w:tr w:rsidR="00600DEE" w14:paraId="1192A21C" w14:textId="77777777">
              <w:tc>
                <w:tcPr>
                  <w:tcW w:w="5639"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18E12D46" w14:textId="77777777" w:rsidR="00600DEE" w:rsidRDefault="00641FB5">
                  <w:pPr>
                    <w:spacing w:line="264" w:lineRule="auto"/>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Probability</w:t>
                  </w:r>
                  <w:proofErr w:type="spellEnd"/>
                </w:p>
              </w:tc>
            </w:tr>
            <w:tr w:rsidR="00600DEE" w14:paraId="3C62F94A" w14:textId="77777777" w:rsidTr="0018582B">
              <w:trPr>
                <w:trHeight w:hRule="exact" w:val="454"/>
              </w:trPr>
              <w:tc>
                <w:tcPr>
                  <w:tcW w:w="1879" w:type="dxa"/>
                  <w:tcBorders>
                    <w:top w:val="single" w:sz="4" w:space="0" w:color="FFFFFF"/>
                    <w:left w:val="single" w:sz="4" w:space="0" w:color="FFFFFF"/>
                    <w:bottom w:val="single" w:sz="4" w:space="0" w:color="FFFFFF"/>
                  </w:tcBorders>
                  <w:shd w:val="clear" w:color="auto" w:fill="A6A6A6"/>
                  <w:vAlign w:val="center"/>
                </w:tcPr>
                <w:p w14:paraId="4161D12E" w14:textId="77777777" w:rsidR="00600DEE" w:rsidRDefault="00641FB5">
                  <w:pPr>
                    <w:spacing w:line="264" w:lineRule="auto"/>
                    <w:jc w:val="center"/>
                    <w:rPr>
                      <w:rFonts w:ascii="Calibri" w:eastAsia="Calibri" w:hAnsi="Calibri" w:cs="Calibri"/>
                      <w:b/>
                      <w:i/>
                      <w:color w:val="FFFFFF"/>
                      <w:sz w:val="18"/>
                      <w:szCs w:val="18"/>
                    </w:rPr>
                  </w:pPr>
                  <w:proofErr w:type="spellStart"/>
                  <w:r>
                    <w:rPr>
                      <w:rFonts w:ascii="Calibri" w:eastAsia="Calibri" w:hAnsi="Calibri" w:cs="Calibri"/>
                      <w:b/>
                      <w:i/>
                      <w:color w:val="FFFFFF"/>
                      <w:sz w:val="18"/>
                      <w:szCs w:val="18"/>
                    </w:rPr>
                    <w:t>Scale</w:t>
                  </w:r>
                  <w:proofErr w:type="spellEnd"/>
                </w:p>
              </w:tc>
              <w:tc>
                <w:tcPr>
                  <w:tcW w:w="18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0A2B6B6" w14:textId="77777777" w:rsidR="00600DEE" w:rsidRDefault="00641FB5">
                  <w:pPr>
                    <w:spacing w:line="264" w:lineRule="auto"/>
                    <w:jc w:val="center"/>
                    <w:rPr>
                      <w:rFonts w:ascii="Calibri" w:eastAsia="Calibri" w:hAnsi="Calibri" w:cs="Calibri"/>
                      <w:b/>
                      <w:i/>
                      <w:color w:val="FFFFFF"/>
                      <w:sz w:val="18"/>
                      <w:szCs w:val="18"/>
                    </w:rPr>
                  </w:pPr>
                  <w:proofErr w:type="spellStart"/>
                  <w:r>
                    <w:rPr>
                      <w:rFonts w:ascii="Calibri" w:eastAsia="Calibri" w:hAnsi="Calibri" w:cs="Calibri"/>
                      <w:b/>
                      <w:i/>
                      <w:color w:val="FFFFFF"/>
                      <w:sz w:val="18"/>
                      <w:szCs w:val="18"/>
                    </w:rPr>
                    <w:t>Range</w:t>
                  </w:r>
                  <w:proofErr w:type="spellEnd"/>
                </w:p>
              </w:tc>
              <w:tc>
                <w:tcPr>
                  <w:tcW w:w="18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D485EA0"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Value</w:t>
                  </w:r>
                </w:p>
              </w:tc>
            </w:tr>
            <w:tr w:rsidR="00600DEE" w14:paraId="666D3007"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3C026B91" w14:textId="77777777" w:rsidR="00600DEE" w:rsidRDefault="00641FB5">
                  <w:pPr>
                    <w:rPr>
                      <w:rFonts w:ascii="Calibri" w:eastAsia="Calibri" w:hAnsi="Calibri" w:cs="Calibri"/>
                      <w:b/>
                      <w:color w:val="4F81BD"/>
                      <w:sz w:val="18"/>
                      <w:szCs w:val="18"/>
                    </w:rPr>
                  </w:pPr>
                  <w:proofErr w:type="spellStart"/>
                  <w:r>
                    <w:rPr>
                      <w:rFonts w:ascii="Calibri" w:eastAsia="Calibri" w:hAnsi="Calibri" w:cs="Calibri"/>
                      <w:b/>
                      <w:color w:val="4F81BD"/>
                      <w:sz w:val="18"/>
                      <w:szCs w:val="18"/>
                    </w:rPr>
                    <w:t>Very</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Unlikely</w:t>
                  </w:r>
                  <w:proofErr w:type="spellEnd"/>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43E571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0 - 10%</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544B439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A</w:t>
                  </w:r>
                </w:p>
              </w:tc>
            </w:tr>
            <w:tr w:rsidR="00600DEE" w14:paraId="5FCD4C95"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05D86885" w14:textId="77777777" w:rsidR="00600DEE" w:rsidRDefault="00641FB5">
                  <w:pPr>
                    <w:rPr>
                      <w:rFonts w:ascii="Calibri" w:eastAsia="Calibri" w:hAnsi="Calibri" w:cs="Calibri"/>
                      <w:b/>
                      <w:color w:val="4F81BD"/>
                      <w:sz w:val="18"/>
                      <w:szCs w:val="18"/>
                    </w:rPr>
                  </w:pPr>
                  <w:proofErr w:type="spellStart"/>
                  <w:r>
                    <w:rPr>
                      <w:rFonts w:ascii="Calibri" w:eastAsia="Calibri" w:hAnsi="Calibri" w:cs="Calibri"/>
                      <w:b/>
                      <w:color w:val="4F81BD"/>
                      <w:sz w:val="18"/>
                      <w:szCs w:val="18"/>
                    </w:rPr>
                    <w:t>Unlikely</w:t>
                  </w:r>
                  <w:proofErr w:type="spellEnd"/>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5A2E5F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&lt;10% - 33%</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4024D3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B</w:t>
                  </w:r>
                </w:p>
              </w:tc>
            </w:tr>
            <w:tr w:rsidR="00600DEE" w:rsidRPr="007463B9" w14:paraId="6F28F8D5"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61FFDA00"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About as likely as not</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2F5B25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&lt;33% - 66%</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56AABD3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w:t>
                  </w:r>
                </w:p>
              </w:tc>
            </w:tr>
            <w:tr w:rsidR="00600DEE" w:rsidRPr="007463B9" w14:paraId="34A03E2F"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11DF0323"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Likely</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3387FD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&lt;66% - 90%</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031AC26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w:t>
                  </w:r>
                </w:p>
              </w:tc>
            </w:tr>
            <w:tr w:rsidR="00600DEE" w:rsidRPr="007463B9" w14:paraId="41FE39AE"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027E7256"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Very Likely</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47F50EE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&lt;90% - 100%</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1F48AC1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w:t>
                  </w:r>
                </w:p>
              </w:tc>
            </w:tr>
          </w:tbl>
          <w:p w14:paraId="62FE2007" w14:textId="6230A451" w:rsidR="009A7A37" w:rsidRPr="0045151D" w:rsidRDefault="00641FB5" w:rsidP="00FD2E0C">
            <w:pPr>
              <w:spacing w:before="100" w:beforeAutospacing="1" w:after="24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tbl>
            <w:tblPr>
              <w:tblStyle w:val="affffffff"/>
              <w:tblW w:w="6939" w:type="dxa"/>
              <w:tblLayout w:type="fixed"/>
              <w:tblLook w:val="0000" w:firstRow="0" w:lastRow="0" w:firstColumn="0" w:lastColumn="0" w:noHBand="0" w:noVBand="0"/>
            </w:tblPr>
            <w:tblGrid>
              <w:gridCol w:w="5239"/>
              <w:gridCol w:w="1700"/>
            </w:tblGrid>
            <w:tr w:rsidR="00600DEE" w14:paraId="04C852EB" w14:textId="77777777" w:rsidTr="00620161">
              <w:trPr>
                <w:trHeight w:hRule="exact" w:val="397"/>
              </w:trPr>
              <w:tc>
                <w:tcPr>
                  <w:tcW w:w="693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8D3EA17" w14:textId="77777777" w:rsidR="00600DEE" w:rsidRDefault="00641FB5">
                  <w:pPr>
                    <w:spacing w:line="264" w:lineRule="auto"/>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lastRenderedPageBreak/>
                    <w:t>Severity</w:t>
                  </w:r>
                  <w:proofErr w:type="spellEnd"/>
                </w:p>
              </w:tc>
            </w:tr>
            <w:tr w:rsidR="00600DEE" w14:paraId="062B8F5B" w14:textId="77777777" w:rsidTr="009A7A37">
              <w:trPr>
                <w:trHeight w:val="454"/>
              </w:trPr>
              <w:tc>
                <w:tcPr>
                  <w:tcW w:w="523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421BDB1" w14:textId="77777777" w:rsidR="00600DEE" w:rsidRDefault="00641FB5">
                  <w:pPr>
                    <w:spacing w:line="264" w:lineRule="auto"/>
                    <w:jc w:val="center"/>
                    <w:rPr>
                      <w:rFonts w:ascii="Calibri" w:eastAsia="Calibri" w:hAnsi="Calibri" w:cs="Calibri"/>
                      <w:b/>
                      <w:i/>
                      <w:color w:val="FFFFFF"/>
                      <w:sz w:val="18"/>
                      <w:szCs w:val="18"/>
                    </w:rPr>
                  </w:pPr>
                  <w:proofErr w:type="spellStart"/>
                  <w:r>
                    <w:rPr>
                      <w:rFonts w:ascii="Calibri" w:eastAsia="Calibri" w:hAnsi="Calibri" w:cs="Calibri"/>
                      <w:b/>
                      <w:i/>
                      <w:color w:val="FFFFFF"/>
                      <w:sz w:val="18"/>
                      <w:szCs w:val="18"/>
                    </w:rPr>
                    <w:t>Meaning</w:t>
                  </w:r>
                  <w:proofErr w:type="spellEnd"/>
                </w:p>
              </w:tc>
              <w:tc>
                <w:tcPr>
                  <w:tcW w:w="170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D76EB3E"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Value</w:t>
                  </w:r>
                </w:p>
              </w:tc>
            </w:tr>
            <w:tr w:rsidR="00600DEE" w14:paraId="1346FEC1" w14:textId="77777777" w:rsidTr="009A7A37">
              <w:trPr>
                <w:trHeight w:val="567"/>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02743D7"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No effect on social welfare, even without remedial actions</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D6268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w:t>
                  </w:r>
                </w:p>
              </w:tc>
            </w:tr>
            <w:tr w:rsidR="00600DEE" w14:paraId="317DC7F3" w14:textId="77777777" w:rsidTr="009A7A37">
              <w:trPr>
                <w:trHeight w:val="851"/>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5A7E3DE"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Minor loss of social welfare generated by the project, affecting the project financial effects very little; Remedial or corrective actions are, however, needed</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4DD86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w:t>
                  </w:r>
                </w:p>
              </w:tc>
            </w:tr>
            <w:tr w:rsidR="00600DEE" w14:paraId="68D862F3" w14:textId="77777777">
              <w:trPr>
                <w:trHeight w:val="410"/>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16C7AE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Moderate loss of social welfare generated by the project, mostly financial damage, even in the medium-long run</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9B3267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III</w:t>
                  </w:r>
                </w:p>
              </w:tc>
            </w:tr>
            <w:tr w:rsidR="00600DEE" w14:paraId="1EC654EF" w14:textId="77777777" w:rsidTr="009A7A37">
              <w:trPr>
                <w:trHeight w:val="1134"/>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058E08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Critical; High loss of social welfare generated by the project; the failure causes a loss of primary function of the project; Remedial actions, even large, are not enough to avoid serious damage</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A9F2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IV</w:t>
                  </w:r>
                </w:p>
              </w:tc>
            </w:tr>
            <w:tr w:rsidR="00600DEE" w:rsidRPr="007463B9" w14:paraId="143265AE" w14:textId="77777777" w:rsidTr="009A7A37">
              <w:trPr>
                <w:trHeight w:val="794"/>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9B508C0"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Catastrophic; Project default; The failure may result in serious or even total loss of the project functions. Main project effects in the medium-long term do not materialize</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11D82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w:t>
                  </w:r>
                </w:p>
              </w:tc>
            </w:tr>
          </w:tbl>
          <w:p w14:paraId="6C736E65" w14:textId="77777777" w:rsidR="00600DEE" w:rsidRPr="0045151D" w:rsidRDefault="00641FB5" w:rsidP="0079382E">
            <w:pPr>
              <w:spacing w:before="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p w14:paraId="0E0F2BC6" w14:textId="4A1F8961" w:rsidR="00600DEE" w:rsidRPr="0045151D" w:rsidRDefault="00641FB5" w:rsidP="009A7A37">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risk level is the combination of probability and severity. The higher the risk level, the more justification and mitigation is needed to lower the risk to acceptable levels. Four risk levels are defined as follows with the associated colours.</w:t>
            </w:r>
          </w:p>
          <w:p w14:paraId="770EF8A2" w14:textId="59F3E7EB" w:rsidR="00600DEE" w:rsidRPr="0045151D" w:rsidRDefault="00B67038">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32</w:t>
            </w:r>
            <w:r w:rsidR="00641FB5" w:rsidRPr="0045151D">
              <w:rPr>
                <w:rFonts w:ascii="Calibri" w:eastAsia="Calibri" w:hAnsi="Calibri" w:cs="Calibri"/>
                <w:b/>
                <w:color w:val="4F81BD"/>
                <w:sz w:val="20"/>
                <w:szCs w:val="20"/>
                <w:lang w:val="en-GB"/>
              </w:rPr>
              <w:t>b. Qualitative risk - Risk level</w:t>
            </w:r>
          </w:p>
          <w:tbl>
            <w:tblPr>
              <w:tblStyle w:val="affffffff0"/>
              <w:tblW w:w="6988" w:type="dxa"/>
              <w:tblBorders>
                <w:insideH w:val="single" w:sz="6" w:space="0" w:color="FFFFFF"/>
                <w:insideV w:val="single" w:sz="6" w:space="0" w:color="FFFFFF"/>
              </w:tblBorders>
              <w:tblLayout w:type="fixed"/>
              <w:tblLook w:val="0000" w:firstRow="0" w:lastRow="0" w:firstColumn="0" w:lastColumn="0" w:noHBand="0" w:noVBand="0"/>
            </w:tblPr>
            <w:tblGrid>
              <w:gridCol w:w="505"/>
              <w:gridCol w:w="934"/>
              <w:gridCol w:w="1096"/>
              <w:gridCol w:w="1171"/>
              <w:gridCol w:w="1141"/>
              <w:gridCol w:w="1141"/>
              <w:gridCol w:w="1000"/>
            </w:tblGrid>
            <w:tr w:rsidR="00600DEE" w:rsidRPr="007463B9" w14:paraId="720033E3" w14:textId="77777777" w:rsidTr="00193C5C">
              <w:trPr>
                <w:trHeight w:val="383"/>
              </w:trPr>
              <w:tc>
                <w:tcPr>
                  <w:tcW w:w="1439" w:type="dxa"/>
                  <w:gridSpan w:val="2"/>
                  <w:vMerge w:val="restart"/>
                  <w:tcBorders>
                    <w:top w:val="nil"/>
                    <w:bottom w:val="single" w:sz="6" w:space="0" w:color="FFFFFF"/>
                  </w:tcBorders>
                  <w:shd w:val="clear" w:color="auto" w:fill="DBE5F1"/>
                  <w:vAlign w:val="bottom"/>
                </w:tcPr>
                <w:p w14:paraId="1465576A" w14:textId="77777777" w:rsidR="00600DEE" w:rsidRPr="0045151D" w:rsidRDefault="00641FB5">
                  <w:pPr>
                    <w:pBdr>
                      <w:top w:val="nil"/>
                      <w:left w:val="nil"/>
                      <w:bottom w:val="nil"/>
                      <w:right w:val="nil"/>
                      <w:between w:val="nil"/>
                    </w:pBdr>
                    <w:spacing w:line="264" w:lineRule="auto"/>
                    <w:jc w:val="center"/>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w:t>
                  </w:r>
                </w:p>
              </w:tc>
              <w:tc>
                <w:tcPr>
                  <w:tcW w:w="5549" w:type="dxa"/>
                  <w:gridSpan w:val="5"/>
                  <w:tcBorders>
                    <w:top w:val="nil"/>
                    <w:bottom w:val="single" w:sz="6" w:space="0" w:color="FFFFFF"/>
                  </w:tcBorders>
                  <w:shd w:val="clear" w:color="auto" w:fill="DBE5F1"/>
                  <w:vAlign w:val="bottom"/>
                </w:tcPr>
                <w:p w14:paraId="0ED73B07" w14:textId="64FE872F" w:rsidR="00600DEE" w:rsidRPr="0045151D" w:rsidRDefault="00B67038">
                  <w:pPr>
                    <w:pBdr>
                      <w:top w:val="nil"/>
                      <w:left w:val="nil"/>
                      <w:bottom w:val="nil"/>
                      <w:right w:val="nil"/>
                      <w:between w:val="nil"/>
                    </w:pBdr>
                    <w:jc w:val="center"/>
                    <w:rPr>
                      <w:rFonts w:ascii="Calibri" w:eastAsia="Calibri" w:hAnsi="Calibri" w:cs="Calibri"/>
                      <w:b/>
                      <w:color w:val="4F81BD"/>
                      <w:sz w:val="20"/>
                      <w:szCs w:val="20"/>
                      <w:lang w:val="en-GB"/>
                    </w:rPr>
                  </w:pPr>
                  <w:r>
                    <w:rPr>
                      <w:rFonts w:ascii="Calibri" w:eastAsia="Calibri" w:hAnsi="Calibri" w:cs="Calibri"/>
                      <w:b/>
                      <w:color w:val="4F81BD"/>
                      <w:sz w:val="20"/>
                      <w:szCs w:val="20"/>
                      <w:lang w:val="en-GB"/>
                    </w:rPr>
                    <w:t>Severity</w:t>
                  </w:r>
                </w:p>
              </w:tc>
            </w:tr>
            <w:tr w:rsidR="00600DEE" w:rsidRPr="007463B9" w14:paraId="6957BEB9" w14:textId="77777777" w:rsidTr="00193C5C">
              <w:trPr>
                <w:trHeight w:val="203"/>
              </w:trPr>
              <w:tc>
                <w:tcPr>
                  <w:tcW w:w="1439" w:type="dxa"/>
                  <w:gridSpan w:val="2"/>
                  <w:vMerge/>
                  <w:tcBorders>
                    <w:top w:val="nil"/>
                    <w:bottom w:val="single" w:sz="6" w:space="0" w:color="FFFFFF"/>
                  </w:tcBorders>
                  <w:shd w:val="clear" w:color="auto" w:fill="DBE5F1"/>
                  <w:vAlign w:val="bottom"/>
                </w:tcPr>
                <w:p w14:paraId="0CD37C1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4F81BD"/>
                      <w:sz w:val="20"/>
                      <w:szCs w:val="20"/>
                      <w:lang w:val="en-GB"/>
                    </w:rPr>
                  </w:pPr>
                </w:p>
              </w:tc>
              <w:tc>
                <w:tcPr>
                  <w:tcW w:w="1096" w:type="dxa"/>
                  <w:tcBorders>
                    <w:top w:val="single" w:sz="6" w:space="0" w:color="FFFFFF"/>
                    <w:bottom w:val="single" w:sz="6" w:space="0" w:color="FFFFFF"/>
                  </w:tcBorders>
                  <w:shd w:val="clear" w:color="auto" w:fill="DBE5F1"/>
                  <w:vAlign w:val="center"/>
                </w:tcPr>
                <w:p w14:paraId="284C0BC5"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 xml:space="preserve"> I</w:t>
                  </w:r>
                </w:p>
              </w:tc>
              <w:tc>
                <w:tcPr>
                  <w:tcW w:w="1171" w:type="dxa"/>
                  <w:tcBorders>
                    <w:top w:val="single" w:sz="6" w:space="0" w:color="FFFFFF"/>
                    <w:bottom w:val="single" w:sz="6" w:space="0" w:color="FFFFFF"/>
                  </w:tcBorders>
                  <w:shd w:val="clear" w:color="auto" w:fill="DBE5F1"/>
                  <w:vAlign w:val="center"/>
                </w:tcPr>
                <w:p w14:paraId="086C4BC1"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II</w:t>
                  </w:r>
                </w:p>
              </w:tc>
              <w:tc>
                <w:tcPr>
                  <w:tcW w:w="1141" w:type="dxa"/>
                  <w:tcBorders>
                    <w:top w:val="single" w:sz="6" w:space="0" w:color="FFFFFF"/>
                    <w:bottom w:val="single" w:sz="6" w:space="0" w:color="FFFFFF"/>
                  </w:tcBorders>
                  <w:shd w:val="clear" w:color="auto" w:fill="DBE5F1"/>
                  <w:vAlign w:val="center"/>
                </w:tcPr>
                <w:p w14:paraId="3DA2CDA8"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III</w:t>
                  </w:r>
                </w:p>
              </w:tc>
              <w:tc>
                <w:tcPr>
                  <w:tcW w:w="1141" w:type="dxa"/>
                  <w:tcBorders>
                    <w:top w:val="single" w:sz="6" w:space="0" w:color="FFFFFF"/>
                    <w:bottom w:val="single" w:sz="6" w:space="0" w:color="FFFFFF"/>
                  </w:tcBorders>
                  <w:shd w:val="clear" w:color="auto" w:fill="DBE5F1"/>
                  <w:vAlign w:val="center"/>
                </w:tcPr>
                <w:p w14:paraId="29B875C2"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IV</w:t>
                  </w:r>
                </w:p>
              </w:tc>
              <w:tc>
                <w:tcPr>
                  <w:tcW w:w="999" w:type="dxa"/>
                  <w:tcBorders>
                    <w:top w:val="single" w:sz="6" w:space="0" w:color="FFFFFF"/>
                    <w:bottom w:val="single" w:sz="6" w:space="0" w:color="FFFFFF"/>
                  </w:tcBorders>
                  <w:shd w:val="clear" w:color="auto" w:fill="DBE5F1"/>
                  <w:vAlign w:val="center"/>
                </w:tcPr>
                <w:p w14:paraId="248A5125"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V</w:t>
                  </w:r>
                </w:p>
              </w:tc>
            </w:tr>
            <w:tr w:rsidR="00600DEE" w:rsidRPr="007463B9" w14:paraId="44047A8C" w14:textId="77777777" w:rsidTr="00193C5C">
              <w:trPr>
                <w:trHeight w:hRule="exact" w:val="255"/>
              </w:trPr>
              <w:tc>
                <w:tcPr>
                  <w:tcW w:w="505" w:type="dxa"/>
                  <w:vMerge w:val="restart"/>
                  <w:tcBorders>
                    <w:top w:val="single" w:sz="6" w:space="0" w:color="FFFFFF"/>
                    <w:bottom w:val="single" w:sz="6" w:space="0" w:color="FFFFFF"/>
                  </w:tcBorders>
                  <w:shd w:val="clear" w:color="auto" w:fill="DBE5F1"/>
                  <w:textDirection w:val="btLr"/>
                  <w:vAlign w:val="center"/>
                </w:tcPr>
                <w:p w14:paraId="663CA795" w14:textId="1D6C1298" w:rsidR="00600DEE" w:rsidRPr="0045151D" w:rsidRDefault="00193C5C" w:rsidP="00193C5C">
                  <w:pPr>
                    <w:pBdr>
                      <w:top w:val="nil"/>
                      <w:left w:val="nil"/>
                      <w:bottom w:val="nil"/>
                      <w:right w:val="nil"/>
                      <w:between w:val="nil"/>
                    </w:pBdr>
                    <w:ind w:left="113" w:right="113"/>
                    <w:jc w:val="center"/>
                    <w:rPr>
                      <w:rFonts w:ascii="Calibri" w:eastAsia="Calibri" w:hAnsi="Calibri" w:cs="Calibri"/>
                      <w:b/>
                      <w:color w:val="333399"/>
                      <w:sz w:val="20"/>
                      <w:szCs w:val="20"/>
                      <w:lang w:val="en-GB"/>
                    </w:rPr>
                  </w:pPr>
                  <w:r>
                    <w:rPr>
                      <w:rFonts w:ascii="Calibri" w:eastAsia="Calibri" w:hAnsi="Calibri" w:cs="Calibri"/>
                      <w:b/>
                      <w:color w:val="4F81BD"/>
                      <w:sz w:val="20"/>
                      <w:szCs w:val="20"/>
                      <w:lang w:val="en-GB"/>
                    </w:rPr>
                    <w:t>Probability</w:t>
                  </w:r>
                </w:p>
              </w:tc>
              <w:tc>
                <w:tcPr>
                  <w:tcW w:w="934" w:type="dxa"/>
                  <w:tcBorders>
                    <w:top w:val="single" w:sz="6" w:space="0" w:color="FFFFFF"/>
                    <w:bottom w:val="single" w:sz="6" w:space="0" w:color="FFFFFF"/>
                  </w:tcBorders>
                  <w:shd w:val="clear" w:color="auto" w:fill="DBE5F1"/>
                  <w:vAlign w:val="center"/>
                </w:tcPr>
                <w:p w14:paraId="3FF5D9F1" w14:textId="77777777" w:rsidR="00600DEE" w:rsidRPr="0045151D" w:rsidRDefault="00641FB5">
                  <w:pPr>
                    <w:pBdr>
                      <w:top w:val="nil"/>
                      <w:left w:val="nil"/>
                      <w:bottom w:val="nil"/>
                      <w:right w:val="nil"/>
                      <w:between w:val="nil"/>
                    </w:pBdr>
                    <w:jc w:val="center"/>
                    <w:rPr>
                      <w:rFonts w:ascii="Calibri" w:eastAsia="Calibri" w:hAnsi="Calibri" w:cs="Calibri"/>
                      <w:b/>
                      <w:color w:val="4F81BD"/>
                      <w:sz w:val="17"/>
                      <w:szCs w:val="17"/>
                      <w:lang w:val="en-GB"/>
                    </w:rPr>
                  </w:pPr>
                  <w:r w:rsidRPr="0045151D">
                    <w:rPr>
                      <w:rFonts w:ascii="Calibri" w:eastAsia="Calibri" w:hAnsi="Calibri" w:cs="Calibri"/>
                      <w:b/>
                      <w:color w:val="4F81BD"/>
                      <w:sz w:val="17"/>
                      <w:szCs w:val="17"/>
                      <w:lang w:val="en-GB"/>
                    </w:rPr>
                    <w:t>A</w:t>
                  </w:r>
                </w:p>
              </w:tc>
              <w:tc>
                <w:tcPr>
                  <w:tcW w:w="1096" w:type="dxa"/>
                  <w:tcBorders>
                    <w:top w:val="single" w:sz="6" w:space="0" w:color="FFFFFF"/>
                  </w:tcBorders>
                  <w:shd w:val="clear" w:color="auto" w:fill="92D050"/>
                  <w:vAlign w:val="center"/>
                </w:tcPr>
                <w:p w14:paraId="55B6D215"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 xml:space="preserve">Low </w:t>
                  </w:r>
                </w:p>
              </w:tc>
              <w:tc>
                <w:tcPr>
                  <w:tcW w:w="1171" w:type="dxa"/>
                  <w:tcBorders>
                    <w:top w:val="single" w:sz="6" w:space="0" w:color="FFFFFF"/>
                  </w:tcBorders>
                  <w:shd w:val="clear" w:color="auto" w:fill="92D050"/>
                  <w:vAlign w:val="center"/>
                </w:tcPr>
                <w:p w14:paraId="61A6602B"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41" w:type="dxa"/>
                  <w:tcBorders>
                    <w:top w:val="single" w:sz="6" w:space="0" w:color="FFFFFF"/>
                  </w:tcBorders>
                  <w:shd w:val="clear" w:color="auto" w:fill="92D050"/>
                  <w:vAlign w:val="center"/>
                </w:tcPr>
                <w:p w14:paraId="46C44B14"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41" w:type="dxa"/>
                  <w:tcBorders>
                    <w:top w:val="single" w:sz="6" w:space="0" w:color="FFFFFF"/>
                  </w:tcBorders>
                  <w:shd w:val="clear" w:color="auto" w:fill="92D050"/>
                  <w:vAlign w:val="center"/>
                </w:tcPr>
                <w:p w14:paraId="738128F6"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999" w:type="dxa"/>
                  <w:tcBorders>
                    <w:top w:val="single" w:sz="6" w:space="0" w:color="FFFFFF"/>
                    <w:bottom w:val="single" w:sz="6" w:space="0" w:color="FFFFFF"/>
                  </w:tcBorders>
                  <w:shd w:val="clear" w:color="auto" w:fill="FFFF00"/>
                  <w:vAlign w:val="center"/>
                </w:tcPr>
                <w:p w14:paraId="3D0D5862"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r>
            <w:tr w:rsidR="00600DEE" w:rsidRPr="007463B9" w14:paraId="386431FF"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7ADE299E"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single" w:sz="6" w:space="0" w:color="FFFFFF"/>
                  </w:tcBorders>
                  <w:shd w:val="clear" w:color="auto" w:fill="DBE5F1"/>
                  <w:vAlign w:val="center"/>
                </w:tcPr>
                <w:p w14:paraId="37EF8DA8"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B</w:t>
                  </w:r>
                </w:p>
              </w:tc>
              <w:tc>
                <w:tcPr>
                  <w:tcW w:w="1096" w:type="dxa"/>
                  <w:shd w:val="clear" w:color="auto" w:fill="92D050"/>
                  <w:vAlign w:val="center"/>
                </w:tcPr>
                <w:p w14:paraId="7C1A3839"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71" w:type="dxa"/>
                  <w:shd w:val="clear" w:color="auto" w:fill="92D050"/>
                  <w:vAlign w:val="center"/>
                </w:tcPr>
                <w:p w14:paraId="14EBECE1"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41" w:type="dxa"/>
                  <w:shd w:val="clear" w:color="auto" w:fill="FFFF00"/>
                  <w:vAlign w:val="center"/>
                </w:tcPr>
                <w:p w14:paraId="39EB251E"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bottom w:val="single" w:sz="6" w:space="0" w:color="FFFFFF"/>
                  </w:tcBorders>
                  <w:shd w:val="clear" w:color="auto" w:fill="FFFF00"/>
                  <w:vAlign w:val="center"/>
                </w:tcPr>
                <w:p w14:paraId="0CFBBE47"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999" w:type="dxa"/>
                  <w:tcBorders>
                    <w:top w:val="single" w:sz="6" w:space="0" w:color="FFFFFF"/>
                    <w:bottom w:val="single" w:sz="6" w:space="0" w:color="FFFFFF"/>
                  </w:tcBorders>
                  <w:shd w:val="clear" w:color="auto" w:fill="FF0000"/>
                  <w:vAlign w:val="center"/>
                </w:tcPr>
                <w:p w14:paraId="30BF5D1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r>
            <w:tr w:rsidR="00600DEE" w:rsidRPr="007463B9" w14:paraId="36BBC43B"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76DEE544"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single" w:sz="6" w:space="0" w:color="FFFFFF"/>
                  </w:tcBorders>
                  <w:shd w:val="clear" w:color="auto" w:fill="DBE5F1"/>
                  <w:vAlign w:val="center"/>
                </w:tcPr>
                <w:p w14:paraId="600E558A"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C</w:t>
                  </w:r>
                </w:p>
              </w:tc>
              <w:tc>
                <w:tcPr>
                  <w:tcW w:w="1096" w:type="dxa"/>
                  <w:tcBorders>
                    <w:bottom w:val="single" w:sz="6" w:space="0" w:color="FFFFFF"/>
                  </w:tcBorders>
                  <w:shd w:val="clear" w:color="auto" w:fill="92D050"/>
                  <w:vAlign w:val="center"/>
                </w:tcPr>
                <w:p w14:paraId="20F48872"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71" w:type="dxa"/>
                  <w:tcBorders>
                    <w:bottom w:val="single" w:sz="6" w:space="0" w:color="FFFFFF"/>
                  </w:tcBorders>
                  <w:shd w:val="clear" w:color="auto" w:fill="FFFF00"/>
                  <w:vAlign w:val="center"/>
                </w:tcPr>
                <w:p w14:paraId="602333C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bottom w:val="single" w:sz="6" w:space="0" w:color="FFFFFF"/>
                  </w:tcBorders>
                  <w:shd w:val="clear" w:color="auto" w:fill="FFFF00"/>
                  <w:vAlign w:val="center"/>
                </w:tcPr>
                <w:p w14:paraId="41878775"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top w:val="single" w:sz="6" w:space="0" w:color="FFFFFF"/>
                    <w:bottom w:val="single" w:sz="6" w:space="0" w:color="FFFFFF"/>
                  </w:tcBorders>
                  <w:shd w:val="clear" w:color="auto" w:fill="FF0000"/>
                  <w:vAlign w:val="center"/>
                </w:tcPr>
                <w:p w14:paraId="076465A1"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c>
                <w:tcPr>
                  <w:tcW w:w="999" w:type="dxa"/>
                  <w:tcBorders>
                    <w:top w:val="single" w:sz="6" w:space="0" w:color="FFFFFF"/>
                  </w:tcBorders>
                  <w:shd w:val="clear" w:color="auto" w:fill="FF0000"/>
                  <w:vAlign w:val="center"/>
                </w:tcPr>
                <w:p w14:paraId="319B87F6"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r>
            <w:tr w:rsidR="00600DEE" w:rsidRPr="007463B9" w14:paraId="512303DE"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5C63D96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single" w:sz="6" w:space="0" w:color="FFFFFF"/>
                  </w:tcBorders>
                  <w:shd w:val="clear" w:color="auto" w:fill="DBE5F1"/>
                  <w:vAlign w:val="center"/>
                </w:tcPr>
                <w:p w14:paraId="7D995488"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D</w:t>
                  </w:r>
                </w:p>
              </w:tc>
              <w:tc>
                <w:tcPr>
                  <w:tcW w:w="1096" w:type="dxa"/>
                  <w:tcBorders>
                    <w:top w:val="single" w:sz="6" w:space="0" w:color="FFFFFF"/>
                    <w:bottom w:val="single" w:sz="6" w:space="0" w:color="FFFFFF"/>
                  </w:tcBorders>
                  <w:shd w:val="clear" w:color="auto" w:fill="92D050"/>
                  <w:vAlign w:val="center"/>
                </w:tcPr>
                <w:p w14:paraId="7E4CE41B"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71" w:type="dxa"/>
                  <w:tcBorders>
                    <w:top w:val="single" w:sz="6" w:space="0" w:color="FFFFFF"/>
                    <w:bottom w:val="single" w:sz="6" w:space="0" w:color="FFFFFF"/>
                  </w:tcBorders>
                  <w:shd w:val="clear" w:color="auto" w:fill="FFFF00"/>
                  <w:vAlign w:val="center"/>
                </w:tcPr>
                <w:p w14:paraId="66D7E601"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top w:val="single" w:sz="6" w:space="0" w:color="FFFFFF"/>
                    <w:bottom w:val="single" w:sz="6" w:space="0" w:color="FFFFFF"/>
                  </w:tcBorders>
                  <w:shd w:val="clear" w:color="auto" w:fill="FF0000"/>
                  <w:vAlign w:val="center"/>
                </w:tcPr>
                <w:p w14:paraId="039F9A7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c>
                <w:tcPr>
                  <w:tcW w:w="1141" w:type="dxa"/>
                  <w:tcBorders>
                    <w:top w:val="single" w:sz="6" w:space="0" w:color="FFFFFF"/>
                  </w:tcBorders>
                  <w:shd w:val="clear" w:color="auto" w:fill="C00000"/>
                  <w:vAlign w:val="center"/>
                </w:tcPr>
                <w:p w14:paraId="1CF69D5B"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c>
                <w:tcPr>
                  <w:tcW w:w="999" w:type="dxa"/>
                  <w:shd w:val="clear" w:color="auto" w:fill="C00000"/>
                  <w:vAlign w:val="center"/>
                </w:tcPr>
                <w:p w14:paraId="3BFF6DC5"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r>
            <w:tr w:rsidR="00600DEE" w:rsidRPr="007463B9" w14:paraId="7A4E14F8"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47584BAB"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nil"/>
                  </w:tcBorders>
                  <w:shd w:val="clear" w:color="auto" w:fill="DBE5F1"/>
                  <w:vAlign w:val="center"/>
                </w:tcPr>
                <w:p w14:paraId="215BA7CE"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E</w:t>
                  </w:r>
                </w:p>
              </w:tc>
              <w:tc>
                <w:tcPr>
                  <w:tcW w:w="1096" w:type="dxa"/>
                  <w:tcBorders>
                    <w:top w:val="single" w:sz="6" w:space="0" w:color="FFFFFF"/>
                    <w:bottom w:val="nil"/>
                  </w:tcBorders>
                  <w:shd w:val="clear" w:color="auto" w:fill="FFFF00"/>
                  <w:vAlign w:val="center"/>
                </w:tcPr>
                <w:p w14:paraId="544144A7"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71" w:type="dxa"/>
                  <w:tcBorders>
                    <w:top w:val="single" w:sz="6" w:space="0" w:color="FFFFFF"/>
                    <w:bottom w:val="nil"/>
                  </w:tcBorders>
                  <w:shd w:val="clear" w:color="auto" w:fill="FF0000"/>
                  <w:vAlign w:val="center"/>
                </w:tcPr>
                <w:p w14:paraId="66F3AB0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c>
                <w:tcPr>
                  <w:tcW w:w="1141" w:type="dxa"/>
                  <w:tcBorders>
                    <w:top w:val="single" w:sz="6" w:space="0" w:color="FFFFFF"/>
                  </w:tcBorders>
                  <w:shd w:val="clear" w:color="auto" w:fill="C00000"/>
                  <w:vAlign w:val="center"/>
                </w:tcPr>
                <w:p w14:paraId="2CF649F9"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c>
                <w:tcPr>
                  <w:tcW w:w="1141" w:type="dxa"/>
                  <w:shd w:val="clear" w:color="auto" w:fill="C00000"/>
                  <w:vAlign w:val="center"/>
                </w:tcPr>
                <w:p w14:paraId="7F80A208"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c>
                <w:tcPr>
                  <w:tcW w:w="999" w:type="dxa"/>
                  <w:shd w:val="clear" w:color="auto" w:fill="C00000"/>
                  <w:vAlign w:val="center"/>
                </w:tcPr>
                <w:p w14:paraId="04D4FF2D"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r>
          </w:tbl>
          <w:p w14:paraId="20877411"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p w14:paraId="077C8154" w14:textId="412EA315"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lastRenderedPageBreak/>
              <w:t xml:space="preserve">It is important to highlight that climate change risk assessment should also be part of the overall project qualitative risk analysis (in particular, it will require further development if not performed within EIA). Mitigation, adaptation and resilience measures for climate change risks should be duly presented. Specific guidance on the topic </w:t>
            </w:r>
            <w:r w:rsidR="00B67038">
              <w:rPr>
                <w:rFonts w:ascii="Calibri" w:eastAsia="Calibri" w:hAnsi="Calibri" w:cs="Calibri"/>
                <w:b/>
                <w:color w:val="000000"/>
                <w:sz w:val="20"/>
                <w:szCs w:val="20"/>
                <w:lang w:val="en-GB"/>
              </w:rPr>
              <w:t>is</w:t>
            </w:r>
            <w:r w:rsidRPr="0045151D">
              <w:rPr>
                <w:rFonts w:ascii="Calibri" w:eastAsia="Calibri" w:hAnsi="Calibri" w:cs="Calibri"/>
                <w:b/>
                <w:color w:val="000000"/>
                <w:sz w:val="20"/>
                <w:szCs w:val="20"/>
                <w:lang w:val="en-GB"/>
              </w:rPr>
              <w:t xml:space="preserve"> not </w:t>
            </w:r>
            <w:r w:rsidR="00B67038">
              <w:rPr>
                <w:rFonts w:ascii="Calibri" w:eastAsia="Calibri" w:hAnsi="Calibri" w:cs="Calibri"/>
                <w:b/>
                <w:color w:val="000000"/>
                <w:sz w:val="20"/>
                <w:szCs w:val="20"/>
                <w:lang w:val="en-GB"/>
              </w:rPr>
              <w:t xml:space="preserve">the subject </w:t>
            </w:r>
            <w:r w:rsidRPr="0045151D">
              <w:rPr>
                <w:rFonts w:ascii="Calibri" w:eastAsia="Calibri" w:hAnsi="Calibri" w:cs="Calibri"/>
                <w:b/>
                <w:color w:val="000000"/>
                <w:sz w:val="20"/>
                <w:szCs w:val="20"/>
                <w:lang w:val="en-GB"/>
              </w:rPr>
              <w:t xml:space="preserve">of the present manual, although </w:t>
            </w:r>
            <w:r w:rsidR="00B67038">
              <w:rPr>
                <w:rFonts w:ascii="Calibri" w:eastAsia="Calibri" w:hAnsi="Calibri" w:cs="Calibri"/>
                <w:b/>
                <w:color w:val="000000"/>
                <w:sz w:val="20"/>
                <w:szCs w:val="20"/>
                <w:lang w:val="en-GB"/>
              </w:rPr>
              <w:t xml:space="preserve">it </w:t>
            </w:r>
            <w:r w:rsidRPr="0045151D">
              <w:rPr>
                <w:rFonts w:ascii="Calibri" w:eastAsia="Calibri" w:hAnsi="Calibri" w:cs="Calibri"/>
                <w:b/>
                <w:color w:val="000000"/>
                <w:sz w:val="20"/>
                <w:szCs w:val="20"/>
                <w:lang w:val="en-GB"/>
              </w:rPr>
              <w:t>need</w:t>
            </w:r>
            <w:r w:rsidR="00B67038">
              <w:rPr>
                <w:rFonts w:ascii="Calibri" w:eastAsia="Calibri" w:hAnsi="Calibri" w:cs="Calibri"/>
                <w:b/>
                <w:color w:val="000000"/>
                <w:sz w:val="20"/>
                <w:szCs w:val="20"/>
                <w:lang w:val="en-GB"/>
              </w:rPr>
              <w:t>s</w:t>
            </w:r>
            <w:r w:rsidRPr="0045151D">
              <w:rPr>
                <w:rFonts w:ascii="Calibri" w:eastAsia="Calibri" w:hAnsi="Calibri" w:cs="Calibri"/>
                <w:b/>
                <w:color w:val="000000"/>
                <w:sz w:val="20"/>
                <w:szCs w:val="20"/>
                <w:lang w:val="en-GB"/>
              </w:rPr>
              <w:t xml:space="preserve"> to be part of the overall project risk analysis following the above presented framework, for specific recommendations refer to the </w:t>
            </w:r>
            <w:hyperlink r:id="rId135">
              <w:r w:rsidRPr="0045151D">
                <w:rPr>
                  <w:rFonts w:ascii="Calibri" w:eastAsia="Calibri" w:hAnsi="Calibri" w:cs="Calibri"/>
                  <w:b/>
                  <w:color w:val="0000FF"/>
                  <w:sz w:val="20"/>
                  <w:szCs w:val="20"/>
                  <w:u w:val="single"/>
                  <w:lang w:val="en-GB"/>
                </w:rPr>
                <w:t>Technical guidance on the climate proofing of infrastructure in t</w:t>
              </w:r>
            </w:hyperlink>
            <w:hyperlink r:id="rId136">
              <w:r w:rsidRPr="00193C5C">
                <w:rPr>
                  <w:rFonts w:ascii="Calibri" w:eastAsia="Calibri" w:hAnsi="Calibri" w:cs="Calibri"/>
                  <w:b/>
                  <w:color w:val="0000FF"/>
                  <w:sz w:val="20"/>
                  <w:szCs w:val="20"/>
                  <w:u w:val="single"/>
                  <w:lang w:val="en-GB"/>
                </w:rPr>
                <w:t>he period 2021-2027</w:t>
              </w:r>
            </w:hyperlink>
            <w:hyperlink r:id="rId137">
              <w:r w:rsidRPr="0045151D">
                <w:rPr>
                  <w:rFonts w:ascii="Calibri" w:eastAsia="Calibri" w:hAnsi="Calibri" w:cs="Calibri"/>
                  <w:b/>
                  <w:color w:val="0000FF"/>
                  <w:sz w:val="20"/>
                  <w:szCs w:val="20"/>
                  <w:u w:val="single"/>
                  <w:lang w:val="en-GB"/>
                </w:rPr>
                <w:t>, EC 2021</w:t>
              </w:r>
            </w:hyperlink>
            <w:r w:rsidRPr="00193C5C">
              <w:rPr>
                <w:rFonts w:ascii="Calibri" w:eastAsia="Calibri" w:hAnsi="Calibri" w:cs="Calibri"/>
                <w:b/>
                <w:color w:val="0000FF"/>
                <w:sz w:val="20"/>
                <w:szCs w:val="20"/>
                <w:u w:val="single"/>
                <w:lang w:val="en-GB"/>
              </w:rPr>
              <w:t>.</w:t>
            </w:r>
          </w:p>
          <w:p w14:paraId="4E7A1C20"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Mitigation measures and allocation of responsible parties</w:t>
            </w:r>
          </w:p>
          <w:p w14:paraId="3D95E2B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45151D">
              <w:rPr>
                <w:rFonts w:ascii="Calibri" w:eastAsia="Calibri" w:hAnsi="Calibri" w:cs="Calibri"/>
                <w:color w:val="000000"/>
                <w:sz w:val="20"/>
                <w:szCs w:val="20"/>
                <w:lang w:val="en-GB"/>
              </w:rPr>
              <w:t xml:space="preserve">Once risks have been identified and assessed, response strategies and mitigation measures should be defined for each risk. </w:t>
            </w:r>
            <w:proofErr w:type="spellStart"/>
            <w:r>
              <w:rPr>
                <w:rFonts w:ascii="Calibri" w:eastAsia="Calibri" w:hAnsi="Calibri" w:cs="Calibri"/>
                <w:color w:val="000000"/>
                <w:sz w:val="20"/>
                <w:szCs w:val="20"/>
              </w:rPr>
              <w:t>Four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general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strategies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exist</w:t>
            </w:r>
            <w:proofErr w:type="spellEnd"/>
            <w:r>
              <w:rPr>
                <w:rFonts w:ascii="Calibri" w:eastAsia="Calibri" w:hAnsi="Calibri" w:cs="Calibri"/>
                <w:color w:val="000000"/>
                <w:sz w:val="20"/>
                <w:szCs w:val="20"/>
              </w:rPr>
              <w:t>:</w:t>
            </w:r>
          </w:p>
          <w:p w14:paraId="3A26B628"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Prevent:</w:t>
            </w:r>
            <w:r w:rsidRPr="0045151D">
              <w:rPr>
                <w:rFonts w:ascii="Calibri" w:eastAsia="Calibri" w:hAnsi="Calibri" w:cs="Calibri"/>
                <w:color w:val="000000"/>
                <w:sz w:val="20"/>
                <w:szCs w:val="20"/>
                <w:lang w:val="en-GB"/>
              </w:rPr>
              <w:t xml:space="preserve"> this means changing the project plan in order to eliminate a risk, or to eliminate its impact on the project. These changes could imply a different design, business model, financing scheme or contract form.</w:t>
            </w:r>
          </w:p>
          <w:p w14:paraId="7A270128"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Mitigate:</w:t>
            </w:r>
            <w:r w:rsidRPr="0045151D">
              <w:rPr>
                <w:rFonts w:ascii="Calibri" w:eastAsia="Calibri" w:hAnsi="Calibri" w:cs="Calibri"/>
                <w:color w:val="000000"/>
                <w:sz w:val="20"/>
                <w:szCs w:val="20"/>
                <w:lang w:val="en-GB"/>
              </w:rPr>
              <w:t xml:space="preserve"> this implies the reduction of either the probability or the impact of the risk by making changes to the project such as a different design, planning or material use. The difference with “prevent” is that in this case the risk is merely reduced, not eliminated.</w:t>
            </w:r>
          </w:p>
          <w:p w14:paraId="45645990"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Transfer:</w:t>
            </w:r>
            <w:r w:rsidRPr="0045151D">
              <w:rPr>
                <w:rFonts w:ascii="Calibri" w:eastAsia="Calibri" w:hAnsi="Calibri" w:cs="Calibri"/>
                <w:color w:val="000000"/>
                <w:sz w:val="20"/>
                <w:szCs w:val="20"/>
                <w:lang w:val="en-GB"/>
              </w:rPr>
              <w:t xml:space="preserve"> this implies the transfer of the ownership of a risk to a third party for a certain price. Insurance companies are the most obvious examples of such a third party, but it can also be another party in the project, such as the contractor. Transfers need to be specified in contracts, guarantees or pricing mechanisms (amongst others); transferring a risk only makes sense if the receiving party is (better) able to control the risk, and also has the resources to cover the impact, should the event materialise.</w:t>
            </w:r>
          </w:p>
          <w:p w14:paraId="35CCB0DF"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Tolerate:</w:t>
            </w:r>
            <w:r w:rsidRPr="0045151D">
              <w:rPr>
                <w:rFonts w:ascii="Calibri" w:eastAsia="Calibri" w:hAnsi="Calibri" w:cs="Calibri"/>
                <w:color w:val="000000"/>
                <w:sz w:val="20"/>
                <w:szCs w:val="20"/>
                <w:lang w:val="en-GB"/>
              </w:rPr>
              <w:t xml:space="preserve"> this is the strategy for those situations where the risk cannot be avoided, treated or (economically) transferred, and is therefore simply tolerated. It must involve a contingency plan in case the event materialises, but does not require any a priori action.</w:t>
            </w:r>
          </w:p>
          <w:p w14:paraId="716D559B" w14:textId="77777777" w:rsidR="003441F7" w:rsidRPr="0045151D" w:rsidRDefault="003441F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98F8190" w14:textId="77777777" w:rsidR="003441F7" w:rsidRPr="0045151D" w:rsidRDefault="003441F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3176844" w14:textId="2A2D88D3" w:rsidR="003441F7" w:rsidRPr="0045151D" w:rsidRDefault="003441F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8AA2066" w14:textId="3B0A96FA"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”Prevent” and “Mitigate” strategies are generally linked to the risk level matrix in the following way:</w:t>
            </w:r>
          </w:p>
          <w:tbl>
            <w:tblPr>
              <w:tblStyle w:val="affffffff1"/>
              <w:tblW w:w="5502" w:type="dxa"/>
              <w:tblBorders>
                <w:top w:val="single" w:sz="4" w:space="0" w:color="9BBB59"/>
                <w:bottom w:val="single" w:sz="4" w:space="0" w:color="9BBB59"/>
              </w:tblBorders>
              <w:tblLayout w:type="fixed"/>
              <w:tblLook w:val="0400" w:firstRow="0" w:lastRow="0" w:firstColumn="0" w:lastColumn="0" w:noHBand="0" w:noVBand="1"/>
            </w:tblPr>
            <w:tblGrid>
              <w:gridCol w:w="1835"/>
              <w:gridCol w:w="275"/>
              <w:gridCol w:w="1144"/>
              <w:gridCol w:w="756"/>
              <w:gridCol w:w="798"/>
              <w:gridCol w:w="694"/>
            </w:tblGrid>
            <w:tr w:rsidR="00600DEE" w:rsidRPr="007463B9" w14:paraId="5A1A5061" w14:textId="77777777">
              <w:trPr>
                <w:trHeight w:val="520"/>
              </w:trPr>
              <w:tc>
                <w:tcPr>
                  <w:tcW w:w="1835" w:type="dxa"/>
                  <w:tcBorders>
                    <w:top w:val="single" w:sz="4" w:space="0" w:color="92D050"/>
                    <w:bottom w:val="single" w:sz="4" w:space="0" w:color="92D050"/>
                    <w:right w:val="single" w:sz="4" w:space="0" w:color="92D050"/>
                  </w:tcBorders>
                  <w:shd w:val="clear" w:color="auto" w:fill="auto"/>
                  <w:vAlign w:val="center"/>
                </w:tcPr>
                <w:p w14:paraId="01A9A42D" w14:textId="77777777" w:rsidR="00600DEE" w:rsidRPr="0045151D" w:rsidRDefault="00641FB5">
                  <w:pPr>
                    <w:jc w:val="center"/>
                    <w:rPr>
                      <w:rFonts w:ascii="Calibri" w:eastAsia="Calibri" w:hAnsi="Calibri" w:cs="Calibri"/>
                      <w:b/>
                      <w:sz w:val="18"/>
                      <w:szCs w:val="18"/>
                      <w:lang w:val="en-GB"/>
                    </w:rPr>
                  </w:pPr>
                  <w:r w:rsidRPr="0045151D">
                    <w:rPr>
                      <w:rFonts w:ascii="Calibri" w:eastAsia="Calibri" w:hAnsi="Calibri" w:cs="Calibri"/>
                      <w:b/>
                      <w:sz w:val="18"/>
                      <w:szCs w:val="18"/>
                      <w:lang w:val="en-GB"/>
                    </w:rPr>
                    <w:t>Severity / Probability</w:t>
                  </w:r>
                </w:p>
              </w:tc>
              <w:tc>
                <w:tcPr>
                  <w:tcW w:w="275" w:type="dxa"/>
                  <w:tcBorders>
                    <w:top w:val="single" w:sz="4" w:space="0" w:color="92D050"/>
                    <w:left w:val="single" w:sz="4" w:space="0" w:color="92D050"/>
                    <w:bottom w:val="single" w:sz="4" w:space="0" w:color="92D050"/>
                    <w:right w:val="nil"/>
                  </w:tcBorders>
                  <w:shd w:val="clear" w:color="auto" w:fill="auto"/>
                  <w:vAlign w:val="center"/>
                </w:tcPr>
                <w:p w14:paraId="640C11E3"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I</w:t>
                  </w:r>
                </w:p>
              </w:tc>
              <w:tc>
                <w:tcPr>
                  <w:tcW w:w="1144" w:type="dxa"/>
                  <w:tcBorders>
                    <w:top w:val="single" w:sz="4" w:space="0" w:color="92D050"/>
                    <w:left w:val="nil"/>
                    <w:bottom w:val="single" w:sz="4" w:space="0" w:color="92D050"/>
                  </w:tcBorders>
                  <w:shd w:val="clear" w:color="auto" w:fill="auto"/>
                  <w:vAlign w:val="center"/>
                </w:tcPr>
                <w:p w14:paraId="3E170C81"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 xml:space="preserve">          II</w:t>
                  </w:r>
                </w:p>
              </w:tc>
              <w:tc>
                <w:tcPr>
                  <w:tcW w:w="756" w:type="dxa"/>
                  <w:tcBorders>
                    <w:top w:val="single" w:sz="4" w:space="0" w:color="92D050"/>
                    <w:bottom w:val="single" w:sz="4" w:space="0" w:color="92D050"/>
                  </w:tcBorders>
                  <w:shd w:val="clear" w:color="auto" w:fill="auto"/>
                  <w:vAlign w:val="center"/>
                </w:tcPr>
                <w:p w14:paraId="15478A68"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III</w:t>
                  </w:r>
                </w:p>
              </w:tc>
              <w:tc>
                <w:tcPr>
                  <w:tcW w:w="798" w:type="dxa"/>
                  <w:tcBorders>
                    <w:top w:val="single" w:sz="4" w:space="0" w:color="92D050"/>
                    <w:bottom w:val="single" w:sz="4" w:space="0" w:color="92D050"/>
                  </w:tcBorders>
                  <w:shd w:val="clear" w:color="auto" w:fill="auto"/>
                  <w:vAlign w:val="center"/>
                </w:tcPr>
                <w:p w14:paraId="74956D94"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IV</w:t>
                  </w:r>
                </w:p>
              </w:tc>
              <w:tc>
                <w:tcPr>
                  <w:tcW w:w="694" w:type="dxa"/>
                  <w:tcBorders>
                    <w:top w:val="single" w:sz="4" w:space="0" w:color="92D050"/>
                    <w:bottom w:val="single" w:sz="4" w:space="0" w:color="92D050"/>
                  </w:tcBorders>
                  <w:shd w:val="clear" w:color="auto" w:fill="auto"/>
                  <w:vAlign w:val="center"/>
                </w:tcPr>
                <w:p w14:paraId="2399B0A4"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V</w:t>
                  </w:r>
                </w:p>
              </w:tc>
            </w:tr>
            <w:tr w:rsidR="00600DEE" w:rsidRPr="007463B9" w14:paraId="34FE3DD9" w14:textId="77777777">
              <w:tc>
                <w:tcPr>
                  <w:tcW w:w="1835" w:type="dxa"/>
                  <w:tcBorders>
                    <w:top w:val="single" w:sz="4" w:space="0" w:color="92D050"/>
                    <w:bottom w:val="nil"/>
                    <w:right w:val="single" w:sz="4" w:space="0" w:color="92D050"/>
                  </w:tcBorders>
                  <w:shd w:val="clear" w:color="auto" w:fill="auto"/>
                  <w:vAlign w:val="center"/>
                </w:tcPr>
                <w:p w14:paraId="3E8A7A0C"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A</w:t>
                  </w:r>
                </w:p>
              </w:tc>
              <w:tc>
                <w:tcPr>
                  <w:tcW w:w="1419" w:type="dxa"/>
                  <w:gridSpan w:val="2"/>
                  <w:vMerge w:val="restart"/>
                  <w:tcBorders>
                    <w:top w:val="single" w:sz="4" w:space="0" w:color="92D050"/>
                    <w:left w:val="single" w:sz="4" w:space="0" w:color="92D050"/>
                    <w:bottom w:val="nil"/>
                  </w:tcBorders>
                  <w:shd w:val="clear" w:color="auto" w:fill="auto"/>
                  <w:vAlign w:val="center"/>
                </w:tcPr>
                <w:p w14:paraId="6178EBE9"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Prevention or mitigation</w:t>
                  </w:r>
                </w:p>
              </w:tc>
              <w:tc>
                <w:tcPr>
                  <w:tcW w:w="2248" w:type="dxa"/>
                  <w:gridSpan w:val="3"/>
                  <w:vMerge w:val="restart"/>
                  <w:tcBorders>
                    <w:top w:val="single" w:sz="4" w:space="0" w:color="92D050"/>
                    <w:bottom w:val="nil"/>
                  </w:tcBorders>
                  <w:shd w:val="clear" w:color="auto" w:fill="auto"/>
                  <w:vAlign w:val="center"/>
                </w:tcPr>
                <w:p w14:paraId="76FF2368"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 xml:space="preserve">     Mitigation</w:t>
                  </w:r>
                </w:p>
              </w:tc>
            </w:tr>
            <w:tr w:rsidR="00600DEE" w:rsidRPr="007463B9" w14:paraId="3ACCEC19" w14:textId="77777777">
              <w:tc>
                <w:tcPr>
                  <w:tcW w:w="1835" w:type="dxa"/>
                  <w:tcBorders>
                    <w:top w:val="nil"/>
                    <w:right w:val="single" w:sz="4" w:space="0" w:color="92D050"/>
                  </w:tcBorders>
                  <w:shd w:val="clear" w:color="auto" w:fill="auto"/>
                  <w:vAlign w:val="center"/>
                </w:tcPr>
                <w:p w14:paraId="18978B6C"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B</w:t>
                  </w:r>
                </w:p>
              </w:tc>
              <w:tc>
                <w:tcPr>
                  <w:tcW w:w="1419" w:type="dxa"/>
                  <w:gridSpan w:val="2"/>
                  <w:vMerge/>
                  <w:tcBorders>
                    <w:top w:val="single" w:sz="4" w:space="0" w:color="92D050"/>
                    <w:left w:val="single" w:sz="4" w:space="0" w:color="92D050"/>
                    <w:bottom w:val="nil"/>
                  </w:tcBorders>
                  <w:shd w:val="clear" w:color="auto" w:fill="auto"/>
                  <w:vAlign w:val="center"/>
                </w:tcPr>
                <w:p w14:paraId="08CC5CB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c>
                <w:tcPr>
                  <w:tcW w:w="2248" w:type="dxa"/>
                  <w:gridSpan w:val="3"/>
                  <w:vMerge/>
                  <w:tcBorders>
                    <w:top w:val="single" w:sz="4" w:space="0" w:color="92D050"/>
                    <w:bottom w:val="nil"/>
                  </w:tcBorders>
                  <w:shd w:val="clear" w:color="auto" w:fill="auto"/>
                  <w:vAlign w:val="center"/>
                </w:tcPr>
                <w:p w14:paraId="230CBD75"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r>
            <w:tr w:rsidR="00600DEE" w:rsidRPr="007463B9" w14:paraId="2C4C28BF" w14:textId="77777777">
              <w:tc>
                <w:tcPr>
                  <w:tcW w:w="1835" w:type="dxa"/>
                  <w:tcBorders>
                    <w:bottom w:val="nil"/>
                    <w:right w:val="single" w:sz="4" w:space="0" w:color="92D050"/>
                  </w:tcBorders>
                  <w:shd w:val="clear" w:color="auto" w:fill="auto"/>
                  <w:vAlign w:val="center"/>
                </w:tcPr>
                <w:p w14:paraId="628A5691"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C</w:t>
                  </w:r>
                </w:p>
              </w:tc>
              <w:tc>
                <w:tcPr>
                  <w:tcW w:w="1419" w:type="dxa"/>
                  <w:gridSpan w:val="2"/>
                  <w:vMerge/>
                  <w:tcBorders>
                    <w:top w:val="single" w:sz="4" w:space="0" w:color="92D050"/>
                    <w:left w:val="single" w:sz="4" w:space="0" w:color="92D050"/>
                    <w:bottom w:val="nil"/>
                  </w:tcBorders>
                  <w:shd w:val="clear" w:color="auto" w:fill="auto"/>
                  <w:vAlign w:val="center"/>
                </w:tcPr>
                <w:p w14:paraId="7027F08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c>
                <w:tcPr>
                  <w:tcW w:w="2248" w:type="dxa"/>
                  <w:gridSpan w:val="3"/>
                  <w:vMerge/>
                  <w:tcBorders>
                    <w:top w:val="single" w:sz="4" w:space="0" w:color="92D050"/>
                    <w:bottom w:val="nil"/>
                  </w:tcBorders>
                  <w:shd w:val="clear" w:color="auto" w:fill="auto"/>
                  <w:vAlign w:val="center"/>
                </w:tcPr>
                <w:p w14:paraId="47448FC4"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r>
            <w:tr w:rsidR="00600DEE" w:rsidRPr="007463B9" w14:paraId="5B77B7FB" w14:textId="77777777">
              <w:tc>
                <w:tcPr>
                  <w:tcW w:w="1835" w:type="dxa"/>
                  <w:tcBorders>
                    <w:top w:val="nil"/>
                    <w:bottom w:val="nil"/>
                    <w:right w:val="single" w:sz="4" w:space="0" w:color="92D050"/>
                  </w:tcBorders>
                  <w:shd w:val="clear" w:color="auto" w:fill="auto"/>
                  <w:vAlign w:val="center"/>
                </w:tcPr>
                <w:p w14:paraId="00C3F95D"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D</w:t>
                  </w:r>
                </w:p>
              </w:tc>
              <w:tc>
                <w:tcPr>
                  <w:tcW w:w="1419" w:type="dxa"/>
                  <w:gridSpan w:val="2"/>
                  <w:vMerge w:val="restart"/>
                  <w:tcBorders>
                    <w:top w:val="nil"/>
                    <w:left w:val="single" w:sz="4" w:space="0" w:color="92D050"/>
                    <w:bottom w:val="nil"/>
                  </w:tcBorders>
                  <w:shd w:val="clear" w:color="auto" w:fill="auto"/>
                  <w:vAlign w:val="center"/>
                </w:tcPr>
                <w:p w14:paraId="79420D51"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Prevention</w:t>
                  </w:r>
                </w:p>
              </w:tc>
              <w:tc>
                <w:tcPr>
                  <w:tcW w:w="2248" w:type="dxa"/>
                  <w:gridSpan w:val="3"/>
                  <w:vMerge w:val="restart"/>
                  <w:shd w:val="clear" w:color="auto" w:fill="auto"/>
                  <w:vAlign w:val="center"/>
                </w:tcPr>
                <w:p w14:paraId="7605E6E4"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Prevention and mitigation</w:t>
                  </w:r>
                </w:p>
              </w:tc>
            </w:tr>
            <w:tr w:rsidR="00600DEE" w:rsidRPr="007463B9" w14:paraId="04051F45" w14:textId="77777777">
              <w:tc>
                <w:tcPr>
                  <w:tcW w:w="1835" w:type="dxa"/>
                  <w:tcBorders>
                    <w:top w:val="nil"/>
                    <w:bottom w:val="single" w:sz="4" w:space="0" w:color="92D050"/>
                    <w:right w:val="single" w:sz="4" w:space="0" w:color="92D050"/>
                  </w:tcBorders>
                  <w:shd w:val="clear" w:color="auto" w:fill="auto"/>
                  <w:vAlign w:val="center"/>
                </w:tcPr>
                <w:p w14:paraId="1AD9FB77"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E</w:t>
                  </w:r>
                </w:p>
              </w:tc>
              <w:tc>
                <w:tcPr>
                  <w:tcW w:w="1419" w:type="dxa"/>
                  <w:gridSpan w:val="2"/>
                  <w:vMerge/>
                  <w:tcBorders>
                    <w:top w:val="nil"/>
                    <w:left w:val="single" w:sz="4" w:space="0" w:color="92D050"/>
                    <w:bottom w:val="nil"/>
                  </w:tcBorders>
                  <w:shd w:val="clear" w:color="auto" w:fill="auto"/>
                  <w:vAlign w:val="center"/>
                </w:tcPr>
                <w:p w14:paraId="3790D18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c>
                <w:tcPr>
                  <w:tcW w:w="2248" w:type="dxa"/>
                  <w:gridSpan w:val="3"/>
                  <w:vMerge/>
                  <w:shd w:val="clear" w:color="auto" w:fill="auto"/>
                  <w:vAlign w:val="center"/>
                </w:tcPr>
                <w:p w14:paraId="49C41FC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r>
          </w:tbl>
          <w:p w14:paraId="538D5017"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p w14:paraId="6F465AC5" w14:textId="26207A8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“Transfer” and “Tolerate” strategies apply to </w:t>
            </w:r>
            <w:r w:rsidR="00B67038">
              <w:rPr>
                <w:rFonts w:ascii="Calibri" w:eastAsia="Calibri" w:hAnsi="Calibri" w:cs="Calibri"/>
                <w:color w:val="000000"/>
                <w:sz w:val="20"/>
                <w:szCs w:val="20"/>
                <w:lang w:val="en-GB"/>
              </w:rPr>
              <w:t xml:space="preserve">only </w:t>
            </w:r>
            <w:r w:rsidRPr="0045151D">
              <w:rPr>
                <w:rFonts w:ascii="Calibri" w:eastAsia="Calibri" w:hAnsi="Calibri" w:cs="Calibri"/>
                <w:color w:val="000000"/>
                <w:sz w:val="20"/>
                <w:szCs w:val="20"/>
                <w:lang w:val="en-GB"/>
              </w:rPr>
              <w:t xml:space="preserve">some specific risks. </w:t>
            </w:r>
          </w:p>
          <w:p w14:paraId="79151E4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Once the main strategy has been selected for each risk, a more detailed mitigation measure should be defined for each identified risk. The selected measure should also bear in mind the cost of implementing the measure. Its allocation to the responsible party must also be specified.</w:t>
            </w:r>
          </w:p>
          <w:p w14:paraId="53928ACF" w14:textId="77777777" w:rsidR="00193C5C" w:rsidRDefault="00193C5C">
            <w:pPr>
              <w:pBdr>
                <w:top w:val="nil"/>
                <w:left w:val="nil"/>
                <w:bottom w:val="nil"/>
                <w:right w:val="nil"/>
                <w:between w:val="nil"/>
              </w:pBdr>
              <w:spacing w:before="120"/>
              <w:jc w:val="both"/>
              <w:rPr>
                <w:rFonts w:ascii="Calibri" w:eastAsia="Calibri" w:hAnsi="Calibri" w:cs="Calibri"/>
                <w:b/>
                <w:color w:val="000000"/>
                <w:sz w:val="20"/>
                <w:szCs w:val="20"/>
                <w:lang w:val="en-GB"/>
              </w:rPr>
            </w:pPr>
          </w:p>
          <w:p w14:paraId="3A37FE49" w14:textId="129AB15A"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Risk monitoring</w:t>
            </w:r>
          </w:p>
          <w:p w14:paraId="112304AC"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color w:val="000000"/>
                <w:sz w:val="20"/>
                <w:szCs w:val="20"/>
                <w:lang w:val="en-GB"/>
              </w:rPr>
              <w:t>The Beneficiary must summarise what risk monitoring strategies it has in place, in order to subsequently evaluate the correctness of its risk assessment and the effectiveness of the mitigation measures. a brief description of the monitoring procedures and protocols employed can be presented.</w:t>
            </w:r>
          </w:p>
          <w:p w14:paraId="0776FF46"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Quantitative risk analysis</w:t>
            </w:r>
          </w:p>
          <w:p w14:paraId="7B2BCA2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 probabilistic risk analysis is required where residual risk exposure is still significant or in any other relevant cases depending on project size and availability of probability distributions data. Although not being mandatory, Beneficiaries are encouraged to use probability distributions based on historical project data when available, to perform quantitative risk analysis for such variables as capital expenditure, duration of the project implementation, value of economic benefits and traffic. </w:t>
            </w:r>
          </w:p>
          <w:p w14:paraId="59F78DC4" w14:textId="77777777" w:rsidR="00600DEE" w:rsidRPr="0045151D" w:rsidRDefault="00641FB5">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transport sector, the critical parameters are usually investment cost, traffic and project implementation delays (causing lower benefits). Once data gathering </w:t>
            </w:r>
            <w:r w:rsidRPr="0045151D">
              <w:rPr>
                <w:rFonts w:ascii="Calibri" w:eastAsia="Calibri" w:hAnsi="Calibri" w:cs="Calibri"/>
                <w:color w:val="000000"/>
                <w:sz w:val="20"/>
                <w:szCs w:val="20"/>
                <w:lang w:val="en-GB"/>
              </w:rPr>
              <w:lastRenderedPageBreak/>
              <w:t>and analysis is finalised, using the variable probability distribution functions, probability distribution for ERR, ENPV, FNPV and (where possible) FRR may be calculated, using Monte Carlo simulation or similar tools.</w:t>
            </w:r>
          </w:p>
          <w:p w14:paraId="0906703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no probability distributions are available, the analysis is limited to the qualitative part.</w:t>
            </w:r>
          </w:p>
        </w:tc>
      </w:tr>
    </w:tbl>
    <w:p w14:paraId="24B14923" w14:textId="5E795C6F"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15" w:name="_Toc95378010"/>
      <w:r w:rsidRPr="0045151D">
        <w:rPr>
          <w:rFonts w:ascii="Calibri" w:eastAsia="Calibri" w:hAnsi="Calibri" w:cs="Calibri"/>
          <w:color w:val="4F81BD"/>
          <w:lang w:val="pl-PL"/>
        </w:rPr>
        <w:lastRenderedPageBreak/>
        <w:t>Przedstawienie wyników oceny ryzyka</w:t>
      </w:r>
      <w:r w:rsidRPr="0045151D">
        <w:rPr>
          <w:rFonts w:ascii="Calibri" w:eastAsia="Calibri" w:hAnsi="Calibri" w:cs="Calibri"/>
          <w:color w:val="4F81BD"/>
          <w:lang w:val="pl-PL"/>
        </w:rPr>
        <w:tab/>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4.3</w:t>
      </w:r>
      <w:r w:rsidRPr="0045151D">
        <w:rPr>
          <w:rFonts w:ascii="Calibri" w:eastAsia="Calibri" w:hAnsi="Calibri" w:cs="Calibri"/>
          <w:color w:val="4F81BD"/>
          <w:lang w:val="pl-PL"/>
        </w:rPr>
        <w:t xml:space="preserve">   </w:t>
      </w:r>
      <w:proofErr w:type="spellStart"/>
      <w:r w:rsidRPr="0045151D">
        <w:rPr>
          <w:rFonts w:ascii="Calibri" w:eastAsia="Calibri" w:hAnsi="Calibri" w:cs="Calibri"/>
          <w:i/>
          <w:color w:val="4F81BD"/>
          <w:lang w:val="pl-PL"/>
        </w:rPr>
        <w:t>Risk</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assessment</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output</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presentation</w:t>
      </w:r>
      <w:bookmarkEnd w:id="115"/>
      <w:proofErr w:type="spellEnd"/>
    </w:p>
    <w:tbl>
      <w:tblPr>
        <w:tblStyle w:val="affffffff2"/>
        <w:tblW w:w="14571" w:type="dxa"/>
        <w:tblLayout w:type="fixed"/>
        <w:tblLook w:val="0400" w:firstRow="0" w:lastRow="0" w:firstColumn="0" w:lastColumn="0" w:noHBand="0" w:noVBand="1"/>
      </w:tblPr>
      <w:tblGrid>
        <w:gridCol w:w="7370"/>
        <w:gridCol w:w="7201"/>
      </w:tblGrid>
      <w:tr w:rsidR="00600DEE" w:rsidRPr="007463B9" w14:paraId="7B6DF61A" w14:textId="77777777">
        <w:tc>
          <w:tcPr>
            <w:tcW w:w="7370" w:type="dxa"/>
            <w:tcBorders>
              <w:right w:val="single" w:sz="4" w:space="0" w:color="000000"/>
            </w:tcBorders>
            <w:tcMar>
              <w:left w:w="284" w:type="dxa"/>
              <w:right w:w="284" w:type="dxa"/>
            </w:tcMar>
          </w:tcPr>
          <w:p w14:paraId="404F88F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Analiza wrażliwości</w:t>
            </w:r>
          </w:p>
          <w:p w14:paraId="4645A5D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Jak to opisano powyżej, analiza wrażliwości powinna obejmować identyfikację „krytycznych” zmiennych projektu, a także wyliczenie „wartości progowych” zmiennych, co pozwala ocenić ryzyko projektu i możliwość podjęcia działań zapobiegawczych. W ostatecznej formie analiza będzie obejmować analizę scenariuszy, w której wpływ zmian różnych zmiennych kluczowych jest uwzględniony, w tym także kombinacje odchyleń różnych zmiennych. Jak tylko ilościowa analiza ryzyka będzie możliwa do przeprowadzenia (w chwili obecnej nie jest to możliwe), niniejszy rozdział będzie również przedstawiać prawdopodobieństwa zdefiniowanych scenariuszy zmian oraz prawdopodobieństwa osiągnięcia wartości progowych przez zmienne krytyczne.</w:t>
            </w:r>
          </w:p>
          <w:p w14:paraId="78F7576E"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16" w:name="_heading=h.haapch" w:colFirst="0" w:colLast="0"/>
            <w:bookmarkEnd w:id="116"/>
            <w:r>
              <w:rPr>
                <w:rFonts w:ascii="Calibri" w:eastAsia="Calibri" w:hAnsi="Calibri" w:cs="Calibri"/>
                <w:b/>
                <w:color w:val="000000"/>
                <w:sz w:val="20"/>
                <w:szCs w:val="20"/>
              </w:rPr>
              <w:t>Prezentacja wyników analizy ryzyka</w:t>
            </w:r>
          </w:p>
          <w:p w14:paraId="43E2179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Wyniki analizy ryzyka powinny zawierać tabelę identyfikującą poszczególne ryzyka oraz poniższą tabelę przedstawiającą matrycę ryzyka (autor może według własnego uznania zmienić formę prezentacji tych danych).</w:t>
            </w:r>
          </w:p>
          <w:p w14:paraId="53B0B73A" w14:textId="48B2C4F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Ja</w:t>
            </w:r>
            <w:r w:rsidR="00193C5C">
              <w:rPr>
                <w:rFonts w:ascii="Calibri" w:eastAsia="Calibri" w:hAnsi="Calibri" w:cs="Calibri"/>
                <w:color w:val="000000"/>
                <w:sz w:val="20"/>
                <w:szCs w:val="20"/>
              </w:rPr>
              <w:t>k to opisano powyżej, jak tylko</w:t>
            </w:r>
            <w:r>
              <w:rPr>
                <w:rFonts w:ascii="Calibri" w:eastAsia="Calibri" w:hAnsi="Calibri" w:cs="Calibri"/>
                <w:color w:val="000000"/>
                <w:sz w:val="20"/>
                <w:szCs w:val="20"/>
              </w:rPr>
              <w:t xml:space="preserve"> ilościowa analiza ryzyka będzie możliwa, matryca ta powinna zostać uzupełniona z wykorzystaniem rozkładów prawdopodobieństwa zmiennych krytycznych. Pozwoli to na uzyskanie rozkładów prawdopodobieństwa i parametrów opisowych dla wskaźników efektywności finansowej i ekonomicznej.</w:t>
            </w:r>
          </w:p>
          <w:p w14:paraId="3DAAA1F8" w14:textId="561480DB" w:rsidR="003441F7" w:rsidRDefault="003441F7">
            <w:pPr>
              <w:pBdr>
                <w:top w:val="nil"/>
                <w:left w:val="nil"/>
                <w:bottom w:val="nil"/>
                <w:right w:val="nil"/>
                <w:between w:val="nil"/>
              </w:pBdr>
              <w:spacing w:before="120"/>
              <w:jc w:val="both"/>
              <w:rPr>
                <w:rFonts w:ascii="Calibri" w:eastAsia="Calibri" w:hAnsi="Calibri" w:cs="Calibri"/>
                <w:color w:val="000000"/>
                <w:sz w:val="20"/>
                <w:szCs w:val="20"/>
              </w:rPr>
            </w:pPr>
          </w:p>
          <w:p w14:paraId="6BA0429F" w14:textId="34EF2E1D" w:rsidR="003441F7" w:rsidRDefault="003441F7">
            <w:pPr>
              <w:pBdr>
                <w:top w:val="nil"/>
                <w:left w:val="nil"/>
                <w:bottom w:val="nil"/>
                <w:right w:val="nil"/>
                <w:between w:val="nil"/>
              </w:pBdr>
              <w:spacing w:before="120"/>
              <w:jc w:val="both"/>
              <w:rPr>
                <w:rFonts w:ascii="Calibri" w:eastAsia="Calibri" w:hAnsi="Calibri" w:cs="Calibri"/>
                <w:color w:val="000000"/>
                <w:sz w:val="20"/>
                <w:szCs w:val="20"/>
              </w:rPr>
            </w:pPr>
          </w:p>
          <w:p w14:paraId="56C8E72D" w14:textId="77CCD0AA" w:rsidR="00482C1E" w:rsidRDefault="00482C1E">
            <w:pPr>
              <w:pBdr>
                <w:top w:val="nil"/>
                <w:left w:val="nil"/>
                <w:bottom w:val="nil"/>
                <w:right w:val="nil"/>
                <w:between w:val="nil"/>
              </w:pBdr>
              <w:spacing w:before="120"/>
              <w:jc w:val="both"/>
              <w:rPr>
                <w:rFonts w:ascii="Calibri" w:eastAsia="Calibri" w:hAnsi="Calibri" w:cs="Calibri"/>
                <w:color w:val="000000"/>
                <w:sz w:val="20"/>
                <w:szCs w:val="20"/>
              </w:rPr>
            </w:pPr>
          </w:p>
          <w:p w14:paraId="076E0086" w14:textId="38912AA1" w:rsidR="00482C1E" w:rsidRDefault="00482C1E">
            <w:pPr>
              <w:pBdr>
                <w:top w:val="nil"/>
                <w:left w:val="nil"/>
                <w:bottom w:val="nil"/>
                <w:right w:val="nil"/>
                <w:between w:val="nil"/>
              </w:pBdr>
              <w:spacing w:before="120"/>
              <w:jc w:val="both"/>
              <w:rPr>
                <w:rFonts w:ascii="Calibri" w:eastAsia="Calibri" w:hAnsi="Calibri" w:cs="Calibri"/>
                <w:color w:val="000000"/>
                <w:sz w:val="20"/>
                <w:szCs w:val="20"/>
              </w:rPr>
            </w:pPr>
          </w:p>
          <w:p w14:paraId="341D3BF4" w14:textId="77777777" w:rsidR="00482C1E" w:rsidRDefault="00482C1E">
            <w:pPr>
              <w:pBdr>
                <w:top w:val="nil"/>
                <w:left w:val="nil"/>
                <w:bottom w:val="nil"/>
                <w:right w:val="nil"/>
                <w:between w:val="nil"/>
              </w:pBdr>
              <w:spacing w:before="120"/>
              <w:jc w:val="both"/>
              <w:rPr>
                <w:rFonts w:ascii="Calibri" w:eastAsia="Calibri" w:hAnsi="Calibri" w:cs="Calibri"/>
                <w:color w:val="000000"/>
                <w:sz w:val="20"/>
                <w:szCs w:val="20"/>
              </w:rPr>
            </w:pPr>
          </w:p>
          <w:p w14:paraId="3D721A11" w14:textId="78483572" w:rsidR="00600DEE" w:rsidRDefault="00EB716F" w:rsidP="003441F7">
            <w:pPr>
              <w:pBdr>
                <w:top w:val="nil"/>
                <w:left w:val="nil"/>
                <w:bottom w:val="nil"/>
                <w:right w:val="nil"/>
                <w:between w:val="nil"/>
              </w:pBd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33</w:t>
            </w:r>
            <w:r w:rsidR="00641FB5">
              <w:rPr>
                <w:rFonts w:ascii="Calibri" w:eastAsia="Calibri" w:hAnsi="Calibri" w:cs="Calibri"/>
                <w:b/>
                <w:color w:val="4F81BD"/>
                <w:sz w:val="20"/>
                <w:szCs w:val="20"/>
              </w:rPr>
              <w:t>. Matryca ryzyka – analiza rozszerzona</w:t>
            </w:r>
          </w:p>
          <w:tbl>
            <w:tblPr>
              <w:tblStyle w:val="affffffff3"/>
              <w:tblW w:w="7022" w:type="dxa"/>
              <w:tblLayout w:type="fixed"/>
              <w:tblLook w:val="0000" w:firstRow="0" w:lastRow="0" w:firstColumn="0" w:lastColumn="0" w:noHBand="0" w:noVBand="0"/>
            </w:tblPr>
            <w:tblGrid>
              <w:gridCol w:w="1752"/>
              <w:gridCol w:w="1477"/>
              <w:gridCol w:w="3793"/>
            </w:tblGrid>
            <w:tr w:rsidR="00600DEE" w14:paraId="2B6E2F2F" w14:textId="77777777" w:rsidTr="005C3677">
              <w:trPr>
                <w:trHeight w:val="185"/>
              </w:trPr>
              <w:tc>
                <w:tcPr>
                  <w:tcW w:w="1752" w:type="dxa"/>
                  <w:tcBorders>
                    <w:top w:val="single" w:sz="4" w:space="0" w:color="FFFFFF"/>
                    <w:left w:val="single" w:sz="4" w:space="0" w:color="FFFFFF"/>
                    <w:bottom w:val="single" w:sz="4" w:space="0" w:color="FFFFFF"/>
                  </w:tcBorders>
                  <w:shd w:val="clear" w:color="auto" w:fill="A6A6A6"/>
                  <w:vAlign w:val="center"/>
                </w:tcPr>
                <w:p w14:paraId="5D5ECA87"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Pole</w:t>
                  </w:r>
                </w:p>
              </w:tc>
              <w:tc>
                <w:tcPr>
                  <w:tcW w:w="1477"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88C7A68"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 danych</w:t>
                  </w:r>
                </w:p>
              </w:tc>
              <w:tc>
                <w:tcPr>
                  <w:tcW w:w="379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040A7B2"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Zakres wartości danych</w:t>
                  </w:r>
                </w:p>
              </w:tc>
            </w:tr>
            <w:tr w:rsidR="00600DEE" w14:paraId="265B8B94" w14:textId="77777777" w:rsidTr="005C3677">
              <w:trPr>
                <w:trHeight w:val="547"/>
              </w:trPr>
              <w:tc>
                <w:tcPr>
                  <w:tcW w:w="1752" w:type="dxa"/>
                  <w:tcBorders>
                    <w:left w:val="single" w:sz="4" w:space="0" w:color="FFFFFF"/>
                    <w:bottom w:val="single" w:sz="4" w:space="0" w:color="FFFFFF"/>
                  </w:tcBorders>
                  <w:shd w:val="clear" w:color="auto" w:fill="DBE5F1"/>
                </w:tcPr>
                <w:p w14:paraId="3D14D78B"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Nazwa ryzyka</w:t>
                  </w:r>
                </w:p>
              </w:tc>
              <w:tc>
                <w:tcPr>
                  <w:tcW w:w="1477" w:type="dxa"/>
                  <w:tcBorders>
                    <w:left w:val="single" w:sz="4" w:space="0" w:color="FFFFFF"/>
                    <w:bottom w:val="single" w:sz="4" w:space="0" w:color="FFFFFF"/>
                    <w:right w:val="single" w:sz="4" w:space="0" w:color="FFFFFF"/>
                  </w:tcBorders>
                  <w:shd w:val="clear" w:color="auto" w:fill="DBE5F1"/>
                </w:tcPr>
                <w:p w14:paraId="639DD58C"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&lt;tekst&gt;</w:t>
                  </w:r>
                </w:p>
              </w:tc>
              <w:tc>
                <w:tcPr>
                  <w:tcW w:w="3793" w:type="dxa"/>
                  <w:tcBorders>
                    <w:left w:val="single" w:sz="4" w:space="0" w:color="FFFFFF"/>
                    <w:bottom w:val="single" w:sz="4" w:space="0" w:color="FFFFFF"/>
                    <w:right w:val="single" w:sz="4" w:space="0" w:color="FFFFFF"/>
                  </w:tcBorders>
                  <w:shd w:val="clear" w:color="auto" w:fill="DBE5F1"/>
                </w:tcPr>
                <w:p w14:paraId="391644D6"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Opis ryzyka, np.: ”poziom ruchu poniżej prognozy”</w:t>
                  </w:r>
                </w:p>
              </w:tc>
            </w:tr>
            <w:tr w:rsidR="00600DEE" w14:paraId="19B5EAD3" w14:textId="77777777" w:rsidTr="005C3677">
              <w:trPr>
                <w:trHeight w:val="986"/>
              </w:trPr>
              <w:tc>
                <w:tcPr>
                  <w:tcW w:w="1752" w:type="dxa"/>
                  <w:tcBorders>
                    <w:top w:val="single" w:sz="4" w:space="0" w:color="FFFFFF"/>
                    <w:left w:val="single" w:sz="4" w:space="0" w:color="FFFFFF"/>
                    <w:bottom w:val="single" w:sz="4" w:space="0" w:color="FFFFFF"/>
                  </w:tcBorders>
                  <w:shd w:val="clear" w:color="auto" w:fill="DBE5F1"/>
                </w:tcPr>
                <w:p w14:paraId="21066B55"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Kategoria ryzyka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0E50690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3DDB1B5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Popyt, Projektowanie, Administracyjne, Nabycie gruntów, Zamówienia, Budowa, Operacyjne, Regulacyjne, Finansowe, Zarządcze, Polityczne, Inne</w:t>
                  </w:r>
                </w:p>
              </w:tc>
            </w:tr>
            <w:tr w:rsidR="00600DEE" w14:paraId="793EECD9" w14:textId="77777777" w:rsidTr="005C3677">
              <w:trPr>
                <w:trHeight w:val="547"/>
              </w:trPr>
              <w:tc>
                <w:tcPr>
                  <w:tcW w:w="1752" w:type="dxa"/>
                  <w:tcBorders>
                    <w:top w:val="single" w:sz="4" w:space="0" w:color="FFFFFF"/>
                    <w:left w:val="single" w:sz="4" w:space="0" w:color="FFFFFF"/>
                  </w:tcBorders>
                  <w:shd w:val="clear" w:color="auto" w:fill="DBE5F1"/>
                </w:tcPr>
                <w:p w14:paraId="72FE55EC"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Przyczyna</w:t>
                  </w:r>
                </w:p>
              </w:tc>
              <w:tc>
                <w:tcPr>
                  <w:tcW w:w="1477" w:type="dxa"/>
                  <w:tcBorders>
                    <w:top w:val="single" w:sz="4" w:space="0" w:color="FFFFFF"/>
                    <w:left w:val="single" w:sz="4" w:space="0" w:color="FFFFFF"/>
                    <w:right w:val="single" w:sz="4" w:space="0" w:color="FFFFFF"/>
                  </w:tcBorders>
                  <w:shd w:val="clear" w:color="auto" w:fill="DBE5F1"/>
                </w:tcPr>
                <w:p w14:paraId="2233448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&lt;tekst&gt;</w:t>
                  </w:r>
                </w:p>
              </w:tc>
              <w:tc>
                <w:tcPr>
                  <w:tcW w:w="3793" w:type="dxa"/>
                  <w:tcBorders>
                    <w:top w:val="single" w:sz="4" w:space="0" w:color="FFFFFF"/>
                    <w:left w:val="single" w:sz="4" w:space="0" w:color="FFFFFF"/>
                    <w:right w:val="single" w:sz="4" w:space="0" w:color="FFFFFF"/>
                  </w:tcBorders>
                  <w:shd w:val="clear" w:color="auto" w:fill="DBE5F1"/>
                </w:tcPr>
                <w:p w14:paraId="23D9E55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Opis pierwotnych czynników mających wpływ dla wystąpienie i zmaterializowanie się ryzyka</w:t>
                  </w:r>
                </w:p>
              </w:tc>
            </w:tr>
            <w:tr w:rsidR="00600DEE" w14:paraId="26D148EB" w14:textId="77777777" w:rsidTr="005C3677">
              <w:trPr>
                <w:trHeight w:val="266"/>
              </w:trPr>
              <w:tc>
                <w:tcPr>
                  <w:tcW w:w="1752" w:type="dxa"/>
                  <w:tcBorders>
                    <w:left w:val="single" w:sz="4" w:space="0" w:color="FFFFFF"/>
                  </w:tcBorders>
                  <w:shd w:val="clear" w:color="auto" w:fill="A6A6A6"/>
                  <w:vAlign w:val="center"/>
                </w:tcPr>
                <w:p w14:paraId="7E114946"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Pole</w:t>
                  </w:r>
                </w:p>
              </w:tc>
              <w:tc>
                <w:tcPr>
                  <w:tcW w:w="1477" w:type="dxa"/>
                  <w:tcBorders>
                    <w:left w:val="single" w:sz="4" w:space="0" w:color="FFFFFF"/>
                    <w:right w:val="single" w:sz="4" w:space="0" w:color="FFFFFF"/>
                  </w:tcBorders>
                  <w:shd w:val="clear" w:color="auto" w:fill="A6A6A6"/>
                  <w:vAlign w:val="center"/>
                </w:tcPr>
                <w:p w14:paraId="7834F9CA"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 danych</w:t>
                  </w:r>
                </w:p>
              </w:tc>
              <w:tc>
                <w:tcPr>
                  <w:tcW w:w="3793" w:type="dxa"/>
                  <w:tcBorders>
                    <w:left w:val="single" w:sz="4" w:space="0" w:color="FFFFFF"/>
                    <w:right w:val="single" w:sz="4" w:space="0" w:color="FFFFFF"/>
                  </w:tcBorders>
                  <w:shd w:val="clear" w:color="auto" w:fill="A6A6A6"/>
                  <w:vAlign w:val="center"/>
                </w:tcPr>
                <w:p w14:paraId="235FA1DC"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Zakres wartości danych</w:t>
                  </w:r>
                </w:p>
              </w:tc>
            </w:tr>
            <w:tr w:rsidR="00600DEE" w14:paraId="04C4721F" w14:textId="77777777" w:rsidTr="005C3677">
              <w:trPr>
                <w:trHeight w:val="656"/>
              </w:trPr>
              <w:tc>
                <w:tcPr>
                  <w:tcW w:w="1752" w:type="dxa"/>
                  <w:tcBorders>
                    <w:left w:val="single" w:sz="4" w:space="0" w:color="FFFFFF"/>
                    <w:bottom w:val="single" w:sz="4" w:space="0" w:color="FFFFFF"/>
                  </w:tcBorders>
                  <w:shd w:val="clear" w:color="auto" w:fill="DBE5F1"/>
                </w:tcPr>
                <w:p w14:paraId="45E72A99"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Skutek</w:t>
                  </w:r>
                </w:p>
              </w:tc>
              <w:tc>
                <w:tcPr>
                  <w:tcW w:w="1477" w:type="dxa"/>
                  <w:tcBorders>
                    <w:left w:val="single" w:sz="4" w:space="0" w:color="FFFFFF"/>
                    <w:bottom w:val="single" w:sz="4" w:space="0" w:color="FFFFFF"/>
                    <w:right w:val="single" w:sz="4" w:space="0" w:color="FFFFFF"/>
                  </w:tcBorders>
                  <w:shd w:val="clear" w:color="auto" w:fill="DBE5F1"/>
                </w:tcPr>
                <w:p w14:paraId="505A178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więcej, niż jednej opcji&gt;</w:t>
                  </w:r>
                </w:p>
              </w:tc>
              <w:tc>
                <w:tcPr>
                  <w:tcW w:w="3793" w:type="dxa"/>
                  <w:tcBorders>
                    <w:left w:val="single" w:sz="4" w:space="0" w:color="FFFFFF"/>
                    <w:bottom w:val="single" w:sz="4" w:space="0" w:color="FFFFFF"/>
                    <w:right w:val="single" w:sz="4" w:space="0" w:color="FFFFFF"/>
                  </w:tcBorders>
                  <w:shd w:val="clear" w:color="auto" w:fill="DBE5F1"/>
                </w:tcPr>
                <w:p w14:paraId="2B44AD9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Wzrost kosztów/ Redukcja korzyści/ Opóźnienie w realizacji projektu/</w:t>
                  </w:r>
                  <w:r>
                    <w:rPr>
                      <w:rFonts w:ascii="Calibri" w:eastAsia="Calibri" w:hAnsi="Calibri" w:cs="Calibri"/>
                      <w:color w:val="4F81BD"/>
                    </w:rPr>
                    <w:t xml:space="preserve"> </w:t>
                  </w:r>
                  <w:r>
                    <w:rPr>
                      <w:rFonts w:ascii="Calibri" w:eastAsia="Calibri" w:hAnsi="Calibri" w:cs="Calibri"/>
                      <w:color w:val="4F81BD"/>
                      <w:sz w:val="18"/>
                      <w:szCs w:val="18"/>
                    </w:rPr>
                    <w:t>Finansowanie i trwałość finansową projektu</w:t>
                  </w:r>
                </w:p>
              </w:tc>
            </w:tr>
            <w:tr w:rsidR="00600DEE" w14:paraId="04A1B0B4" w14:textId="77777777" w:rsidTr="005C3677">
              <w:trPr>
                <w:trHeight w:val="766"/>
              </w:trPr>
              <w:tc>
                <w:tcPr>
                  <w:tcW w:w="1752" w:type="dxa"/>
                  <w:tcBorders>
                    <w:top w:val="single" w:sz="4" w:space="0" w:color="FFFFFF"/>
                    <w:left w:val="single" w:sz="4" w:space="0" w:color="FFFFFF"/>
                    <w:bottom w:val="single" w:sz="4" w:space="0" w:color="FFFFFF"/>
                  </w:tcBorders>
                  <w:shd w:val="clear" w:color="auto" w:fill="DBE5F1"/>
                </w:tcPr>
                <w:p w14:paraId="7F5AB0D3"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Podmiot zarządzający ryzykiem</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553E9D3D"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5E23207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Beneficjent/ IZ/ Ministerstwo właściwe ds. transportu drogowego/ Wykonawca robót/ inny podmiot</w:t>
                  </w:r>
                </w:p>
              </w:tc>
            </w:tr>
            <w:tr w:rsidR="00600DEE" w14:paraId="12CA6A44" w14:textId="77777777" w:rsidTr="005C3677">
              <w:trPr>
                <w:trHeight w:val="766"/>
              </w:trPr>
              <w:tc>
                <w:tcPr>
                  <w:tcW w:w="1752" w:type="dxa"/>
                  <w:tcBorders>
                    <w:top w:val="single" w:sz="4" w:space="0" w:color="FFFFFF"/>
                    <w:left w:val="single" w:sz="4" w:space="0" w:color="FFFFFF"/>
                    <w:bottom w:val="single" w:sz="4" w:space="0" w:color="FFFFFF"/>
                  </w:tcBorders>
                  <w:shd w:val="clear" w:color="auto" w:fill="DBE5F1"/>
                </w:tcPr>
                <w:p w14:paraId="4A04AEB3"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Faza projektu, którego dotyczy ryzyko</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30AEE38B"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&lt;3 * tak/nie&gt;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405C0F2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Faza przygotowawcza (tak/nie) </w:t>
                  </w:r>
                </w:p>
                <w:p w14:paraId="26BE4C3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Faza wdrożenia (tak/nie) </w:t>
                  </w:r>
                </w:p>
                <w:p w14:paraId="6D7DEBC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Faza operacyjna (tak/nie)</w:t>
                  </w:r>
                </w:p>
              </w:tc>
            </w:tr>
            <w:tr w:rsidR="00600DEE" w14:paraId="37EA95F7" w14:textId="77777777" w:rsidTr="005C3677">
              <w:trPr>
                <w:trHeight w:val="547"/>
              </w:trPr>
              <w:tc>
                <w:tcPr>
                  <w:tcW w:w="1752" w:type="dxa"/>
                  <w:tcBorders>
                    <w:top w:val="single" w:sz="4" w:space="0" w:color="FFFFFF"/>
                    <w:left w:val="single" w:sz="4" w:space="0" w:color="FFFFFF"/>
                    <w:bottom w:val="single" w:sz="4" w:space="0" w:color="FFFFFF"/>
                  </w:tcBorders>
                  <w:shd w:val="clear" w:color="auto" w:fill="DBE5F1"/>
                </w:tcPr>
                <w:p w14:paraId="7A5B5EAF"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Prawdopodobieństwo</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1E4C5151"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&lt;liczba od A do E&gt;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70D8601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Odpowiednio od A do E</w:t>
                  </w:r>
                  <w:r>
                    <w:rPr>
                      <w:rFonts w:ascii="Calibri" w:eastAsia="Calibri" w:hAnsi="Calibri" w:cs="Calibri"/>
                      <w:color w:val="4F81BD"/>
                      <w:sz w:val="18"/>
                      <w:szCs w:val="18"/>
                    </w:rPr>
                    <w:br/>
                    <w:t>(Por. wcześniejsza tabela z definicją skali)</w:t>
                  </w:r>
                </w:p>
              </w:tc>
            </w:tr>
            <w:tr w:rsidR="00600DEE" w14:paraId="523D5B16" w14:textId="77777777" w:rsidTr="005C3677">
              <w:trPr>
                <w:trHeight w:val="492"/>
              </w:trPr>
              <w:tc>
                <w:tcPr>
                  <w:tcW w:w="1752" w:type="dxa"/>
                  <w:tcBorders>
                    <w:top w:val="single" w:sz="4" w:space="0" w:color="FFFFFF"/>
                    <w:left w:val="single" w:sz="4" w:space="0" w:color="FFFFFF"/>
                    <w:bottom w:val="single" w:sz="4" w:space="0" w:color="FFFFFF"/>
                  </w:tcBorders>
                  <w:shd w:val="clear" w:color="auto" w:fill="DBE5F1"/>
                </w:tcPr>
                <w:p w14:paraId="3D87EF49"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Siła oddziaływania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22F3931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&lt;liczba od I do V&gt;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755ED5C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(Por. wcześniejsza tabela z definicją skali)</w:t>
                  </w:r>
                </w:p>
              </w:tc>
            </w:tr>
            <w:tr w:rsidR="00600DEE" w14:paraId="2417EF7D" w14:textId="77777777" w:rsidTr="005C3677">
              <w:trPr>
                <w:trHeight w:val="656"/>
              </w:trPr>
              <w:tc>
                <w:tcPr>
                  <w:tcW w:w="1752" w:type="dxa"/>
                  <w:tcBorders>
                    <w:top w:val="single" w:sz="4" w:space="0" w:color="FFFFFF"/>
                    <w:left w:val="single" w:sz="4" w:space="0" w:color="FFFFFF"/>
                    <w:bottom w:val="single" w:sz="4" w:space="0" w:color="FFFFFF"/>
                  </w:tcBorders>
                  <w:shd w:val="clear" w:color="auto" w:fill="DBE5F1"/>
                </w:tcPr>
                <w:p w14:paraId="16DC429F"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Poziom ryzyka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1AF4894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324264F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Kombinacja prawdopodobieństwa i siły oddziaływania </w:t>
                  </w:r>
                </w:p>
                <w:p w14:paraId="3829511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Niski/Średni/Wysoki/Bardzo wysoki</w:t>
                  </w:r>
                </w:p>
              </w:tc>
            </w:tr>
            <w:tr w:rsidR="00600DEE" w14:paraId="46EDE12F" w14:textId="77777777" w:rsidTr="005C3677">
              <w:trPr>
                <w:trHeight w:val="656"/>
              </w:trPr>
              <w:tc>
                <w:tcPr>
                  <w:tcW w:w="1752" w:type="dxa"/>
                  <w:tcBorders>
                    <w:top w:val="single" w:sz="4" w:space="0" w:color="FFFFFF"/>
                    <w:left w:val="single" w:sz="4" w:space="0" w:color="FFFFFF"/>
                    <w:bottom w:val="single" w:sz="4" w:space="0" w:color="FFFFFF"/>
                  </w:tcBorders>
                  <w:shd w:val="clear" w:color="auto" w:fill="DBE5F1"/>
                </w:tcPr>
                <w:p w14:paraId="454B60FB"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Strategia zarządzania ryzykiem</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77D45D7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291287BB"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Unikanie/przeniesienie/przeciwdziałanie/tolerowanie</w:t>
                  </w:r>
                </w:p>
              </w:tc>
            </w:tr>
            <w:tr w:rsidR="00600DEE" w14:paraId="3D5AF51E" w14:textId="77777777" w:rsidTr="005C3677">
              <w:trPr>
                <w:trHeight w:val="547"/>
              </w:trPr>
              <w:tc>
                <w:tcPr>
                  <w:tcW w:w="1752" w:type="dxa"/>
                  <w:tcBorders>
                    <w:top w:val="single" w:sz="4" w:space="0" w:color="FFFFFF"/>
                    <w:left w:val="single" w:sz="4" w:space="0" w:color="FFFFFF"/>
                    <w:bottom w:val="single" w:sz="4" w:space="0" w:color="FFFFFF"/>
                  </w:tcBorders>
                  <w:shd w:val="clear" w:color="auto" w:fill="DBE5F1"/>
                </w:tcPr>
                <w:p w14:paraId="2EE49028"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Środki ograniczające wpływ ryzyka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117B1E5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&lt;tekst&gt;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3B47678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Opis słowny</w:t>
                  </w:r>
                </w:p>
              </w:tc>
            </w:tr>
            <w:tr w:rsidR="00600DEE" w14:paraId="322594D4" w14:textId="77777777" w:rsidTr="005C3677">
              <w:trPr>
                <w:trHeight w:val="875"/>
              </w:trPr>
              <w:tc>
                <w:tcPr>
                  <w:tcW w:w="1752" w:type="dxa"/>
                  <w:tcBorders>
                    <w:top w:val="single" w:sz="4" w:space="0" w:color="FFFFFF"/>
                    <w:left w:val="single" w:sz="4" w:space="0" w:color="FFFFFF"/>
                  </w:tcBorders>
                  <w:shd w:val="clear" w:color="auto" w:fill="DBE5F1"/>
                </w:tcPr>
                <w:p w14:paraId="657A4248"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Podmiot zarządzający ograniczaniem wpływu ryzyka</w:t>
                  </w:r>
                </w:p>
              </w:tc>
              <w:tc>
                <w:tcPr>
                  <w:tcW w:w="1477" w:type="dxa"/>
                  <w:tcBorders>
                    <w:top w:val="single" w:sz="4" w:space="0" w:color="FFFFFF"/>
                    <w:left w:val="single" w:sz="4" w:space="0" w:color="FFFFFF"/>
                    <w:right w:val="single" w:sz="4" w:space="0" w:color="FFFFFF"/>
                  </w:tcBorders>
                  <w:shd w:val="clear" w:color="auto" w:fill="DBE5F1"/>
                </w:tcPr>
                <w:p w14:paraId="1E4DC1D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right w:val="single" w:sz="4" w:space="0" w:color="FFFFFF"/>
                  </w:tcBorders>
                  <w:shd w:val="clear" w:color="auto" w:fill="DBE5F1"/>
                </w:tcPr>
                <w:p w14:paraId="2811137E" w14:textId="65F4D74C"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Beneficjent/ IZ/ Ministerstwo właściwe ds. transport</w:t>
                  </w:r>
                  <w:r w:rsidR="00B67038">
                    <w:rPr>
                      <w:rFonts w:ascii="Calibri" w:eastAsia="Calibri" w:hAnsi="Calibri" w:cs="Calibri"/>
                      <w:color w:val="4F81BD"/>
                      <w:sz w:val="18"/>
                      <w:szCs w:val="18"/>
                    </w:rPr>
                    <w:t>u</w:t>
                  </w:r>
                  <w:r>
                    <w:rPr>
                      <w:rFonts w:ascii="Calibri" w:eastAsia="Calibri" w:hAnsi="Calibri" w:cs="Calibri"/>
                      <w:color w:val="4F81BD"/>
                      <w:sz w:val="18"/>
                      <w:szCs w:val="18"/>
                    </w:rPr>
                    <w:t xml:space="preserve"> drogowego/ Wykonawca robót /inny podmiot</w:t>
                  </w:r>
                </w:p>
              </w:tc>
            </w:tr>
          </w:tbl>
          <w:p w14:paraId="66CB4A8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Wyniki analizy ryzyka powinny zawierać komentarz do matrycy ryzyka dotyczący oceny </w:t>
            </w:r>
            <w:proofErr w:type="spellStart"/>
            <w:r>
              <w:rPr>
                <w:rFonts w:ascii="Calibri" w:eastAsia="Calibri" w:hAnsi="Calibri" w:cs="Calibri"/>
                <w:color w:val="000000"/>
                <w:sz w:val="20"/>
                <w:szCs w:val="20"/>
              </w:rPr>
              <w:t>ryzyk</w:t>
            </w:r>
            <w:proofErr w:type="spellEnd"/>
            <w:r>
              <w:rPr>
                <w:rFonts w:ascii="Calibri" w:eastAsia="Calibri" w:hAnsi="Calibri" w:cs="Calibri"/>
                <w:color w:val="000000"/>
                <w:sz w:val="20"/>
                <w:szCs w:val="20"/>
              </w:rPr>
              <w:t>, które pozostaną po zastosowaniu działań zapobiegawczych i ograniczających ryzyko.</w:t>
            </w:r>
          </w:p>
          <w:p w14:paraId="1FF6074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powyższej tabeli wyszczególniono fazy projektu i kategorie ryzyka, ponieważ możliwa jest różna konfiguracja występowania tych czynników w różnych fazach projektu.</w:t>
            </w:r>
          </w:p>
          <w:p w14:paraId="3C816B5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Podmiot zarządzający danym ryzykiem może być inny niż podmiot odpowiedzialny za wdrażanie działań zaradczych dla tego ryzyka.</w:t>
            </w:r>
          </w:p>
        </w:tc>
        <w:tc>
          <w:tcPr>
            <w:tcW w:w="7201" w:type="dxa"/>
            <w:tcBorders>
              <w:left w:val="single" w:sz="4" w:space="0" w:color="000000"/>
            </w:tcBorders>
            <w:tcMar>
              <w:left w:w="284" w:type="dxa"/>
              <w:right w:w="284" w:type="dxa"/>
            </w:tcMar>
          </w:tcPr>
          <w:p w14:paraId="4C006FFA"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lastRenderedPageBreak/>
              <w:t>Sensitivity analysis</w:t>
            </w:r>
          </w:p>
          <w:p w14:paraId="47D4B59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described above, the sensitivity analysis should present the “critical” project variables as well as the calculation of the “switching values” in order to judge on the risk of the project and the opportunity of undertaking risk-preventing actions. Finally, the sensitivity analysis will include a scenario analysis where impacts of different variations on key variables as well as combinations of these values are considered, as described above. Once the quantitative risk analysis becomes possible, not for the time being, this chapter will also contain the probabilities of the scenarios listed, as well as the probabilities of the switching values being reached.</w:t>
            </w:r>
          </w:p>
          <w:p w14:paraId="46465D28"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Risk analysis output presentation </w:t>
            </w:r>
          </w:p>
          <w:p w14:paraId="1470AD7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output of the risk analysis will include the risk identification table complemented by the risk matrix table below (the presentation format of this data can be adapted by the author as deemed appropriate).</w:t>
            </w:r>
          </w:p>
          <w:p w14:paraId="41BA565D" w14:textId="7407D610"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mentioned above, only when the quantitative analysis will be possible, the matrix will be complemented by the probability distributions of critical variables  allowing obtaining probability functions and statistical indicators of project financial and economic performance indicators.</w:t>
            </w:r>
          </w:p>
          <w:p w14:paraId="6BAC0A16" w14:textId="420BEBF2" w:rsidR="003441F7" w:rsidRPr="0045151D" w:rsidRDefault="003441F7">
            <w:pPr>
              <w:pBdr>
                <w:top w:val="nil"/>
                <w:left w:val="nil"/>
                <w:bottom w:val="nil"/>
                <w:right w:val="nil"/>
                <w:between w:val="nil"/>
              </w:pBdr>
              <w:spacing w:before="120"/>
              <w:jc w:val="both"/>
              <w:rPr>
                <w:rFonts w:ascii="Calibri" w:eastAsia="Calibri" w:hAnsi="Calibri" w:cs="Calibri"/>
                <w:color w:val="000000"/>
                <w:sz w:val="20"/>
                <w:szCs w:val="20"/>
                <w:lang w:val="en-GB"/>
              </w:rPr>
            </w:pPr>
          </w:p>
          <w:p w14:paraId="5E6789CA" w14:textId="5371FC91" w:rsidR="003441F7" w:rsidRDefault="003441F7">
            <w:pPr>
              <w:pBdr>
                <w:top w:val="nil"/>
                <w:left w:val="nil"/>
                <w:bottom w:val="nil"/>
                <w:right w:val="nil"/>
                <w:between w:val="nil"/>
              </w:pBdr>
              <w:spacing w:before="120"/>
              <w:jc w:val="both"/>
              <w:rPr>
                <w:rFonts w:ascii="Calibri" w:eastAsia="Calibri" w:hAnsi="Calibri" w:cs="Calibri"/>
                <w:color w:val="000000"/>
                <w:sz w:val="20"/>
                <w:szCs w:val="20"/>
                <w:lang w:val="en-GB"/>
              </w:rPr>
            </w:pPr>
          </w:p>
          <w:p w14:paraId="56F32EFA" w14:textId="0F6FFC58" w:rsidR="005C3677" w:rsidRDefault="005C3677">
            <w:pPr>
              <w:pBdr>
                <w:top w:val="nil"/>
                <w:left w:val="nil"/>
                <w:bottom w:val="nil"/>
                <w:right w:val="nil"/>
                <w:between w:val="nil"/>
              </w:pBdr>
              <w:spacing w:before="120"/>
              <w:jc w:val="both"/>
              <w:rPr>
                <w:rFonts w:ascii="Calibri" w:eastAsia="Calibri" w:hAnsi="Calibri" w:cs="Calibri"/>
                <w:color w:val="000000"/>
                <w:sz w:val="20"/>
                <w:szCs w:val="20"/>
                <w:lang w:val="en-GB"/>
              </w:rPr>
            </w:pPr>
          </w:p>
          <w:p w14:paraId="56307EBB" w14:textId="0A97E464" w:rsidR="00482C1E" w:rsidRDefault="00482C1E">
            <w:pPr>
              <w:pBdr>
                <w:top w:val="nil"/>
                <w:left w:val="nil"/>
                <w:bottom w:val="nil"/>
                <w:right w:val="nil"/>
                <w:between w:val="nil"/>
              </w:pBdr>
              <w:spacing w:before="120"/>
              <w:jc w:val="both"/>
              <w:rPr>
                <w:rFonts w:ascii="Calibri" w:eastAsia="Calibri" w:hAnsi="Calibri" w:cs="Calibri"/>
                <w:color w:val="000000"/>
                <w:sz w:val="20"/>
                <w:szCs w:val="20"/>
                <w:lang w:val="en-GB"/>
              </w:rPr>
            </w:pPr>
          </w:p>
          <w:p w14:paraId="002192A5" w14:textId="77777777" w:rsidR="00482C1E" w:rsidRPr="0045151D" w:rsidRDefault="00482C1E">
            <w:pPr>
              <w:pBdr>
                <w:top w:val="nil"/>
                <w:left w:val="nil"/>
                <w:bottom w:val="nil"/>
                <w:right w:val="nil"/>
                <w:between w:val="nil"/>
              </w:pBdr>
              <w:spacing w:before="120"/>
              <w:jc w:val="both"/>
              <w:rPr>
                <w:rFonts w:ascii="Calibri" w:eastAsia="Calibri" w:hAnsi="Calibri" w:cs="Calibri"/>
                <w:color w:val="000000"/>
                <w:sz w:val="20"/>
                <w:szCs w:val="20"/>
                <w:lang w:val="en-GB"/>
              </w:rPr>
            </w:pPr>
          </w:p>
          <w:p w14:paraId="42BE0B1A" w14:textId="183BC539" w:rsidR="00600DEE" w:rsidRPr="00EB716F" w:rsidRDefault="00EB716F">
            <w:pPr>
              <w:pBdr>
                <w:top w:val="nil"/>
                <w:left w:val="nil"/>
                <w:bottom w:val="nil"/>
                <w:right w:val="nil"/>
                <w:between w:val="nil"/>
              </w:pBdr>
              <w:spacing w:after="120"/>
              <w:jc w:val="both"/>
              <w:rPr>
                <w:rFonts w:ascii="Calibri" w:eastAsia="Calibri" w:hAnsi="Calibri" w:cs="Calibri"/>
                <w:b/>
                <w:color w:val="4F81BD"/>
                <w:sz w:val="20"/>
                <w:szCs w:val="20"/>
                <w:lang w:val="en-GB"/>
              </w:rPr>
            </w:pPr>
            <w:r w:rsidRPr="00EB716F">
              <w:rPr>
                <w:rFonts w:ascii="Calibri" w:eastAsia="Calibri" w:hAnsi="Calibri" w:cs="Calibri"/>
                <w:b/>
                <w:color w:val="4F81BD"/>
                <w:sz w:val="20"/>
                <w:szCs w:val="20"/>
                <w:lang w:val="en-GB"/>
              </w:rPr>
              <w:lastRenderedPageBreak/>
              <w:t>Table 33</w:t>
            </w:r>
            <w:r w:rsidR="00641FB5" w:rsidRPr="00EB716F">
              <w:rPr>
                <w:rFonts w:ascii="Calibri" w:eastAsia="Calibri" w:hAnsi="Calibri" w:cs="Calibri"/>
                <w:b/>
                <w:color w:val="4F81BD"/>
                <w:sz w:val="20"/>
                <w:szCs w:val="20"/>
                <w:lang w:val="en-GB"/>
              </w:rPr>
              <w:t>. Risk matrix – extended analysis</w:t>
            </w:r>
          </w:p>
          <w:tbl>
            <w:tblPr>
              <w:tblStyle w:val="affffffff4"/>
              <w:tblW w:w="6939" w:type="dxa"/>
              <w:tblBorders>
                <w:top w:val="single" w:sz="4" w:space="0" w:color="FFFFFF"/>
                <w:left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403"/>
              <w:gridCol w:w="1688"/>
              <w:gridCol w:w="3848"/>
            </w:tblGrid>
            <w:tr w:rsidR="00600DEE" w:rsidRPr="00482C1E" w14:paraId="64557BD1" w14:textId="77777777">
              <w:trPr>
                <w:trHeight w:val="241"/>
              </w:trPr>
              <w:tc>
                <w:tcPr>
                  <w:tcW w:w="1403" w:type="dxa"/>
                  <w:shd w:val="clear" w:color="auto" w:fill="A6A6A6"/>
                  <w:vAlign w:val="center"/>
                </w:tcPr>
                <w:p w14:paraId="0FBCB8AB" w14:textId="77777777" w:rsidR="00600DEE" w:rsidRPr="00EB716F" w:rsidRDefault="00641FB5">
                  <w:pPr>
                    <w:pBdr>
                      <w:top w:val="nil"/>
                      <w:left w:val="nil"/>
                      <w:bottom w:val="nil"/>
                      <w:right w:val="nil"/>
                      <w:between w:val="nil"/>
                    </w:pBdr>
                    <w:spacing w:line="264" w:lineRule="auto"/>
                    <w:jc w:val="center"/>
                    <w:rPr>
                      <w:rFonts w:ascii="Calibri" w:eastAsia="Calibri" w:hAnsi="Calibri" w:cs="Calibri"/>
                      <w:b/>
                      <w:color w:val="FFFFFF"/>
                      <w:sz w:val="20"/>
                      <w:szCs w:val="20"/>
                      <w:lang w:val="en-GB"/>
                    </w:rPr>
                  </w:pPr>
                  <w:r w:rsidRPr="00EB716F">
                    <w:rPr>
                      <w:rFonts w:ascii="Calibri" w:eastAsia="Calibri" w:hAnsi="Calibri" w:cs="Calibri"/>
                      <w:b/>
                      <w:color w:val="FFFFFF"/>
                      <w:sz w:val="20"/>
                      <w:szCs w:val="20"/>
                      <w:lang w:val="en-GB"/>
                    </w:rPr>
                    <w:t>Field</w:t>
                  </w:r>
                </w:p>
              </w:tc>
              <w:tc>
                <w:tcPr>
                  <w:tcW w:w="1688" w:type="dxa"/>
                  <w:shd w:val="clear" w:color="auto" w:fill="A6A6A6"/>
                  <w:vAlign w:val="center"/>
                </w:tcPr>
                <w:p w14:paraId="560531E4" w14:textId="77777777" w:rsidR="00600DEE" w:rsidRPr="00EB716F" w:rsidRDefault="00641FB5">
                  <w:pPr>
                    <w:pBdr>
                      <w:top w:val="nil"/>
                      <w:left w:val="nil"/>
                      <w:bottom w:val="nil"/>
                      <w:right w:val="nil"/>
                      <w:between w:val="nil"/>
                    </w:pBdr>
                    <w:spacing w:line="264" w:lineRule="auto"/>
                    <w:jc w:val="center"/>
                    <w:rPr>
                      <w:rFonts w:ascii="Calibri" w:eastAsia="Calibri" w:hAnsi="Calibri" w:cs="Calibri"/>
                      <w:b/>
                      <w:color w:val="FFFFFF"/>
                      <w:sz w:val="20"/>
                      <w:szCs w:val="20"/>
                      <w:lang w:val="en-GB"/>
                    </w:rPr>
                  </w:pPr>
                  <w:r w:rsidRPr="00EB716F">
                    <w:rPr>
                      <w:rFonts w:ascii="Calibri" w:eastAsia="Calibri" w:hAnsi="Calibri" w:cs="Calibri"/>
                      <w:b/>
                      <w:color w:val="FFFFFF"/>
                      <w:sz w:val="20"/>
                      <w:szCs w:val="20"/>
                      <w:lang w:val="en-GB"/>
                    </w:rPr>
                    <w:t>Data format</w:t>
                  </w:r>
                </w:p>
              </w:tc>
              <w:tc>
                <w:tcPr>
                  <w:tcW w:w="3848" w:type="dxa"/>
                  <w:shd w:val="clear" w:color="auto" w:fill="A6A6A6"/>
                  <w:vAlign w:val="center"/>
                </w:tcPr>
                <w:p w14:paraId="2057D365" w14:textId="77777777" w:rsidR="00600DEE" w:rsidRPr="00EB716F" w:rsidRDefault="00641FB5">
                  <w:pPr>
                    <w:pBdr>
                      <w:top w:val="nil"/>
                      <w:left w:val="nil"/>
                      <w:bottom w:val="nil"/>
                      <w:right w:val="nil"/>
                      <w:between w:val="nil"/>
                    </w:pBdr>
                    <w:spacing w:line="264" w:lineRule="auto"/>
                    <w:jc w:val="center"/>
                    <w:rPr>
                      <w:rFonts w:ascii="Calibri" w:eastAsia="Calibri" w:hAnsi="Calibri" w:cs="Calibri"/>
                      <w:b/>
                      <w:color w:val="FFFFFF"/>
                      <w:sz w:val="20"/>
                      <w:szCs w:val="20"/>
                      <w:lang w:val="en-GB"/>
                    </w:rPr>
                  </w:pPr>
                  <w:r w:rsidRPr="00EB716F">
                    <w:rPr>
                      <w:rFonts w:ascii="Calibri" w:eastAsia="Calibri" w:hAnsi="Calibri" w:cs="Calibri"/>
                      <w:b/>
                      <w:color w:val="FFFFFF"/>
                      <w:sz w:val="20"/>
                      <w:szCs w:val="20"/>
                      <w:lang w:val="en-GB"/>
                    </w:rPr>
                    <w:t>Data values range</w:t>
                  </w:r>
                </w:p>
              </w:tc>
            </w:tr>
            <w:tr w:rsidR="00600DEE" w:rsidRPr="007463B9" w14:paraId="3B0CA729" w14:textId="77777777" w:rsidTr="0065009A">
              <w:trPr>
                <w:trHeight w:val="567"/>
              </w:trPr>
              <w:tc>
                <w:tcPr>
                  <w:tcW w:w="1403" w:type="dxa"/>
                  <w:shd w:val="clear" w:color="auto" w:fill="DBE5F1"/>
                </w:tcPr>
                <w:p w14:paraId="3E7BEE9F" w14:textId="77777777" w:rsidR="00600DEE" w:rsidRPr="00EB716F" w:rsidRDefault="00641FB5">
                  <w:pPr>
                    <w:pBdr>
                      <w:top w:val="nil"/>
                      <w:left w:val="nil"/>
                      <w:bottom w:val="nil"/>
                      <w:right w:val="nil"/>
                      <w:between w:val="nil"/>
                    </w:pBdr>
                    <w:rPr>
                      <w:rFonts w:ascii="Calibri" w:eastAsia="Calibri" w:hAnsi="Calibri" w:cs="Calibri"/>
                      <w:b/>
                      <w:color w:val="4F81BD"/>
                      <w:sz w:val="18"/>
                      <w:szCs w:val="18"/>
                      <w:lang w:val="en-GB"/>
                    </w:rPr>
                  </w:pPr>
                  <w:r w:rsidRPr="00EB716F">
                    <w:rPr>
                      <w:rFonts w:ascii="Calibri" w:eastAsia="Calibri" w:hAnsi="Calibri" w:cs="Calibri"/>
                      <w:b/>
                      <w:color w:val="4F81BD"/>
                      <w:sz w:val="18"/>
                      <w:szCs w:val="18"/>
                      <w:lang w:val="en-GB"/>
                    </w:rPr>
                    <w:t>Risk name</w:t>
                  </w:r>
                </w:p>
              </w:tc>
              <w:tc>
                <w:tcPr>
                  <w:tcW w:w="1688" w:type="dxa"/>
                  <w:shd w:val="clear" w:color="auto" w:fill="DBE5F1"/>
                </w:tcPr>
                <w:p w14:paraId="337E209B" w14:textId="77777777" w:rsidR="00600DEE" w:rsidRPr="00EB716F" w:rsidRDefault="00641FB5">
                  <w:pPr>
                    <w:pBdr>
                      <w:top w:val="nil"/>
                      <w:left w:val="nil"/>
                      <w:bottom w:val="nil"/>
                      <w:right w:val="nil"/>
                      <w:between w:val="nil"/>
                    </w:pBdr>
                    <w:rPr>
                      <w:rFonts w:ascii="Calibri" w:eastAsia="Calibri" w:hAnsi="Calibri" w:cs="Calibri"/>
                      <w:color w:val="4F81BD"/>
                      <w:sz w:val="18"/>
                      <w:szCs w:val="18"/>
                      <w:lang w:val="en-GB"/>
                    </w:rPr>
                  </w:pPr>
                  <w:r w:rsidRPr="00EB716F">
                    <w:rPr>
                      <w:rFonts w:ascii="Calibri" w:eastAsia="Calibri" w:hAnsi="Calibri" w:cs="Calibri"/>
                      <w:color w:val="4F81BD"/>
                      <w:sz w:val="18"/>
                      <w:szCs w:val="18"/>
                      <w:lang w:val="en-GB"/>
                    </w:rPr>
                    <w:t>&lt;text&gt;</w:t>
                  </w:r>
                </w:p>
              </w:tc>
              <w:tc>
                <w:tcPr>
                  <w:tcW w:w="3848" w:type="dxa"/>
                  <w:shd w:val="clear" w:color="auto" w:fill="DBE5F1"/>
                </w:tcPr>
                <w:p w14:paraId="08B5A1CB"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Risk description, e.g. “traffic lower than forecast”</w:t>
                  </w:r>
                </w:p>
              </w:tc>
            </w:tr>
            <w:tr w:rsidR="00600DEE" w14:paraId="2BD87BFB" w14:textId="77777777" w:rsidTr="0065009A">
              <w:trPr>
                <w:trHeight w:val="1021"/>
              </w:trPr>
              <w:tc>
                <w:tcPr>
                  <w:tcW w:w="1403" w:type="dxa"/>
                  <w:shd w:val="clear" w:color="auto" w:fill="DBE5F1"/>
                </w:tcPr>
                <w:p w14:paraId="6F75B57F"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Risk</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category</w:t>
                  </w:r>
                  <w:proofErr w:type="spellEnd"/>
                </w:p>
              </w:tc>
              <w:tc>
                <w:tcPr>
                  <w:tcW w:w="1688" w:type="dxa"/>
                  <w:shd w:val="clear" w:color="auto" w:fill="DBE5F1"/>
                </w:tcPr>
                <w:p w14:paraId="11C0AEAB"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choose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between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options</w:t>
                  </w:r>
                  <w:proofErr w:type="spellEnd"/>
                  <w:r>
                    <w:rPr>
                      <w:rFonts w:ascii="Calibri" w:eastAsia="Calibri" w:hAnsi="Calibri" w:cs="Calibri"/>
                      <w:color w:val="4F81BD"/>
                      <w:sz w:val="18"/>
                      <w:szCs w:val="18"/>
                    </w:rPr>
                    <w:t>&gt;</w:t>
                  </w:r>
                </w:p>
              </w:tc>
              <w:tc>
                <w:tcPr>
                  <w:tcW w:w="3848" w:type="dxa"/>
                  <w:shd w:val="clear" w:color="auto" w:fill="DBE5F1"/>
                </w:tcPr>
                <w:p w14:paraId="27F98E65" w14:textId="77777777" w:rsidR="00600DEE" w:rsidRDefault="00641FB5">
                  <w:pPr>
                    <w:pBdr>
                      <w:top w:val="nil"/>
                      <w:left w:val="nil"/>
                      <w:bottom w:val="nil"/>
                      <w:right w:val="nil"/>
                      <w:between w:val="nil"/>
                    </w:pBdr>
                    <w:rPr>
                      <w:rFonts w:ascii="Calibri" w:eastAsia="Calibri" w:hAnsi="Calibri" w:cs="Calibri"/>
                      <w:color w:val="4F81BD"/>
                      <w:sz w:val="18"/>
                      <w:szCs w:val="18"/>
                    </w:rPr>
                  </w:pPr>
                  <w:proofErr w:type="spellStart"/>
                  <w:r>
                    <w:rPr>
                      <w:rFonts w:ascii="Calibri" w:eastAsia="Calibri" w:hAnsi="Calibri" w:cs="Calibri"/>
                      <w:color w:val="4F81BD"/>
                      <w:sz w:val="18"/>
                      <w:szCs w:val="18"/>
                    </w:rPr>
                    <w:t>Demand</w:t>
                  </w:r>
                  <w:proofErr w:type="spellEnd"/>
                  <w:r>
                    <w:rPr>
                      <w:rFonts w:ascii="Calibri" w:eastAsia="Calibri" w:hAnsi="Calibri" w:cs="Calibri"/>
                      <w:color w:val="4F81BD"/>
                      <w:sz w:val="18"/>
                      <w:szCs w:val="18"/>
                    </w:rPr>
                    <w:t xml:space="preserve">/ Design/ </w:t>
                  </w:r>
                  <w:proofErr w:type="spellStart"/>
                  <w:r>
                    <w:rPr>
                      <w:rFonts w:ascii="Calibri" w:eastAsia="Calibri" w:hAnsi="Calibri" w:cs="Calibri"/>
                      <w:color w:val="4F81BD"/>
                      <w:sz w:val="18"/>
                      <w:szCs w:val="18"/>
                    </w:rPr>
                    <w:t>Administrative</w:t>
                  </w:r>
                  <w:proofErr w:type="spellEnd"/>
                  <w:r>
                    <w:rPr>
                      <w:rFonts w:ascii="Calibri" w:eastAsia="Calibri" w:hAnsi="Calibri" w:cs="Calibri"/>
                      <w:color w:val="4F81BD"/>
                      <w:sz w:val="18"/>
                      <w:szCs w:val="18"/>
                    </w:rPr>
                    <w:t xml:space="preserve">/ Land </w:t>
                  </w:r>
                  <w:proofErr w:type="spellStart"/>
                  <w:r>
                    <w:rPr>
                      <w:rFonts w:ascii="Calibri" w:eastAsia="Calibri" w:hAnsi="Calibri" w:cs="Calibri"/>
                      <w:color w:val="4F81BD"/>
                      <w:sz w:val="18"/>
                      <w:szCs w:val="18"/>
                    </w:rPr>
                    <w:t>acquisition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Procurement</w:t>
                  </w:r>
                  <w:proofErr w:type="spellEnd"/>
                  <w:r>
                    <w:rPr>
                      <w:rFonts w:ascii="Calibri" w:eastAsia="Calibri" w:hAnsi="Calibri" w:cs="Calibri"/>
                      <w:color w:val="4F81BD"/>
                      <w:sz w:val="18"/>
                      <w:szCs w:val="18"/>
                    </w:rPr>
                    <w:t xml:space="preserve">/ Construction/ </w:t>
                  </w:r>
                  <w:proofErr w:type="spellStart"/>
                  <w:r>
                    <w:rPr>
                      <w:rFonts w:ascii="Calibri" w:eastAsia="Calibri" w:hAnsi="Calibri" w:cs="Calibri"/>
                      <w:color w:val="4F81BD"/>
                      <w:sz w:val="18"/>
                      <w:szCs w:val="18"/>
                    </w:rPr>
                    <w:t>Operational</w:t>
                  </w:r>
                  <w:proofErr w:type="spellEnd"/>
                  <w:r>
                    <w:rPr>
                      <w:rFonts w:ascii="Calibri" w:eastAsia="Calibri" w:hAnsi="Calibri" w:cs="Calibri"/>
                      <w:color w:val="4F81BD"/>
                      <w:sz w:val="18"/>
                      <w:szCs w:val="18"/>
                    </w:rPr>
                    <w:t xml:space="preserve">/ Regulatory/ Financial/ Management/ </w:t>
                  </w:r>
                  <w:proofErr w:type="spellStart"/>
                  <w:r>
                    <w:rPr>
                      <w:rFonts w:ascii="Calibri" w:eastAsia="Calibri" w:hAnsi="Calibri" w:cs="Calibri"/>
                      <w:color w:val="4F81BD"/>
                      <w:sz w:val="18"/>
                      <w:szCs w:val="18"/>
                    </w:rPr>
                    <w:t>Political</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Other</w:t>
                  </w:r>
                  <w:proofErr w:type="spellEnd"/>
                </w:p>
              </w:tc>
            </w:tr>
            <w:tr w:rsidR="00600DEE" w:rsidRPr="007463B9" w14:paraId="18FB6DBD" w14:textId="77777777" w:rsidTr="0065009A">
              <w:trPr>
                <w:trHeight w:val="567"/>
              </w:trPr>
              <w:tc>
                <w:tcPr>
                  <w:tcW w:w="1403" w:type="dxa"/>
                  <w:tcBorders>
                    <w:bottom w:val="single" w:sz="4" w:space="0" w:color="FFFFFF"/>
                  </w:tcBorders>
                  <w:shd w:val="clear" w:color="auto" w:fill="DBE5F1"/>
                </w:tcPr>
                <w:p w14:paraId="2B190402"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Cause</w:t>
                  </w:r>
                  <w:proofErr w:type="spellEnd"/>
                </w:p>
              </w:tc>
              <w:tc>
                <w:tcPr>
                  <w:tcW w:w="1688" w:type="dxa"/>
                  <w:tcBorders>
                    <w:bottom w:val="single" w:sz="4" w:space="0" w:color="FFFFFF"/>
                  </w:tcBorders>
                  <w:shd w:val="clear" w:color="auto" w:fill="DBE5F1"/>
                </w:tcPr>
                <w:p w14:paraId="79BB8090"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text</w:t>
                  </w:r>
                  <w:proofErr w:type="spellEnd"/>
                  <w:r>
                    <w:rPr>
                      <w:rFonts w:ascii="Calibri" w:eastAsia="Calibri" w:hAnsi="Calibri" w:cs="Calibri"/>
                      <w:color w:val="4F81BD"/>
                      <w:sz w:val="18"/>
                      <w:szCs w:val="18"/>
                    </w:rPr>
                    <w:t>&gt;</w:t>
                  </w:r>
                </w:p>
              </w:tc>
              <w:tc>
                <w:tcPr>
                  <w:tcW w:w="3848" w:type="dxa"/>
                  <w:tcBorders>
                    <w:bottom w:val="single" w:sz="4" w:space="0" w:color="FFFFFF"/>
                  </w:tcBorders>
                  <w:shd w:val="clear" w:color="auto" w:fill="DBE5F1"/>
                </w:tcPr>
                <w:p w14:paraId="29400B3A"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Verbal description of underlying factors that may cause the risk to materialise</w:t>
                  </w:r>
                </w:p>
              </w:tc>
            </w:tr>
            <w:tr w:rsidR="00600DEE" w14:paraId="07905DAF" w14:textId="77777777">
              <w:trPr>
                <w:trHeight w:val="197"/>
              </w:trPr>
              <w:tc>
                <w:tcPr>
                  <w:tcW w:w="1403" w:type="dxa"/>
                  <w:tcBorders>
                    <w:bottom w:val="single" w:sz="4" w:space="0" w:color="FFFFFF"/>
                  </w:tcBorders>
                  <w:shd w:val="clear" w:color="auto" w:fill="A6A6A6"/>
                  <w:vAlign w:val="center"/>
                </w:tcPr>
                <w:p w14:paraId="00ADB1F2"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Field</w:t>
                  </w:r>
                </w:p>
              </w:tc>
              <w:tc>
                <w:tcPr>
                  <w:tcW w:w="1688" w:type="dxa"/>
                  <w:tcBorders>
                    <w:bottom w:val="single" w:sz="4" w:space="0" w:color="FFFFFF"/>
                  </w:tcBorders>
                  <w:shd w:val="clear" w:color="auto" w:fill="A6A6A6"/>
                  <w:vAlign w:val="center"/>
                </w:tcPr>
                <w:p w14:paraId="229052EE"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Data format</w:t>
                  </w:r>
                </w:p>
              </w:tc>
              <w:tc>
                <w:tcPr>
                  <w:tcW w:w="3848" w:type="dxa"/>
                  <w:tcBorders>
                    <w:bottom w:val="single" w:sz="4" w:space="0" w:color="FFFFFF"/>
                  </w:tcBorders>
                  <w:shd w:val="clear" w:color="auto" w:fill="A6A6A6"/>
                  <w:vAlign w:val="center"/>
                </w:tcPr>
                <w:p w14:paraId="15CA28EA"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Data </w:t>
                  </w:r>
                  <w:proofErr w:type="spellStart"/>
                  <w:r>
                    <w:rPr>
                      <w:rFonts w:ascii="Calibri" w:eastAsia="Calibri" w:hAnsi="Calibri" w:cs="Calibri"/>
                      <w:b/>
                      <w:color w:val="FFFFFF"/>
                      <w:sz w:val="20"/>
                      <w:szCs w:val="20"/>
                    </w:rPr>
                    <w:t>values</w:t>
                  </w:r>
                  <w:proofErr w:type="spellEnd"/>
                  <w:r>
                    <w:rPr>
                      <w:rFonts w:ascii="Calibri" w:eastAsia="Calibri" w:hAnsi="Calibri" w:cs="Calibri"/>
                      <w:b/>
                      <w:color w:val="FFFFFF"/>
                      <w:sz w:val="20"/>
                      <w:szCs w:val="20"/>
                    </w:rPr>
                    <w:t xml:space="preserve"> </w:t>
                  </w:r>
                  <w:proofErr w:type="spellStart"/>
                  <w:r>
                    <w:rPr>
                      <w:rFonts w:ascii="Calibri" w:eastAsia="Calibri" w:hAnsi="Calibri" w:cs="Calibri"/>
                      <w:b/>
                      <w:color w:val="FFFFFF"/>
                      <w:sz w:val="20"/>
                      <w:szCs w:val="20"/>
                    </w:rPr>
                    <w:t>range</w:t>
                  </w:r>
                  <w:proofErr w:type="spellEnd"/>
                </w:p>
              </w:tc>
            </w:tr>
            <w:tr w:rsidR="00600DEE" w:rsidRPr="007463B9" w14:paraId="3A9B270D" w14:textId="77777777" w:rsidTr="0065009A">
              <w:trPr>
                <w:trHeight w:val="680"/>
              </w:trPr>
              <w:tc>
                <w:tcPr>
                  <w:tcW w:w="1403" w:type="dxa"/>
                  <w:tcBorders>
                    <w:top w:val="single" w:sz="4" w:space="0" w:color="FFFFFF"/>
                  </w:tcBorders>
                  <w:shd w:val="clear" w:color="auto" w:fill="DBE5F1"/>
                </w:tcPr>
                <w:p w14:paraId="4866B50A"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Consequence</w:t>
                  </w:r>
                  <w:proofErr w:type="spellEnd"/>
                </w:p>
              </w:tc>
              <w:tc>
                <w:tcPr>
                  <w:tcW w:w="1688" w:type="dxa"/>
                  <w:tcBorders>
                    <w:top w:val="single" w:sz="4" w:space="0" w:color="FFFFFF"/>
                  </w:tcBorders>
                  <w:shd w:val="clear" w:color="auto" w:fill="DBE5F1"/>
                </w:tcPr>
                <w:p w14:paraId="273C1424"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choose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between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options</w:t>
                  </w:r>
                  <w:proofErr w:type="spellEnd"/>
                  <w:r>
                    <w:rPr>
                      <w:rFonts w:ascii="Calibri" w:eastAsia="Calibri" w:hAnsi="Calibri" w:cs="Calibri"/>
                      <w:color w:val="4F81BD"/>
                      <w:sz w:val="18"/>
                      <w:szCs w:val="18"/>
                    </w:rPr>
                    <w:t>&gt;</w:t>
                  </w:r>
                </w:p>
              </w:tc>
              <w:tc>
                <w:tcPr>
                  <w:tcW w:w="3848" w:type="dxa"/>
                  <w:tcBorders>
                    <w:top w:val="single" w:sz="4" w:space="0" w:color="FFFFFF"/>
                  </w:tcBorders>
                  <w:shd w:val="clear" w:color="auto" w:fill="DBE5F1"/>
                </w:tcPr>
                <w:p w14:paraId="46DD809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Cost increase/Benefit reduction/ Delay in project implementation/ Funding and financial sustainability</w:t>
                  </w:r>
                </w:p>
              </w:tc>
            </w:tr>
            <w:tr w:rsidR="00600DEE" w:rsidRPr="007463B9" w14:paraId="06ED8257" w14:textId="77777777" w:rsidTr="0065009A">
              <w:trPr>
                <w:trHeight w:val="794"/>
              </w:trPr>
              <w:tc>
                <w:tcPr>
                  <w:tcW w:w="1403" w:type="dxa"/>
                  <w:shd w:val="clear" w:color="auto" w:fill="DBE5F1"/>
                </w:tcPr>
                <w:p w14:paraId="6D3603C6"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Risk</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owner</w:t>
                  </w:r>
                  <w:proofErr w:type="spellEnd"/>
                </w:p>
              </w:tc>
              <w:tc>
                <w:tcPr>
                  <w:tcW w:w="1688" w:type="dxa"/>
                  <w:shd w:val="clear" w:color="auto" w:fill="DBE5F1"/>
                </w:tcPr>
                <w:p w14:paraId="4C3BABE7"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choose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between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options</w:t>
                  </w:r>
                  <w:proofErr w:type="spellEnd"/>
                  <w:r>
                    <w:rPr>
                      <w:rFonts w:ascii="Calibri" w:eastAsia="Calibri" w:hAnsi="Calibri" w:cs="Calibri"/>
                      <w:color w:val="4F81BD"/>
                      <w:sz w:val="18"/>
                      <w:szCs w:val="18"/>
                    </w:rPr>
                    <w:t>&gt;</w:t>
                  </w:r>
                </w:p>
              </w:tc>
              <w:tc>
                <w:tcPr>
                  <w:tcW w:w="3848" w:type="dxa"/>
                  <w:shd w:val="clear" w:color="auto" w:fill="DBE5F1"/>
                </w:tcPr>
                <w:p w14:paraId="283EA931"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Beneficiary / Managing Authority / Line Ministry / Contractor / other</w:t>
                  </w:r>
                </w:p>
              </w:tc>
            </w:tr>
            <w:tr w:rsidR="00600DEE" w14:paraId="0BA89468" w14:textId="77777777" w:rsidTr="0065009A">
              <w:trPr>
                <w:trHeight w:val="794"/>
              </w:trPr>
              <w:tc>
                <w:tcPr>
                  <w:tcW w:w="1403" w:type="dxa"/>
                  <w:shd w:val="clear" w:color="auto" w:fill="DBE5F1"/>
                </w:tcPr>
                <w:p w14:paraId="60ADE64C" w14:textId="77777777" w:rsidR="00600DEE" w:rsidRPr="0045151D" w:rsidRDefault="00641FB5">
                  <w:pPr>
                    <w:pBdr>
                      <w:top w:val="nil"/>
                      <w:left w:val="nil"/>
                      <w:bottom w:val="nil"/>
                      <w:right w:val="nil"/>
                      <w:between w:val="nil"/>
                    </w:pBd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Project stage in which risk occurs</w:t>
                  </w:r>
                </w:p>
              </w:tc>
              <w:tc>
                <w:tcPr>
                  <w:tcW w:w="1688" w:type="dxa"/>
                  <w:shd w:val="clear" w:color="auto" w:fill="DBE5F1"/>
                </w:tcPr>
                <w:p w14:paraId="0A68CF46"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 xml:space="preserve">&lt;3 * </w:t>
                  </w:r>
                  <w:proofErr w:type="spellStart"/>
                  <w:r>
                    <w:rPr>
                      <w:rFonts w:ascii="Calibri" w:eastAsia="Calibri" w:hAnsi="Calibri" w:cs="Calibri"/>
                      <w:color w:val="4F81BD"/>
                      <w:sz w:val="18"/>
                      <w:szCs w:val="18"/>
                    </w:rPr>
                    <w:t>yes</w:t>
                  </w:r>
                  <w:proofErr w:type="spellEnd"/>
                  <w:r>
                    <w:rPr>
                      <w:rFonts w:ascii="Calibri" w:eastAsia="Calibri" w:hAnsi="Calibri" w:cs="Calibri"/>
                      <w:color w:val="4F81BD"/>
                      <w:sz w:val="18"/>
                      <w:szCs w:val="18"/>
                    </w:rPr>
                    <w:t>/no&gt;</w:t>
                  </w:r>
                </w:p>
              </w:tc>
              <w:tc>
                <w:tcPr>
                  <w:tcW w:w="3848" w:type="dxa"/>
                  <w:shd w:val="clear" w:color="auto" w:fill="DBE5F1"/>
                </w:tcPr>
                <w:p w14:paraId="71E465DA"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Preparation stage (yes/no) </w:t>
                  </w:r>
                </w:p>
                <w:p w14:paraId="62244997"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Implementation stage (yes/no) </w:t>
                  </w:r>
                </w:p>
                <w:p w14:paraId="25280730" w14:textId="77777777" w:rsidR="00600DEE" w:rsidRDefault="00641FB5">
                  <w:pPr>
                    <w:pBdr>
                      <w:top w:val="nil"/>
                      <w:left w:val="nil"/>
                      <w:bottom w:val="nil"/>
                      <w:right w:val="nil"/>
                      <w:between w:val="nil"/>
                    </w:pBdr>
                    <w:rPr>
                      <w:rFonts w:ascii="Calibri" w:eastAsia="Calibri" w:hAnsi="Calibri" w:cs="Calibri"/>
                      <w:color w:val="4F81BD"/>
                      <w:sz w:val="18"/>
                      <w:szCs w:val="18"/>
                    </w:rPr>
                  </w:pPr>
                  <w:proofErr w:type="spellStart"/>
                  <w:r>
                    <w:rPr>
                      <w:rFonts w:ascii="Calibri" w:eastAsia="Calibri" w:hAnsi="Calibri" w:cs="Calibri"/>
                      <w:color w:val="4F81BD"/>
                      <w:sz w:val="18"/>
                      <w:szCs w:val="18"/>
                    </w:rPr>
                    <w:t>Operational</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stage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yes</w:t>
                  </w:r>
                  <w:proofErr w:type="spellEnd"/>
                  <w:r>
                    <w:rPr>
                      <w:rFonts w:ascii="Calibri" w:eastAsia="Calibri" w:hAnsi="Calibri" w:cs="Calibri"/>
                      <w:color w:val="4F81BD"/>
                      <w:sz w:val="18"/>
                      <w:szCs w:val="18"/>
                    </w:rPr>
                    <w:t>/no)</w:t>
                  </w:r>
                </w:p>
              </w:tc>
            </w:tr>
            <w:tr w:rsidR="00600DEE" w:rsidRPr="007463B9" w14:paraId="68188770" w14:textId="77777777" w:rsidTr="0065009A">
              <w:trPr>
                <w:trHeight w:val="567"/>
              </w:trPr>
              <w:tc>
                <w:tcPr>
                  <w:tcW w:w="1403" w:type="dxa"/>
                  <w:shd w:val="clear" w:color="auto" w:fill="DBE5F1"/>
                </w:tcPr>
                <w:p w14:paraId="5D5216B2"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Probability</w:t>
                  </w:r>
                  <w:proofErr w:type="spellEnd"/>
                </w:p>
              </w:tc>
              <w:tc>
                <w:tcPr>
                  <w:tcW w:w="1688" w:type="dxa"/>
                  <w:shd w:val="clear" w:color="auto" w:fill="DBE5F1"/>
                </w:tcPr>
                <w:p w14:paraId="313D9E5B"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letter</w:t>
                  </w:r>
                  <w:proofErr w:type="spellEnd"/>
                  <w:r>
                    <w:rPr>
                      <w:rFonts w:ascii="Calibri" w:eastAsia="Calibri" w:hAnsi="Calibri" w:cs="Calibri"/>
                      <w:color w:val="4F81BD"/>
                      <w:sz w:val="18"/>
                      <w:szCs w:val="18"/>
                    </w:rPr>
                    <w:t xml:space="preserve"> A-E&gt;</w:t>
                  </w:r>
                </w:p>
              </w:tc>
              <w:tc>
                <w:tcPr>
                  <w:tcW w:w="3848" w:type="dxa"/>
                  <w:shd w:val="clear" w:color="auto" w:fill="DBE5F1"/>
                </w:tcPr>
                <w:p w14:paraId="23F0CDEB"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 to E.  See table defining the scale.</w:t>
                  </w:r>
                </w:p>
              </w:tc>
            </w:tr>
            <w:tr w:rsidR="00600DEE" w:rsidRPr="007463B9" w14:paraId="7879BE34" w14:textId="77777777" w:rsidTr="00BB4617">
              <w:trPr>
                <w:trHeight w:val="510"/>
              </w:trPr>
              <w:tc>
                <w:tcPr>
                  <w:tcW w:w="1403" w:type="dxa"/>
                  <w:shd w:val="clear" w:color="auto" w:fill="DBE5F1"/>
                </w:tcPr>
                <w:p w14:paraId="1010B014"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Severity</w:t>
                  </w:r>
                  <w:proofErr w:type="spellEnd"/>
                </w:p>
              </w:tc>
              <w:tc>
                <w:tcPr>
                  <w:tcW w:w="1688" w:type="dxa"/>
                  <w:shd w:val="clear" w:color="auto" w:fill="DBE5F1"/>
                </w:tcPr>
                <w:p w14:paraId="6B3FA151"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number</w:t>
                  </w:r>
                  <w:proofErr w:type="spellEnd"/>
                  <w:r>
                    <w:rPr>
                      <w:rFonts w:ascii="Calibri" w:eastAsia="Calibri" w:hAnsi="Calibri" w:cs="Calibri"/>
                      <w:color w:val="4F81BD"/>
                      <w:sz w:val="18"/>
                      <w:szCs w:val="18"/>
                    </w:rPr>
                    <w:t xml:space="preserve"> I-V&gt;</w:t>
                  </w:r>
                </w:p>
              </w:tc>
              <w:tc>
                <w:tcPr>
                  <w:tcW w:w="3848" w:type="dxa"/>
                  <w:shd w:val="clear" w:color="auto" w:fill="DBE5F1"/>
                </w:tcPr>
                <w:p w14:paraId="031C872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See table defining the scale.</w:t>
                  </w:r>
                </w:p>
              </w:tc>
            </w:tr>
            <w:tr w:rsidR="00600DEE" w:rsidRPr="007463B9" w14:paraId="32B47EB4" w14:textId="77777777" w:rsidTr="00BB4617">
              <w:trPr>
                <w:trHeight w:val="680"/>
              </w:trPr>
              <w:tc>
                <w:tcPr>
                  <w:tcW w:w="1403" w:type="dxa"/>
                  <w:shd w:val="clear" w:color="auto" w:fill="DBE5F1"/>
                </w:tcPr>
                <w:p w14:paraId="7182C554"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Risk</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level</w:t>
                  </w:r>
                  <w:proofErr w:type="spellEnd"/>
                </w:p>
              </w:tc>
              <w:tc>
                <w:tcPr>
                  <w:tcW w:w="1688" w:type="dxa"/>
                  <w:shd w:val="clear" w:color="auto" w:fill="DBE5F1"/>
                </w:tcPr>
                <w:p w14:paraId="40D922C6"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choose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between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options</w:t>
                  </w:r>
                  <w:proofErr w:type="spellEnd"/>
                  <w:r>
                    <w:rPr>
                      <w:rFonts w:ascii="Calibri" w:eastAsia="Calibri" w:hAnsi="Calibri" w:cs="Calibri"/>
                      <w:color w:val="4F81BD"/>
                      <w:sz w:val="18"/>
                      <w:szCs w:val="18"/>
                    </w:rPr>
                    <w:t>&gt;</w:t>
                  </w:r>
                </w:p>
              </w:tc>
              <w:tc>
                <w:tcPr>
                  <w:tcW w:w="3848" w:type="dxa"/>
                  <w:shd w:val="clear" w:color="auto" w:fill="DBE5F1"/>
                </w:tcPr>
                <w:p w14:paraId="6517D820"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Product of probability and severity</w:t>
                  </w:r>
                </w:p>
                <w:p w14:paraId="5ECB276E"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Low/ Moderate/ High/ Very High</w:t>
                  </w:r>
                </w:p>
              </w:tc>
            </w:tr>
            <w:tr w:rsidR="00600DEE" w14:paraId="240C62BB" w14:textId="77777777" w:rsidTr="00BB4617">
              <w:trPr>
                <w:trHeight w:val="680"/>
              </w:trPr>
              <w:tc>
                <w:tcPr>
                  <w:tcW w:w="1403" w:type="dxa"/>
                  <w:shd w:val="clear" w:color="auto" w:fill="DBE5F1"/>
                </w:tcPr>
                <w:p w14:paraId="516D8DC4"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Response</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strategy</w:t>
                  </w:r>
                  <w:proofErr w:type="spellEnd"/>
                </w:p>
              </w:tc>
              <w:tc>
                <w:tcPr>
                  <w:tcW w:w="1688" w:type="dxa"/>
                  <w:shd w:val="clear" w:color="auto" w:fill="DBE5F1"/>
                </w:tcPr>
                <w:p w14:paraId="72E471E4"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choose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between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options</w:t>
                  </w:r>
                  <w:proofErr w:type="spellEnd"/>
                  <w:r>
                    <w:rPr>
                      <w:rFonts w:ascii="Calibri" w:eastAsia="Calibri" w:hAnsi="Calibri" w:cs="Calibri"/>
                      <w:color w:val="4F81BD"/>
                      <w:sz w:val="18"/>
                      <w:szCs w:val="18"/>
                    </w:rPr>
                    <w:t>&gt;</w:t>
                  </w:r>
                </w:p>
              </w:tc>
              <w:tc>
                <w:tcPr>
                  <w:tcW w:w="3848" w:type="dxa"/>
                  <w:shd w:val="clear" w:color="auto" w:fill="DBE5F1"/>
                </w:tcPr>
                <w:p w14:paraId="40F221ED" w14:textId="77777777" w:rsidR="00600DEE" w:rsidRDefault="00641FB5">
                  <w:pPr>
                    <w:pBdr>
                      <w:top w:val="nil"/>
                      <w:left w:val="nil"/>
                      <w:bottom w:val="nil"/>
                      <w:right w:val="nil"/>
                      <w:between w:val="nil"/>
                    </w:pBdr>
                    <w:rPr>
                      <w:rFonts w:ascii="Calibri" w:eastAsia="Calibri" w:hAnsi="Calibri" w:cs="Calibri"/>
                      <w:color w:val="4F81BD"/>
                      <w:sz w:val="18"/>
                      <w:szCs w:val="18"/>
                    </w:rPr>
                  </w:pPr>
                  <w:proofErr w:type="spellStart"/>
                  <w:r>
                    <w:rPr>
                      <w:rFonts w:ascii="Calibri" w:eastAsia="Calibri" w:hAnsi="Calibri" w:cs="Calibri"/>
                      <w:color w:val="4F81BD"/>
                      <w:sz w:val="18"/>
                      <w:szCs w:val="18"/>
                    </w:rPr>
                    <w:t>Prevent</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Mitigate</w:t>
                  </w:r>
                  <w:proofErr w:type="spellEnd"/>
                  <w:r>
                    <w:rPr>
                      <w:rFonts w:ascii="Calibri" w:eastAsia="Calibri" w:hAnsi="Calibri" w:cs="Calibri"/>
                      <w:color w:val="4F81BD"/>
                      <w:sz w:val="18"/>
                      <w:szCs w:val="18"/>
                    </w:rPr>
                    <w:t xml:space="preserve">/ Transfer/ </w:t>
                  </w:r>
                  <w:proofErr w:type="spellStart"/>
                  <w:r>
                    <w:rPr>
                      <w:rFonts w:ascii="Calibri" w:eastAsia="Calibri" w:hAnsi="Calibri" w:cs="Calibri"/>
                      <w:color w:val="4F81BD"/>
                      <w:sz w:val="18"/>
                      <w:szCs w:val="18"/>
                    </w:rPr>
                    <w:t>Tolerate</w:t>
                  </w:r>
                  <w:proofErr w:type="spellEnd"/>
                </w:p>
              </w:tc>
            </w:tr>
            <w:tr w:rsidR="00600DEE" w14:paraId="0E589B04" w14:textId="77777777" w:rsidTr="00BB4617">
              <w:trPr>
                <w:trHeight w:val="567"/>
              </w:trPr>
              <w:tc>
                <w:tcPr>
                  <w:tcW w:w="1403" w:type="dxa"/>
                  <w:shd w:val="clear" w:color="auto" w:fill="DBE5F1"/>
                </w:tcPr>
                <w:p w14:paraId="0A346D6A"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Mitigation</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measure</w:t>
                  </w:r>
                  <w:proofErr w:type="spellEnd"/>
                </w:p>
              </w:tc>
              <w:tc>
                <w:tcPr>
                  <w:tcW w:w="1688" w:type="dxa"/>
                  <w:shd w:val="clear" w:color="auto" w:fill="DBE5F1"/>
                </w:tcPr>
                <w:p w14:paraId="185627F1"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text</w:t>
                  </w:r>
                  <w:proofErr w:type="spellEnd"/>
                  <w:r>
                    <w:rPr>
                      <w:rFonts w:ascii="Calibri" w:eastAsia="Calibri" w:hAnsi="Calibri" w:cs="Calibri"/>
                      <w:color w:val="4F81BD"/>
                      <w:sz w:val="18"/>
                      <w:szCs w:val="18"/>
                    </w:rPr>
                    <w:t>&gt;</w:t>
                  </w:r>
                </w:p>
              </w:tc>
              <w:tc>
                <w:tcPr>
                  <w:tcW w:w="3848" w:type="dxa"/>
                  <w:shd w:val="clear" w:color="auto" w:fill="DBE5F1"/>
                </w:tcPr>
                <w:p w14:paraId="3C471760" w14:textId="77777777" w:rsidR="00600DEE" w:rsidRDefault="00641FB5">
                  <w:pPr>
                    <w:pBdr>
                      <w:top w:val="nil"/>
                      <w:left w:val="nil"/>
                      <w:bottom w:val="nil"/>
                      <w:right w:val="nil"/>
                      <w:between w:val="nil"/>
                    </w:pBdr>
                    <w:rPr>
                      <w:rFonts w:ascii="Calibri" w:eastAsia="Calibri" w:hAnsi="Calibri" w:cs="Calibri"/>
                      <w:color w:val="4F81BD"/>
                      <w:sz w:val="18"/>
                      <w:szCs w:val="18"/>
                    </w:rPr>
                  </w:pPr>
                  <w:proofErr w:type="spellStart"/>
                  <w:r>
                    <w:rPr>
                      <w:rFonts w:ascii="Calibri" w:eastAsia="Calibri" w:hAnsi="Calibri" w:cs="Calibri"/>
                      <w:color w:val="4F81BD"/>
                      <w:sz w:val="18"/>
                      <w:szCs w:val="18"/>
                    </w:rPr>
                    <w:t>Verbal</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description</w:t>
                  </w:r>
                  <w:proofErr w:type="spellEnd"/>
                </w:p>
              </w:tc>
            </w:tr>
            <w:tr w:rsidR="00600DEE" w:rsidRPr="007463B9" w14:paraId="19BAB036" w14:textId="77777777" w:rsidTr="00BB4617">
              <w:trPr>
                <w:trHeight w:val="907"/>
              </w:trPr>
              <w:tc>
                <w:tcPr>
                  <w:tcW w:w="1403" w:type="dxa"/>
                  <w:shd w:val="clear" w:color="auto" w:fill="DBE5F1"/>
                </w:tcPr>
                <w:p w14:paraId="783F9375" w14:textId="77777777" w:rsidR="00600DEE" w:rsidRDefault="00641FB5">
                  <w:pPr>
                    <w:pBdr>
                      <w:top w:val="nil"/>
                      <w:left w:val="nil"/>
                      <w:bottom w:val="nil"/>
                      <w:right w:val="nil"/>
                      <w:between w:val="nil"/>
                    </w:pBdr>
                    <w:rPr>
                      <w:rFonts w:ascii="Calibri" w:eastAsia="Calibri" w:hAnsi="Calibri" w:cs="Calibri"/>
                      <w:b/>
                      <w:color w:val="4F81BD"/>
                      <w:sz w:val="18"/>
                      <w:szCs w:val="18"/>
                    </w:rPr>
                  </w:pPr>
                  <w:proofErr w:type="spellStart"/>
                  <w:r>
                    <w:rPr>
                      <w:rFonts w:ascii="Calibri" w:eastAsia="Calibri" w:hAnsi="Calibri" w:cs="Calibri"/>
                      <w:b/>
                      <w:color w:val="4F81BD"/>
                      <w:sz w:val="18"/>
                      <w:szCs w:val="18"/>
                    </w:rPr>
                    <w:t>Mitigation</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measure</w:t>
                  </w:r>
                  <w:proofErr w:type="spellEnd"/>
                  <w:r>
                    <w:rPr>
                      <w:rFonts w:ascii="Calibri" w:eastAsia="Calibri" w:hAnsi="Calibri" w:cs="Calibri"/>
                      <w:b/>
                      <w:color w:val="4F81BD"/>
                      <w:sz w:val="18"/>
                      <w:szCs w:val="18"/>
                    </w:rPr>
                    <w:t xml:space="preserve"> </w:t>
                  </w:r>
                  <w:proofErr w:type="spellStart"/>
                  <w:r>
                    <w:rPr>
                      <w:rFonts w:ascii="Calibri" w:eastAsia="Calibri" w:hAnsi="Calibri" w:cs="Calibri"/>
                      <w:b/>
                      <w:color w:val="4F81BD"/>
                      <w:sz w:val="18"/>
                      <w:szCs w:val="18"/>
                    </w:rPr>
                    <w:t>owner</w:t>
                  </w:r>
                  <w:proofErr w:type="spellEnd"/>
                </w:p>
              </w:tc>
              <w:tc>
                <w:tcPr>
                  <w:tcW w:w="1688" w:type="dxa"/>
                  <w:shd w:val="clear" w:color="auto" w:fill="DBE5F1"/>
                </w:tcPr>
                <w:p w14:paraId="3A08F9BF"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w:t>
                  </w:r>
                  <w:proofErr w:type="spellStart"/>
                  <w:r>
                    <w:rPr>
                      <w:rFonts w:ascii="Calibri" w:eastAsia="Calibri" w:hAnsi="Calibri" w:cs="Calibri"/>
                      <w:color w:val="4F81BD"/>
                      <w:sz w:val="18"/>
                      <w:szCs w:val="18"/>
                    </w:rPr>
                    <w:t>choose</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between</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option</w:t>
                  </w:r>
                  <w:proofErr w:type="spellEnd"/>
                  <w:r>
                    <w:rPr>
                      <w:rFonts w:ascii="Calibri" w:eastAsia="Calibri" w:hAnsi="Calibri" w:cs="Calibri"/>
                      <w:color w:val="4F81BD"/>
                      <w:sz w:val="18"/>
                      <w:szCs w:val="18"/>
                    </w:rPr>
                    <w:t>&gt;</w:t>
                  </w:r>
                </w:p>
              </w:tc>
              <w:tc>
                <w:tcPr>
                  <w:tcW w:w="3848" w:type="dxa"/>
                  <w:shd w:val="clear" w:color="auto" w:fill="DBE5F1"/>
                </w:tcPr>
                <w:p w14:paraId="0561F32D"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Beneficiary/ MA/ Line Ministry/ Contractor/other</w:t>
                  </w:r>
                </w:p>
              </w:tc>
            </w:tr>
          </w:tbl>
          <w:p w14:paraId="2A06B73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analysis above should be accompanied by a description on the risk matrix concerning, in particular, outstanding risks after preventive and mitigating measures.</w:t>
            </w:r>
          </w:p>
          <w:p w14:paraId="5EAEE01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above table the project phase and category of risk are separated, because risks may occur in different phases in a different configuration. </w:t>
            </w:r>
          </w:p>
          <w:p w14:paraId="75D8A86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Risk owner may not be the same entity as the Mitigation measure owner.</w:t>
            </w:r>
          </w:p>
          <w:p w14:paraId="13C15887"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4873317" w14:textId="1883E3BE" w:rsidR="00600DEE" w:rsidRPr="0045151D" w:rsidRDefault="00641FB5" w:rsidP="00D5736B">
      <w:pPr>
        <w:pStyle w:val="Nagwek1"/>
        <w:numPr>
          <w:ilvl w:val="0"/>
          <w:numId w:val="17"/>
        </w:numPr>
        <w:ind w:left="709" w:hanging="709"/>
        <w:rPr>
          <w:rFonts w:ascii="Calibri" w:eastAsia="Calibri" w:hAnsi="Calibri" w:cs="Calibri"/>
          <w:color w:val="0070C0"/>
          <w:lang w:val="pl-PL"/>
        </w:rPr>
      </w:pPr>
      <w:bookmarkStart w:id="117" w:name="_Toc95378011"/>
      <w:r w:rsidRPr="0045151D">
        <w:rPr>
          <w:rFonts w:ascii="Calibri" w:eastAsia="Calibri" w:hAnsi="Calibri" w:cs="Calibri"/>
          <w:color w:val="0070C0"/>
          <w:lang w:val="pl-PL"/>
        </w:rPr>
        <w:lastRenderedPageBreak/>
        <w:t>Wpływ na zatrudnienie</w:t>
      </w:r>
      <w:r w:rsidRPr="0045151D">
        <w:rPr>
          <w:rFonts w:ascii="Calibri" w:eastAsia="Calibri" w:hAnsi="Calibri" w:cs="Calibri"/>
          <w:color w:val="0070C0"/>
          <w:lang w:val="pl-PL"/>
        </w:rPr>
        <w:br/>
      </w:r>
      <w:proofErr w:type="spellStart"/>
      <w:r w:rsidRPr="0045151D">
        <w:rPr>
          <w:rFonts w:ascii="Calibri" w:eastAsia="Calibri" w:hAnsi="Calibri" w:cs="Calibri"/>
          <w:i/>
          <w:color w:val="0070C0"/>
          <w:lang w:val="pl-PL"/>
        </w:rPr>
        <w:t>Impact</w:t>
      </w:r>
      <w:proofErr w:type="spellEnd"/>
      <w:r w:rsidRPr="0045151D">
        <w:rPr>
          <w:rFonts w:ascii="Calibri" w:eastAsia="Calibri" w:hAnsi="Calibri" w:cs="Calibri"/>
          <w:i/>
          <w:color w:val="0070C0"/>
          <w:lang w:val="pl-PL"/>
        </w:rPr>
        <w:t xml:space="preserve"> on </w:t>
      </w:r>
      <w:proofErr w:type="spellStart"/>
      <w:r w:rsidRPr="0045151D">
        <w:rPr>
          <w:rFonts w:ascii="Calibri" w:eastAsia="Calibri" w:hAnsi="Calibri" w:cs="Calibri"/>
          <w:i/>
          <w:color w:val="0070C0"/>
          <w:lang w:val="pl-PL"/>
        </w:rPr>
        <w:t>employment</w:t>
      </w:r>
      <w:bookmarkEnd w:id="117"/>
      <w:proofErr w:type="spellEnd"/>
    </w:p>
    <w:tbl>
      <w:tblPr>
        <w:tblStyle w:val="affffffff5"/>
        <w:tblW w:w="14571" w:type="dxa"/>
        <w:tblLayout w:type="fixed"/>
        <w:tblLook w:val="0400" w:firstRow="0" w:lastRow="0" w:firstColumn="0" w:lastColumn="0" w:noHBand="0" w:noVBand="1"/>
      </w:tblPr>
      <w:tblGrid>
        <w:gridCol w:w="7370"/>
        <w:gridCol w:w="7201"/>
      </w:tblGrid>
      <w:tr w:rsidR="00600DEE" w:rsidRPr="007463B9" w14:paraId="498A2C53" w14:textId="77777777">
        <w:tc>
          <w:tcPr>
            <w:tcW w:w="7370" w:type="dxa"/>
            <w:tcBorders>
              <w:right w:val="single" w:sz="4" w:space="0" w:color="000000"/>
            </w:tcBorders>
            <w:tcMar>
              <w:left w:w="284" w:type="dxa"/>
              <w:right w:w="284" w:type="dxa"/>
            </w:tcMar>
          </w:tcPr>
          <w:p w14:paraId="11BFC5B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tym punkcie jest mowa o tym, jak należy podać informacje o liczbie nowych miejsc pracy, które powstaną dzięki projektowi w trakcie jego realizacji, a także o liczbie miejsc pracy, które mogą powstać (lub zostać zlikwidowane) na etapie eksploatacji. W projektach infrastrukturalnych szczególny nacisk kładzie się na czasowe zatrudnienie związane z realizacją projektu, ponieważ budowa infrastruktury wymaga zaangażowania znacznie większej siły roboczej, aniżeli ma to miejsce podczas eksploatacji i utrzymania.</w:t>
            </w:r>
          </w:p>
          <w:p w14:paraId="05108E1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uproszczenia analizy dopuszcza się ocenę jedynie bezpośredniego wpływu danego projektu na zatrudnienie, nie analizując kosztów pracy związanych ze sprzętem.</w:t>
            </w:r>
          </w:p>
          <w:p w14:paraId="6728D4C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Warto zwrócić uwagę na fakt, że przedstawiony poniżej sposób obliczenia stworzonych miejsc pracy jest związany wyłącznie z danym projektem. Z uwagi na jego indykatywny charakter nie powinien służyć do kalkulacji zagregowanych ilości miejsc pracy tworzonych w ramach danego programu inwestycyjnego (np. jako skumulowaną liczbę nowych miejsc pracy z poszczególnych projektów drogowych). </w:t>
            </w:r>
          </w:p>
        </w:tc>
        <w:tc>
          <w:tcPr>
            <w:tcW w:w="7201" w:type="dxa"/>
            <w:tcBorders>
              <w:left w:val="single" w:sz="4" w:space="0" w:color="000000"/>
            </w:tcBorders>
            <w:tcMar>
              <w:left w:w="284" w:type="dxa"/>
              <w:right w:w="284" w:type="dxa"/>
            </w:tcMar>
          </w:tcPr>
          <w:p w14:paraId="2479071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This chapter aims at proper presentation of the number of new jobs created by the project during the implementation stage and the number of jobs which may be created (or eliminated) during its operation. In infrastructure projects, special emphasis is put on temporary employment connected with implementation, because the infrastructure construction requires hiring significantly greater workforce than the operation and maintenance.</w:t>
            </w:r>
          </w:p>
          <w:p w14:paraId="52116A1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simplify the analysis, it is possible to evaluate only the direct impact of the project on employment without labour costs connected with equipment.</w:t>
            </w:r>
          </w:p>
          <w:p w14:paraId="0120272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should be emphasised that the approach to calculating the number of new jobs described below concerns only the jobs created by the specific project; therefore, it should not be used to calculate an aggregate number of new jobs in a given investment program (i.e. as the addition of the different number of jobs created by the road projects investments themselves).</w:t>
            </w:r>
          </w:p>
        </w:tc>
      </w:tr>
    </w:tbl>
    <w:p w14:paraId="54D35859" w14:textId="5495835E" w:rsidR="00600DEE" w:rsidRPr="0045151D" w:rsidRDefault="00641FB5" w:rsidP="00D5736B">
      <w:pPr>
        <w:pStyle w:val="Nagwek2"/>
        <w:numPr>
          <w:ilvl w:val="1"/>
          <w:numId w:val="17"/>
        </w:numPr>
        <w:ind w:left="0" w:firstLine="0"/>
        <w:rPr>
          <w:rFonts w:ascii="Calibri" w:eastAsia="Calibri" w:hAnsi="Calibri" w:cs="Calibri"/>
          <w:i/>
          <w:color w:val="4F81BD"/>
          <w:lang w:val="pl-PL"/>
        </w:rPr>
      </w:pPr>
      <w:bookmarkStart w:id="118" w:name="_Toc95378012"/>
      <w:r w:rsidRPr="0045151D">
        <w:rPr>
          <w:rFonts w:ascii="Calibri" w:eastAsia="Calibri" w:hAnsi="Calibri" w:cs="Calibri"/>
          <w:color w:val="4F81BD"/>
          <w:lang w:val="pl-PL"/>
        </w:rPr>
        <w:t>Miejsca pracy utworzone na etapie realizacji</w:t>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 xml:space="preserve">5.1   </w:t>
      </w:r>
      <w:proofErr w:type="spellStart"/>
      <w:r w:rsidRPr="0045151D">
        <w:rPr>
          <w:rFonts w:ascii="Calibri" w:eastAsia="Calibri" w:hAnsi="Calibri" w:cs="Calibri"/>
          <w:i/>
          <w:color w:val="4F81BD"/>
          <w:lang w:val="pl-PL"/>
        </w:rPr>
        <w:t>Jobs</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created</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during</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implementation</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stage</w:t>
      </w:r>
      <w:bookmarkEnd w:id="118"/>
      <w:proofErr w:type="spellEnd"/>
    </w:p>
    <w:tbl>
      <w:tblPr>
        <w:tblStyle w:val="affffffff6"/>
        <w:tblW w:w="14571" w:type="dxa"/>
        <w:tblLayout w:type="fixed"/>
        <w:tblLook w:val="0400" w:firstRow="0" w:lastRow="0" w:firstColumn="0" w:lastColumn="0" w:noHBand="0" w:noVBand="1"/>
      </w:tblPr>
      <w:tblGrid>
        <w:gridCol w:w="7370"/>
        <w:gridCol w:w="7201"/>
      </w:tblGrid>
      <w:tr w:rsidR="00600DEE" w:rsidRPr="007463B9" w14:paraId="5F7ACF6E" w14:textId="77777777">
        <w:tc>
          <w:tcPr>
            <w:tcW w:w="7370" w:type="dxa"/>
            <w:tcBorders>
              <w:right w:val="single" w:sz="4" w:space="0" w:color="000000"/>
            </w:tcBorders>
            <w:tcMar>
              <w:left w:w="284" w:type="dxa"/>
              <w:right w:w="284" w:type="dxa"/>
            </w:tcMar>
          </w:tcPr>
          <w:p w14:paraId="4AF13EB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Informacje o okresowym zatrudnieniu na etapie realizacji zazwyczaj nie są od razu dostępne. Dlatego też opracowano metodykę, która pozwala na sporządzenie szacunku zatrudnienia związanego z realizacją projektu przy zastosowaniu współczynnika średniego udziału kosztów pracy w robotach budowlanych. Dwa kluczowe elementy wspomnianej metodyki to:</w:t>
            </w:r>
          </w:p>
          <w:p w14:paraId="24002ABB"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udział składnika pracy w kosztach projektu,</w:t>
            </w:r>
          </w:p>
          <w:p w14:paraId="35741483"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średni roczny koszt pracy pracownika.</w:t>
            </w:r>
          </w:p>
          <w:p w14:paraId="4143B17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projektu obejmują prace budowlane, koszty sprzętu, projektowania, nadzoru, szkoleń i pomocy technicznej.  Te koszty należy wyrazić w stałych cenach; mogą one </w:t>
            </w:r>
            <w:r>
              <w:rPr>
                <w:rFonts w:ascii="Calibri" w:eastAsia="Calibri" w:hAnsi="Calibri" w:cs="Calibri"/>
                <w:color w:val="000000"/>
                <w:sz w:val="20"/>
                <w:szCs w:val="20"/>
              </w:rPr>
              <w:lastRenderedPageBreak/>
              <w:t>obejmować rezerwy na nieprzewidziane okoliczności natury technicznej, jednak z wykluczeniem nieprzewidzianych okoliczności związanych z cenami i podatkami.</w:t>
            </w:r>
          </w:p>
          <w:p w14:paraId="5CFD08B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Średni udział kosztów pracy w łącznych kosztach projektu netto dla danego projektu drogowego wynosi 25%. </w:t>
            </w:r>
          </w:p>
          <w:p w14:paraId="7243209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Średni roczny koszt pracy jednego pracownika obejmuje roczne wynagrodzenie brutto pracowników w sektorze budowlanym i produkcyjnym, ale również inne, pośrednie koszty ponoszone przez pracodawcę, takie jak składki na ubezpieczenie społeczne, koszty szkoleń, koszty przejazdów itp., pomniejszone o ewentualne otrzymane dotacje. Informacje o wysokości wynagrodzenia brutto w sektorze przedsiębiorstw (w ujęciu miesięcznym lub kwartalnym) można uzyskać z Głównego Urzędu Statystycznego. Kwotę tę należy następnie powiększyć o obowiązkowe narzuty płacone przez pracodawcę (średnio 21%). W dalszej kolejności powinno się uwzględnić koszty związane z pracą, których nie ujęto w wynagrodzeniu. Wartość tę szacuje się na 25% kosztów projektu – obliczonych wcześniej.</w:t>
            </w:r>
          </w:p>
          <w:p w14:paraId="1445A30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Czasowe zatrudnienie w osobolatach oblicza się dwuetapowo:</w:t>
            </w:r>
          </w:p>
          <w:p w14:paraId="4E8C5F05" w14:textId="77777777" w:rsidR="00600DEE" w:rsidRDefault="00641FB5" w:rsidP="00D5736B">
            <w:pPr>
              <w:numPr>
                <w:ilvl w:val="0"/>
                <w:numId w:val="6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obliczenie wartości składnika pracy w łącznych kosztach projektu – koszty projektu przemnożone przez średni udział kosztów pracy (równy 25%);</w:t>
            </w:r>
          </w:p>
          <w:p w14:paraId="7A2618FB" w14:textId="77777777" w:rsidR="00600DEE" w:rsidRDefault="00641FB5" w:rsidP="00D5736B">
            <w:pPr>
              <w:numPr>
                <w:ilvl w:val="0"/>
                <w:numId w:val="6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podzielenie wartości składnika pracy przez średni roczny koszt pracy przypadający na jednego pracownika.</w:t>
            </w:r>
          </w:p>
          <w:p w14:paraId="2299510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Obliczenia należy przeprowadzić w następujący sposób:</w:t>
            </w:r>
          </w:p>
          <w:p w14:paraId="6EC6D036"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20"/>
                <w:szCs w:val="20"/>
              </w:rPr>
              <w:object w:dxaOrig="2123" w:dyaOrig="758" w14:anchorId="48EF1F97">
                <v:shape id="_x0000_i1039" type="#_x0000_t75" style="width:105.65pt;height:38.35pt" o:ole="" filled="t">
                  <v:fill color2="black"/>
                  <v:imagedata r:id="rId138" o:title=""/>
                </v:shape>
                <o:OLEObject Type="Embed" ProgID="Equation.3" ShapeID="_x0000_i1039" DrawAspect="Content" ObjectID="_1708947481" r:id="rId139"/>
              </w:object>
            </w:r>
          </w:p>
          <w:p w14:paraId="5C2E90D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gdzie: </w:t>
            </w:r>
          </w:p>
          <w:p w14:paraId="01767CA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w:t>
            </w:r>
            <w:r>
              <w:rPr>
                <w:rFonts w:ascii="Calibri" w:eastAsia="Calibri" w:hAnsi="Calibri" w:cs="Calibri"/>
                <w:color w:val="000000"/>
                <w:sz w:val="20"/>
                <w:szCs w:val="20"/>
                <w:vertAlign w:val="subscript"/>
              </w:rPr>
              <w:t>TE</w:t>
            </w:r>
            <w:r>
              <w:rPr>
                <w:rFonts w:ascii="Calibri" w:eastAsia="Calibri" w:hAnsi="Calibri" w:cs="Calibri"/>
                <w:color w:val="000000"/>
                <w:sz w:val="20"/>
                <w:szCs w:val="20"/>
              </w:rPr>
              <w:t xml:space="preserve"> </w:t>
            </w:r>
            <w:r>
              <w:rPr>
                <w:rFonts w:ascii="Calibri" w:eastAsia="Calibri" w:hAnsi="Calibri" w:cs="Calibri"/>
                <w:color w:val="333399"/>
                <w:sz w:val="20"/>
                <w:szCs w:val="20"/>
              </w:rPr>
              <w:t>–</w:t>
            </w:r>
            <w:r>
              <w:rPr>
                <w:rFonts w:ascii="Calibri" w:eastAsia="Calibri" w:hAnsi="Calibri" w:cs="Calibri"/>
                <w:color w:val="000000"/>
                <w:sz w:val="20"/>
                <w:szCs w:val="20"/>
              </w:rPr>
              <w:t xml:space="preserve"> liczba pracowników zatrudnionych na etapie realizacji projektu </w:t>
            </w:r>
          </w:p>
          <w:p w14:paraId="39995E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CAPEX </w:t>
            </w:r>
            <w:r>
              <w:rPr>
                <w:rFonts w:ascii="Calibri" w:eastAsia="Calibri" w:hAnsi="Calibri" w:cs="Calibri"/>
                <w:color w:val="333399"/>
                <w:sz w:val="20"/>
                <w:szCs w:val="20"/>
              </w:rPr>
              <w:t>–</w:t>
            </w:r>
            <w:r>
              <w:rPr>
                <w:rFonts w:ascii="Calibri" w:eastAsia="Calibri" w:hAnsi="Calibri" w:cs="Calibri"/>
                <w:color w:val="000000"/>
                <w:sz w:val="20"/>
                <w:szCs w:val="20"/>
              </w:rPr>
              <w:t xml:space="preserve">  całkowite koszty inwestycyjne projektu</w:t>
            </w:r>
          </w:p>
          <w:p w14:paraId="4BC4647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L</w:t>
            </w:r>
            <w:r>
              <w:rPr>
                <w:rFonts w:ascii="Calibri" w:eastAsia="Calibri" w:hAnsi="Calibri" w:cs="Calibri"/>
                <w:color w:val="000000"/>
                <w:sz w:val="20"/>
                <w:szCs w:val="20"/>
                <w:vertAlign w:val="subscript"/>
              </w:rPr>
              <w:t>E</w:t>
            </w:r>
            <w:r>
              <w:rPr>
                <w:rFonts w:ascii="Calibri" w:eastAsia="Calibri" w:hAnsi="Calibri" w:cs="Calibri"/>
                <w:color w:val="000000"/>
                <w:sz w:val="20"/>
                <w:szCs w:val="20"/>
              </w:rPr>
              <w:t xml:space="preserve">  </w:t>
            </w:r>
            <w:r>
              <w:rPr>
                <w:rFonts w:ascii="Calibri" w:eastAsia="Calibri" w:hAnsi="Calibri" w:cs="Calibri"/>
                <w:color w:val="333399"/>
                <w:sz w:val="20"/>
                <w:szCs w:val="20"/>
              </w:rPr>
              <w:t>–</w:t>
            </w:r>
            <w:r>
              <w:rPr>
                <w:rFonts w:ascii="Calibri" w:eastAsia="Calibri" w:hAnsi="Calibri" w:cs="Calibri"/>
                <w:color w:val="000000"/>
                <w:sz w:val="20"/>
                <w:szCs w:val="20"/>
              </w:rPr>
              <w:t xml:space="preserve">  średni koszt pracy pracownika w sektorze budowlanym </w:t>
            </w:r>
          </w:p>
        </w:tc>
        <w:tc>
          <w:tcPr>
            <w:tcW w:w="7201" w:type="dxa"/>
            <w:tcBorders>
              <w:left w:val="single" w:sz="4" w:space="0" w:color="000000"/>
            </w:tcBorders>
            <w:tcMar>
              <w:left w:w="284" w:type="dxa"/>
              <w:right w:w="284" w:type="dxa"/>
            </w:tcMar>
          </w:tcPr>
          <w:p w14:paraId="484E94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45151D">
              <w:rPr>
                <w:rFonts w:ascii="Calibri" w:eastAsia="Calibri" w:hAnsi="Calibri" w:cs="Calibri"/>
                <w:color w:val="000000"/>
                <w:sz w:val="20"/>
                <w:szCs w:val="20"/>
                <w:lang w:val="en-GB"/>
              </w:rPr>
              <w:lastRenderedPageBreak/>
              <w:t xml:space="preserve">Information about temporary employment on the implementation stage is not usually available. Therefore, a methodology that allows estimating the employment connected with project implementation using average share of labour costs coefficient in construction works has been elaborated. </w:t>
            </w:r>
            <w:proofErr w:type="spellStart"/>
            <w:r>
              <w:rPr>
                <w:rFonts w:ascii="Calibri" w:eastAsia="Calibri" w:hAnsi="Calibri" w:cs="Calibri"/>
                <w:color w:val="000000"/>
                <w:sz w:val="20"/>
                <w:szCs w:val="20"/>
              </w:rPr>
              <w:t>Two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key</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elements</w:t>
            </w:r>
            <w:proofErr w:type="spellEnd"/>
            <w:r>
              <w:rPr>
                <w:rFonts w:ascii="Calibri" w:eastAsia="Calibri" w:hAnsi="Calibri" w:cs="Calibri"/>
                <w:color w:val="000000"/>
                <w:sz w:val="20"/>
                <w:szCs w:val="20"/>
              </w:rPr>
              <w:t xml:space="preserve"> of the </w:t>
            </w:r>
            <w:proofErr w:type="spellStart"/>
            <w:r>
              <w:rPr>
                <w:rFonts w:ascii="Calibri" w:eastAsia="Calibri" w:hAnsi="Calibri" w:cs="Calibri"/>
                <w:color w:val="000000"/>
                <w:sz w:val="20"/>
                <w:szCs w:val="20"/>
              </w:rPr>
              <w:t>mentioned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methodology</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are</w:t>
            </w:r>
            <w:proofErr w:type="spellEnd"/>
            <w:r>
              <w:rPr>
                <w:rFonts w:ascii="Calibri" w:eastAsia="Calibri" w:hAnsi="Calibri" w:cs="Calibri"/>
                <w:color w:val="000000"/>
                <w:sz w:val="20"/>
                <w:szCs w:val="20"/>
              </w:rPr>
              <w:t>:</w:t>
            </w:r>
          </w:p>
          <w:p w14:paraId="099D1A5C" w14:textId="77777777" w:rsidR="00600DEE" w:rsidRPr="0045151D" w:rsidRDefault="00641FB5" w:rsidP="00D5736B">
            <w:pPr>
              <w:numPr>
                <w:ilvl w:val="0"/>
                <w:numId w:val="31"/>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share of labour cost component in project costs,</w:t>
            </w:r>
          </w:p>
          <w:p w14:paraId="6B08E59B" w14:textId="77777777" w:rsidR="00600DEE" w:rsidRDefault="00641FB5" w:rsidP="00D5736B">
            <w:pPr>
              <w:numPr>
                <w:ilvl w:val="0"/>
                <w:numId w:val="31"/>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average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annual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labour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cost</w:t>
            </w:r>
            <w:proofErr w:type="spellEnd"/>
            <w:r>
              <w:rPr>
                <w:rFonts w:ascii="Calibri" w:eastAsia="Calibri" w:hAnsi="Calibri" w:cs="Calibri"/>
                <w:color w:val="000000"/>
                <w:sz w:val="20"/>
                <w:szCs w:val="20"/>
              </w:rPr>
              <w:t>.</w:t>
            </w:r>
          </w:p>
          <w:p w14:paraId="4F5D4F4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Project costs include, normally, construction works costs, equipment costs, costs of design, supervision, training, and technical assistance. Total project costs shall </w:t>
            </w:r>
            <w:r w:rsidRPr="0045151D">
              <w:rPr>
                <w:rFonts w:ascii="Calibri" w:eastAsia="Calibri" w:hAnsi="Calibri" w:cs="Calibri"/>
                <w:color w:val="000000"/>
                <w:sz w:val="20"/>
                <w:szCs w:val="20"/>
                <w:lang w:val="en-GB"/>
              </w:rPr>
              <w:lastRenderedPageBreak/>
              <w:t>be specified in constant prices; they may also cover reserves for unforeseen technical circumstances, but exclude price contingencies and taxes.</w:t>
            </w:r>
          </w:p>
          <w:p w14:paraId="49B6A32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Average share of labour costs in total net project costs for a given project equals to 25%. </w:t>
            </w:r>
          </w:p>
          <w:p w14:paraId="7E9E7CB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Average annual labour cost for one employee includes annual gross salary in construction and production sector, but also other indirect costs incurred by the employer, such as social insurance, training costs, travel costs, etc. diminished by possible subsidies. Information about gross salary in private sector (in monthly or quarterly depiction) may be obtained from Main Statistical Office (GUS). Then, the amount shall be increased by the mandatory surcharges paid by the employer (average 21%). Then the costs connected with work that were not included in the salary should be taken into account. That value is estimated at 25% of project works costs calculated earlier.</w:t>
            </w:r>
          </w:p>
          <w:p w14:paraId="2122648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Temporary employment in person years is calculated in two stages:</w:t>
            </w:r>
          </w:p>
          <w:p w14:paraId="3F764004" w14:textId="77777777" w:rsidR="00600DEE" w:rsidRPr="0045151D" w:rsidRDefault="00641FB5" w:rsidP="00D5736B">
            <w:pPr>
              <w:numPr>
                <w:ilvl w:val="1"/>
                <w:numId w:val="3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value of labour cost component in total project costs - project costs multiplied by average share of labour costs (estimated at 25%);</w:t>
            </w:r>
          </w:p>
          <w:p w14:paraId="3682B82A" w14:textId="77777777" w:rsidR="00600DEE" w:rsidRPr="0045151D" w:rsidRDefault="00641FB5" w:rsidP="00D5736B">
            <w:pPr>
              <w:numPr>
                <w:ilvl w:val="1"/>
                <w:numId w:val="3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division of labour component value by average annual labour cost per one employee.</w:t>
            </w:r>
          </w:p>
          <w:p w14:paraId="4FDFED8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should be performed as follows:</w:t>
            </w:r>
          </w:p>
          <w:p w14:paraId="5CA794A7"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20"/>
                <w:szCs w:val="20"/>
              </w:rPr>
              <w:object w:dxaOrig="2123" w:dyaOrig="758" w14:anchorId="189BBBF9">
                <v:shape id="_x0000_i1040" type="#_x0000_t75" style="width:105.65pt;height:38.35pt" o:ole="" filled="t">
                  <v:fill color2="black"/>
                  <v:imagedata r:id="rId138" o:title=""/>
                </v:shape>
                <o:OLEObject Type="Embed" ProgID="Equation.3" ShapeID="_x0000_i1040" DrawAspect="Content" ObjectID="_1708947482" r:id="rId140"/>
              </w:object>
            </w:r>
          </w:p>
          <w:p w14:paraId="23FEB13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where: </w:t>
            </w:r>
          </w:p>
          <w:p w14:paraId="7CE28AE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w:t>
            </w:r>
            <w:r w:rsidRPr="0045151D">
              <w:rPr>
                <w:rFonts w:ascii="Calibri" w:eastAsia="Calibri" w:hAnsi="Calibri" w:cs="Calibri"/>
                <w:color w:val="000000"/>
                <w:sz w:val="20"/>
                <w:szCs w:val="20"/>
                <w:vertAlign w:val="subscript"/>
                <w:lang w:val="en-GB"/>
              </w:rPr>
              <w:t>TE</w:t>
            </w:r>
            <w:r w:rsidRPr="0045151D">
              <w:rPr>
                <w:rFonts w:ascii="Calibri" w:eastAsia="Calibri" w:hAnsi="Calibri" w:cs="Calibri"/>
                <w:color w:val="000000"/>
                <w:sz w:val="20"/>
                <w:szCs w:val="20"/>
                <w:lang w:val="en-GB"/>
              </w:rPr>
              <w:t>—number of temporary employees of the project at construction phase</w:t>
            </w:r>
          </w:p>
          <w:p w14:paraId="19F8025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CAPEX </w:t>
            </w:r>
            <w:r w:rsidRPr="0045151D">
              <w:rPr>
                <w:rFonts w:ascii="Calibri" w:eastAsia="Calibri" w:hAnsi="Calibri" w:cs="Calibri"/>
                <w:color w:val="333399"/>
                <w:sz w:val="20"/>
                <w:szCs w:val="20"/>
                <w:lang w:val="en-GB"/>
              </w:rPr>
              <w:t>–</w:t>
            </w:r>
            <w:r w:rsidRPr="0045151D">
              <w:rPr>
                <w:rFonts w:ascii="Calibri" w:eastAsia="Calibri" w:hAnsi="Calibri" w:cs="Calibri"/>
                <w:color w:val="000000"/>
                <w:sz w:val="20"/>
                <w:szCs w:val="20"/>
                <w:lang w:val="en-GB"/>
              </w:rPr>
              <w:t xml:space="preserve">  total project investment costs</w:t>
            </w:r>
          </w:p>
          <w:p w14:paraId="5A7F44A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w:t>
            </w:r>
            <w:r w:rsidRPr="0045151D">
              <w:rPr>
                <w:rFonts w:ascii="Calibri" w:eastAsia="Calibri" w:hAnsi="Calibri" w:cs="Calibri"/>
                <w:color w:val="000000"/>
                <w:sz w:val="20"/>
                <w:szCs w:val="20"/>
                <w:vertAlign w:val="subscript"/>
                <w:lang w:val="en-GB"/>
              </w:rPr>
              <w:t>E—</w:t>
            </w:r>
            <w:r w:rsidRPr="0045151D">
              <w:rPr>
                <w:rFonts w:ascii="Calibri" w:eastAsia="Calibri" w:hAnsi="Calibri" w:cs="Calibri"/>
                <w:color w:val="000000"/>
                <w:sz w:val="20"/>
                <w:szCs w:val="20"/>
                <w:lang w:val="en-GB"/>
              </w:rPr>
              <w:t xml:space="preserve">average labour costs of an employee in the construction sector </w:t>
            </w:r>
          </w:p>
        </w:tc>
      </w:tr>
    </w:tbl>
    <w:p w14:paraId="05749158" w14:textId="09DA47DE"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19" w:name="_Toc95378013"/>
      <w:r w:rsidRPr="0045151D">
        <w:rPr>
          <w:rFonts w:ascii="Calibri" w:eastAsia="Calibri" w:hAnsi="Calibri" w:cs="Calibri"/>
          <w:color w:val="4F81BD"/>
          <w:lang w:val="pl-PL"/>
        </w:rPr>
        <w:lastRenderedPageBreak/>
        <w:t>Miejsca pracy utworzone (lub zlikwidowane) na etapie eksploatacji</w:t>
      </w:r>
      <w:r w:rsidRPr="0045151D">
        <w:rPr>
          <w:rFonts w:ascii="Calibri" w:eastAsia="Calibri" w:hAnsi="Calibri" w:cs="Calibri"/>
          <w:color w:val="4F81BD"/>
          <w:lang w:val="pl-PL"/>
        </w:rPr>
        <w:br/>
      </w:r>
      <w:r w:rsidRPr="0045151D">
        <w:rPr>
          <w:rFonts w:ascii="Calibri" w:eastAsia="Calibri" w:hAnsi="Calibri" w:cs="Calibri"/>
          <w:i/>
          <w:color w:val="4F81BD"/>
          <w:lang w:val="pl-PL"/>
        </w:rPr>
        <w:t>5.2</w:t>
      </w:r>
      <w:r w:rsidRPr="0045151D">
        <w:rPr>
          <w:rFonts w:ascii="Calibri" w:eastAsia="Calibri" w:hAnsi="Calibri" w:cs="Calibri"/>
          <w:color w:val="4F81BD"/>
          <w:lang w:val="pl-PL"/>
        </w:rPr>
        <w:t xml:space="preserve">    </w:t>
      </w:r>
      <w:proofErr w:type="spellStart"/>
      <w:r w:rsidRPr="0045151D">
        <w:rPr>
          <w:rFonts w:ascii="Calibri" w:eastAsia="Calibri" w:hAnsi="Calibri" w:cs="Calibri"/>
          <w:i/>
          <w:color w:val="4F81BD"/>
          <w:lang w:val="pl-PL"/>
        </w:rPr>
        <w:t>Jobs</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created</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or</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eliminated</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during</w:t>
      </w:r>
      <w:proofErr w:type="spellEnd"/>
      <w:r w:rsidRPr="0045151D">
        <w:rPr>
          <w:rFonts w:ascii="Calibri" w:eastAsia="Calibri" w:hAnsi="Calibri" w:cs="Calibri"/>
          <w:i/>
          <w:color w:val="4F81BD"/>
          <w:lang w:val="pl-PL"/>
        </w:rPr>
        <w:t xml:space="preserve"> the </w:t>
      </w:r>
      <w:proofErr w:type="spellStart"/>
      <w:r w:rsidRPr="0045151D">
        <w:rPr>
          <w:rFonts w:ascii="Calibri" w:eastAsia="Calibri" w:hAnsi="Calibri" w:cs="Calibri"/>
          <w:i/>
          <w:color w:val="4F81BD"/>
          <w:lang w:val="pl-PL"/>
        </w:rPr>
        <w:t>operation</w:t>
      </w:r>
      <w:proofErr w:type="spellEnd"/>
      <w:r w:rsidRPr="0045151D">
        <w:rPr>
          <w:rFonts w:ascii="Calibri" w:eastAsia="Calibri" w:hAnsi="Calibri" w:cs="Calibri"/>
          <w:i/>
          <w:color w:val="4F81BD"/>
          <w:lang w:val="pl-PL"/>
        </w:rPr>
        <w:t xml:space="preserve"> </w:t>
      </w:r>
      <w:proofErr w:type="spellStart"/>
      <w:r w:rsidRPr="0045151D">
        <w:rPr>
          <w:rFonts w:ascii="Calibri" w:eastAsia="Calibri" w:hAnsi="Calibri" w:cs="Calibri"/>
          <w:i/>
          <w:color w:val="4F81BD"/>
          <w:lang w:val="pl-PL"/>
        </w:rPr>
        <w:t>stage</w:t>
      </w:r>
      <w:bookmarkEnd w:id="119"/>
      <w:proofErr w:type="spellEnd"/>
    </w:p>
    <w:tbl>
      <w:tblPr>
        <w:tblStyle w:val="affffffff7"/>
        <w:tblW w:w="14571" w:type="dxa"/>
        <w:tblLayout w:type="fixed"/>
        <w:tblLook w:val="0400" w:firstRow="0" w:lastRow="0" w:firstColumn="0" w:lastColumn="0" w:noHBand="0" w:noVBand="1"/>
      </w:tblPr>
      <w:tblGrid>
        <w:gridCol w:w="7370"/>
        <w:gridCol w:w="7201"/>
      </w:tblGrid>
      <w:tr w:rsidR="00600DEE" w:rsidRPr="007463B9" w14:paraId="38C8A19B" w14:textId="77777777">
        <w:tc>
          <w:tcPr>
            <w:tcW w:w="7370" w:type="dxa"/>
            <w:tcBorders>
              <w:right w:val="single" w:sz="4" w:space="0" w:color="000000"/>
            </w:tcBorders>
            <w:tcMar>
              <w:left w:w="284" w:type="dxa"/>
              <w:right w:w="284" w:type="dxa"/>
            </w:tcMar>
          </w:tcPr>
          <w:p w14:paraId="63F8A36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Wyznaczenie liczby miejsc pracy utworzonych na etapie eksploatacji powinno być oparte na planie operacyjnym lub biznesowym zarządcy infrastruktury (GDDKiA lub innego, właściwego dla projektu gestora infrastruktury drogowej). Ten plan powinien być zgodny z prognozą ruchu i szacunkiem kosztów operacyjnych przedstawionym wcześniej. Należy przedstawić również podstawowe rozwiązania organizacyjne.</w:t>
            </w:r>
          </w:p>
          <w:p w14:paraId="54A1765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Szacunek dotyczący zatrudnienia obejmuje wszystkie miejsca pracy w administracji, eksploatacji i utrzymaniu infrastruktury drogowej.</w:t>
            </w:r>
          </w:p>
          <w:p w14:paraId="5146C6B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Przy szacowaniu możliwej przyszłej ewolucji zatrudnienia mogą wystąpić następujące sytuacje:</w:t>
            </w:r>
          </w:p>
          <w:p w14:paraId="2342612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Krótkoterminowe zmniejszenie zatrudnienia (zwolnienia) z powodu zwiększenia efektywności związanej z inwestycją</w:t>
            </w:r>
          </w:p>
          <w:p w14:paraId="4494F22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Długoterminowa zmiana zatrudnienia pobudzona przez inwestycję</w:t>
            </w:r>
          </w:p>
          <w:p w14:paraId="211985E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Brak wpływu inwestycji na zatrudnienie.</w:t>
            </w:r>
          </w:p>
          <w:p w14:paraId="6B31AA7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ocenie należy odnieść się przede wszystkim do długoterminowych zmian.</w:t>
            </w:r>
          </w:p>
          <w:p w14:paraId="6B651A4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celów obliczeń, proponuje się przyjąć udział kosztów pracy na poziomie 35% całkowitych kosztów utrzymaniowych.</w:t>
            </w:r>
          </w:p>
          <w:p w14:paraId="20AEE70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Oprócz bezpośredniego wpływu na zatrudnienie, należy opisać ewentualne, pośrednie możliwości zatrudnienia, związane z realizacją projektu i późniejszą jego eksploatacją.</w:t>
            </w:r>
          </w:p>
          <w:p w14:paraId="70E2809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Posiadając powyższe informacje można wykazać, czy analizowana inwestycja w fazie eksploatacji przyczyni się do wytworzenia czy zlikwidowania miejsc pracy.</w:t>
            </w:r>
          </w:p>
          <w:p w14:paraId="3C6AFFE9"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p w14:paraId="6FE86130"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40E55C9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determination of number of jobs created at the operation stage should be based on the infrastructure administration’s (</w:t>
            </w:r>
            <w:proofErr w:type="spellStart"/>
            <w:r w:rsidRPr="0045151D">
              <w:rPr>
                <w:rFonts w:ascii="Calibri" w:eastAsia="Calibri" w:hAnsi="Calibri" w:cs="Calibri"/>
                <w:color w:val="000000"/>
                <w:sz w:val="20"/>
                <w:szCs w:val="20"/>
                <w:lang w:val="en-GB"/>
              </w:rPr>
              <w:t>GDDKiA’s</w:t>
            </w:r>
            <w:proofErr w:type="spellEnd"/>
            <w:r w:rsidRPr="0045151D">
              <w:rPr>
                <w:rFonts w:ascii="Calibri" w:eastAsia="Calibri" w:hAnsi="Calibri" w:cs="Calibri"/>
                <w:color w:val="000000"/>
                <w:sz w:val="20"/>
                <w:szCs w:val="20"/>
                <w:lang w:val="en-GB"/>
              </w:rPr>
              <w:t xml:space="preserve"> or the relevant road infrastructure manager) operation or business plan. That plan should be consistent with traffic forecasts and maintenance and operation cost estimation previously presented. Basic organization solutions should be presented as well.</w:t>
            </w:r>
          </w:p>
          <w:p w14:paraId="3A1D9A9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Estimations concerning employment include all jobs in administration, management, operation and maintenance of road infrastructure.</w:t>
            </w:r>
          </w:p>
          <w:p w14:paraId="1CBF8FB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During estimation of possible future employment evolution, the following situations may occur:</w:t>
            </w:r>
          </w:p>
          <w:p w14:paraId="7BF9D7B7" w14:textId="77777777" w:rsidR="00600DEE" w:rsidRPr="0045151D" w:rsidRDefault="00641FB5" w:rsidP="00D5736B">
            <w:pPr>
              <w:numPr>
                <w:ilvl w:val="0"/>
                <w:numId w:val="3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Short-term decrease of employment (dismissals) due to increase of efficiency connected with the investment</w:t>
            </w:r>
          </w:p>
          <w:p w14:paraId="3AD57F11" w14:textId="77777777" w:rsidR="00600DEE" w:rsidRPr="0045151D" w:rsidRDefault="00641FB5" w:rsidP="00D5736B">
            <w:pPr>
              <w:numPr>
                <w:ilvl w:val="0"/>
                <w:numId w:val="3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Long-term change of employment stimulated by the investment</w:t>
            </w:r>
          </w:p>
          <w:p w14:paraId="2B78851F" w14:textId="77777777" w:rsidR="00600DEE" w:rsidRPr="0045151D" w:rsidRDefault="00641FB5" w:rsidP="00D5736B">
            <w:pPr>
              <w:numPr>
                <w:ilvl w:val="0"/>
                <w:numId w:val="3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No influence on employment connected with the investment.</w:t>
            </w:r>
          </w:p>
          <w:p w14:paraId="4997B6D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evaluation should focus mainly on long–term changes.</w:t>
            </w:r>
          </w:p>
          <w:p w14:paraId="5C4E92B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calculation purposes, it is proposed an average share of labour work costs in annual O&amp;M costs equals to 35%. </w:t>
            </w:r>
          </w:p>
          <w:p w14:paraId="4D5EBE2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Besides direct influence on possible employment, employment indirect opportunities connected with project implementation and its future operation should be also described.</w:t>
            </w:r>
          </w:p>
          <w:p w14:paraId="46B107C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Based on the above mentioned information, it can be proved if the analysed investment contributes to creation or to elimination of jobs during the implementation stage.</w:t>
            </w:r>
          </w:p>
          <w:p w14:paraId="10842693"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03EC86BD" w14:textId="7A8A1A7C" w:rsidR="00600DEE" w:rsidRPr="0045151D" w:rsidRDefault="00641FB5">
      <w:pPr>
        <w:pStyle w:val="Nagwek1"/>
        <w:rPr>
          <w:rFonts w:ascii="Calibri" w:eastAsia="Calibri" w:hAnsi="Calibri" w:cs="Calibri"/>
          <w:i/>
          <w:color w:val="0070C0"/>
          <w:lang w:val="pl-PL"/>
        </w:rPr>
      </w:pPr>
      <w:bookmarkStart w:id="120" w:name="_Toc95378014"/>
      <w:r w:rsidRPr="0045151D">
        <w:rPr>
          <w:rFonts w:ascii="Calibri" w:eastAsia="Calibri" w:hAnsi="Calibri" w:cs="Calibri"/>
          <w:color w:val="0070C0"/>
          <w:lang w:val="pl-PL"/>
        </w:rPr>
        <w:lastRenderedPageBreak/>
        <w:t>Literatura i literatura uzupełniająca</w:t>
      </w:r>
      <w:r w:rsidRPr="0045151D">
        <w:rPr>
          <w:rFonts w:ascii="Calibri" w:eastAsia="Calibri" w:hAnsi="Calibri" w:cs="Calibri"/>
          <w:color w:val="0070C0"/>
          <w:lang w:val="pl-PL"/>
        </w:rPr>
        <w:tab/>
        <w:t xml:space="preserve">     </w:t>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t xml:space="preserve">     </w:t>
      </w:r>
      <w:proofErr w:type="spellStart"/>
      <w:r w:rsidRPr="0045151D">
        <w:rPr>
          <w:rFonts w:ascii="Calibri" w:eastAsia="Calibri" w:hAnsi="Calibri" w:cs="Calibri"/>
          <w:i/>
          <w:color w:val="0070C0"/>
          <w:lang w:val="pl-PL"/>
        </w:rPr>
        <w:t>Literature</w:t>
      </w:r>
      <w:proofErr w:type="spellEnd"/>
      <w:r w:rsidRPr="0045151D">
        <w:rPr>
          <w:rFonts w:ascii="Calibri" w:eastAsia="Calibri" w:hAnsi="Calibri" w:cs="Calibri"/>
          <w:i/>
          <w:color w:val="0070C0"/>
          <w:lang w:val="pl-PL"/>
        </w:rPr>
        <w:t xml:space="preserve"> and </w:t>
      </w:r>
      <w:proofErr w:type="spellStart"/>
      <w:r w:rsidRPr="0045151D">
        <w:rPr>
          <w:rFonts w:ascii="Calibri" w:eastAsia="Calibri" w:hAnsi="Calibri" w:cs="Calibri"/>
          <w:i/>
          <w:color w:val="0070C0"/>
          <w:lang w:val="pl-PL"/>
        </w:rPr>
        <w:t>supplementary</w:t>
      </w:r>
      <w:proofErr w:type="spellEnd"/>
      <w:r w:rsidRPr="0045151D">
        <w:rPr>
          <w:rFonts w:ascii="Calibri" w:eastAsia="Calibri" w:hAnsi="Calibri" w:cs="Calibri"/>
          <w:i/>
          <w:color w:val="0070C0"/>
          <w:lang w:val="pl-PL"/>
        </w:rPr>
        <w:t xml:space="preserve"> </w:t>
      </w:r>
      <w:proofErr w:type="spellStart"/>
      <w:r w:rsidRPr="0045151D">
        <w:rPr>
          <w:rFonts w:ascii="Calibri" w:eastAsia="Calibri" w:hAnsi="Calibri" w:cs="Calibri"/>
          <w:i/>
          <w:color w:val="0070C0"/>
          <w:lang w:val="pl-PL"/>
        </w:rPr>
        <w:t>literature</w:t>
      </w:r>
      <w:bookmarkEnd w:id="120"/>
      <w:proofErr w:type="spellEnd"/>
    </w:p>
    <w:tbl>
      <w:tblPr>
        <w:tblStyle w:val="affffffff8"/>
        <w:tblW w:w="14571" w:type="dxa"/>
        <w:tblLayout w:type="fixed"/>
        <w:tblLook w:val="0400" w:firstRow="0" w:lastRow="0" w:firstColumn="0" w:lastColumn="0" w:noHBand="0" w:noVBand="1"/>
      </w:tblPr>
      <w:tblGrid>
        <w:gridCol w:w="7370"/>
        <w:gridCol w:w="7201"/>
      </w:tblGrid>
      <w:tr w:rsidR="00600DEE" w14:paraId="5B143528" w14:textId="77777777">
        <w:tc>
          <w:tcPr>
            <w:tcW w:w="7370" w:type="dxa"/>
            <w:tcBorders>
              <w:right w:val="single" w:sz="4" w:space="0" w:color="000000"/>
            </w:tcBorders>
            <w:tcMar>
              <w:left w:w="284" w:type="dxa"/>
              <w:right w:w="284" w:type="dxa"/>
            </w:tcMar>
          </w:tcPr>
          <w:p w14:paraId="23F9A274" w14:textId="77777777" w:rsidR="00600DEE" w:rsidRDefault="00600DEE">
            <w:pPr>
              <w:spacing w:after="120"/>
              <w:ind w:right="170"/>
              <w:jc w:val="both"/>
              <w:rPr>
                <w:rFonts w:ascii="Calibri" w:eastAsia="Calibri" w:hAnsi="Calibri" w:cs="Calibri"/>
                <w:sz w:val="20"/>
                <w:szCs w:val="20"/>
              </w:rPr>
            </w:pPr>
          </w:p>
        </w:tc>
        <w:tc>
          <w:tcPr>
            <w:tcW w:w="7201" w:type="dxa"/>
            <w:tcBorders>
              <w:left w:val="single" w:sz="4" w:space="0" w:color="000000"/>
            </w:tcBorders>
            <w:tcMar>
              <w:left w:w="284" w:type="dxa"/>
              <w:right w:w="284" w:type="dxa"/>
            </w:tcMar>
          </w:tcPr>
          <w:p w14:paraId="3ADA12E9" w14:textId="77777777" w:rsidR="00600DEE" w:rsidRDefault="00600DEE">
            <w:pPr>
              <w:spacing w:after="120"/>
              <w:ind w:right="170"/>
              <w:jc w:val="both"/>
              <w:rPr>
                <w:rFonts w:ascii="Calibri" w:eastAsia="Calibri" w:hAnsi="Calibri" w:cs="Calibri"/>
                <w:b/>
                <w:color w:val="323299"/>
              </w:rPr>
            </w:pPr>
          </w:p>
        </w:tc>
      </w:tr>
      <w:tr w:rsidR="00600DEE" w:rsidRPr="007463B9" w14:paraId="698A7867" w14:textId="77777777">
        <w:tc>
          <w:tcPr>
            <w:tcW w:w="7370" w:type="dxa"/>
            <w:tcBorders>
              <w:right w:val="single" w:sz="4" w:space="0" w:color="000000"/>
            </w:tcBorders>
            <w:tcMar>
              <w:left w:w="284" w:type="dxa"/>
              <w:right w:w="284" w:type="dxa"/>
            </w:tcMar>
          </w:tcPr>
          <w:p w14:paraId="3148286F"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 Belli P. et al., Economic Analysis of Investment Operations.  Analytical Tools and Practical Applications, The World Bank, Washington, D.C. 2001.</w:t>
            </w:r>
          </w:p>
          <w:p w14:paraId="3843E931"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[2]. Belli P., Handbook on Economic Analysis of Investment Operations, The World Bank, Washington, D.C. 1998.</w:t>
            </w:r>
          </w:p>
          <w:p w14:paraId="2055BF7D"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[3]. Datka S., </w:t>
            </w:r>
            <w:proofErr w:type="spellStart"/>
            <w:r>
              <w:rPr>
                <w:rFonts w:ascii="Calibri" w:eastAsia="Calibri" w:hAnsi="Calibri" w:cs="Calibri"/>
                <w:sz w:val="20"/>
                <w:szCs w:val="20"/>
              </w:rPr>
              <w:t>Suchorzewski</w:t>
            </w:r>
            <w:proofErr w:type="spellEnd"/>
            <w:r>
              <w:rPr>
                <w:rFonts w:ascii="Calibri" w:eastAsia="Calibri" w:hAnsi="Calibri" w:cs="Calibri"/>
                <w:sz w:val="20"/>
                <w:szCs w:val="20"/>
              </w:rPr>
              <w:t xml:space="preserve"> W., Tracz M., Inżynieria ruchu, </w:t>
            </w:r>
            <w:proofErr w:type="spellStart"/>
            <w:r>
              <w:rPr>
                <w:rFonts w:ascii="Calibri" w:eastAsia="Calibri" w:hAnsi="Calibri" w:cs="Calibri"/>
                <w:sz w:val="20"/>
                <w:szCs w:val="20"/>
              </w:rPr>
              <w:t>WKiŁ</w:t>
            </w:r>
            <w:proofErr w:type="spellEnd"/>
            <w:r>
              <w:rPr>
                <w:rFonts w:ascii="Calibri" w:eastAsia="Calibri" w:hAnsi="Calibri" w:cs="Calibri"/>
                <w:sz w:val="20"/>
                <w:szCs w:val="20"/>
              </w:rPr>
              <w:t>, Warszawa 1997.</w:t>
            </w:r>
          </w:p>
          <w:p w14:paraId="149FEB37"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[4]. European Commission, External Costs of Transport, Externalities of Energy, Vol. 9: Fuel Cycles for Emerging and End-Use Technologies, Transport and Waste, Brussels 1999.</w:t>
            </w:r>
          </w:p>
          <w:p w14:paraId="560F576C"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[5]. European Commission, Guidance on Ex ante Conditionalities for the European Structural and Investment Funds PART II, 13 February 2013.</w:t>
            </w:r>
          </w:p>
          <w:p w14:paraId="2599BE26"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[6]. European Investment Bank, Guide to Economic Appraisal of Investment Projects, Projects Directorate, Luxembourg 2012.</w:t>
            </w:r>
          </w:p>
          <w:p w14:paraId="16209192"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[7]. European Investment Bank, EIB Project Carbon Footprint Methodologies, Methodologies for the Assessment of Project GHG Emissions and Emission Variations July 2020</w:t>
            </w:r>
          </w:p>
          <w:p w14:paraId="7A7D58BD"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[8]. Eurostat, Gross domestic product, as percentage of EU28 per capita in purchasing power standards, current prices 2021; Electricity prices components for non-household consumers, prices net of taxes 2021.</w:t>
            </w:r>
          </w:p>
          <w:p w14:paraId="35C24E89"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[9]. Florio M., </w:t>
            </w:r>
            <w:proofErr w:type="spellStart"/>
            <w:r w:rsidRPr="0045151D">
              <w:rPr>
                <w:rFonts w:ascii="Calibri" w:eastAsia="Calibri" w:hAnsi="Calibri" w:cs="Calibri"/>
                <w:sz w:val="20"/>
                <w:szCs w:val="20"/>
                <w:lang w:val="en-GB"/>
              </w:rPr>
              <w:t>Vignetti</w:t>
            </w:r>
            <w:proofErr w:type="spellEnd"/>
            <w:r w:rsidRPr="0045151D">
              <w:rPr>
                <w:rFonts w:ascii="Calibri" w:eastAsia="Calibri" w:hAnsi="Calibri" w:cs="Calibri"/>
                <w:sz w:val="20"/>
                <w:szCs w:val="20"/>
                <w:lang w:val="en-GB"/>
              </w:rPr>
              <w:t xml:space="preserve"> S., Cost-benefit analysis of infrastructure projects in an enlarged European Union: an incentive-oriented approach, </w:t>
            </w:r>
            <w:proofErr w:type="spellStart"/>
            <w:r w:rsidRPr="0045151D">
              <w:rPr>
                <w:rFonts w:ascii="Calibri" w:eastAsia="Calibri" w:hAnsi="Calibri" w:cs="Calibri"/>
                <w:sz w:val="20"/>
                <w:szCs w:val="20"/>
                <w:lang w:val="en-GB"/>
              </w:rPr>
              <w:t>Università</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degli</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Studi</w:t>
            </w:r>
            <w:proofErr w:type="spellEnd"/>
            <w:r w:rsidRPr="0045151D">
              <w:rPr>
                <w:rFonts w:ascii="Calibri" w:eastAsia="Calibri" w:hAnsi="Calibri" w:cs="Calibri"/>
                <w:sz w:val="20"/>
                <w:szCs w:val="20"/>
                <w:lang w:val="en-GB"/>
              </w:rPr>
              <w:t xml:space="preserve"> di Milano, May 2003.</w:t>
            </w:r>
          </w:p>
          <w:p w14:paraId="7A4BAB9E" w14:textId="196F2860"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[10]. GDDKiA, Instrukcja obliczania przepustowości dróg i </w:t>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II klasy technicznej – Załącznik do z</w:t>
            </w:r>
            <w:r w:rsidR="00193C5C">
              <w:rPr>
                <w:rFonts w:ascii="Calibri" w:eastAsia="Calibri" w:hAnsi="Calibri" w:cs="Calibri"/>
                <w:sz w:val="20"/>
                <w:szCs w:val="20"/>
              </w:rPr>
              <w:t xml:space="preserve">arządzenia Nr 6/95 Generalnego </w:t>
            </w:r>
            <w:r>
              <w:rPr>
                <w:rFonts w:ascii="Calibri" w:eastAsia="Calibri" w:hAnsi="Calibri" w:cs="Calibri"/>
                <w:sz w:val="20"/>
                <w:szCs w:val="20"/>
              </w:rPr>
              <w:t>Dyrektora Dróg Publicznych z dnia 31 marca 1995  r., Warszawa 1995.</w:t>
            </w:r>
          </w:p>
          <w:p w14:paraId="4403C209"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lastRenderedPageBreak/>
              <w:t>[11]. GDDKiA, Metoda obliczania przepustowości rond – Instrukcja obliczania – Zarządzenie Nr 20 Generalnego Dyrektora Dróg Krajowych i Autostrad z dnia 23.07.2004r., Warszawa 2004.</w:t>
            </w:r>
          </w:p>
          <w:p w14:paraId="5F37B40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[12]. GDDKiA, Metoda obliczania przepustowości skrzyżowań bez sygnalizacji świetlnej – Instrukcja obliczania – Zarządzenie Nr 20 Generalnego Dyrektora Dróg Krajowych i Autostrad z dnia 23.07.2004r., Warszawa 2004.</w:t>
            </w:r>
          </w:p>
          <w:p w14:paraId="770150F1"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[13]. GDDKiA, Metoda obliczania przepustowości skrzyżowań z sygnalizacją świetlną – Instrukcja obliczania – Zarządzenie Nr 20 Generalnego Dyrektora Dróg Krajowych i Autostrad z dnia 23.07.2004r., Warszawa 2004.</w:t>
            </w:r>
          </w:p>
          <w:p w14:paraId="088B31CE" w14:textId="5BF29E89"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[14]. GDDKiA, Wytyczne organizacji i przeprowadzania General</w:t>
            </w:r>
            <w:r w:rsidR="00B67038">
              <w:rPr>
                <w:rFonts w:ascii="Calibri" w:eastAsia="Calibri" w:hAnsi="Calibri" w:cs="Calibri"/>
                <w:sz w:val="20"/>
                <w:szCs w:val="20"/>
              </w:rPr>
              <w:t xml:space="preserve">nego Pomiaru Ruchu w 2010 roku </w:t>
            </w:r>
            <w:r>
              <w:rPr>
                <w:rFonts w:ascii="Calibri" w:eastAsia="Calibri" w:hAnsi="Calibri" w:cs="Calibri"/>
                <w:sz w:val="20"/>
                <w:szCs w:val="20"/>
              </w:rPr>
              <w:t>na drogach krajowych, Warszawa 2009.</w:t>
            </w:r>
          </w:p>
          <w:p w14:paraId="5F024FE0" w14:textId="056BE4AB"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[15]. HEATCO – Developing Harmonised European Approaches for Transport Costing and Project Assessment, University of Stuttgart, Stuttgart 2006.</w:t>
            </w:r>
          </w:p>
          <w:p w14:paraId="76BF2C5F" w14:textId="061B240D"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[16]. Przewodnik do AKK (opublikowany przez GDDKiA w 2021 r.) zastępujący dotychczas stosowaną Instrukcję </w:t>
            </w:r>
            <w:proofErr w:type="spellStart"/>
            <w:r>
              <w:rPr>
                <w:rFonts w:ascii="Calibri" w:eastAsia="Calibri" w:hAnsi="Calibri" w:cs="Calibri"/>
                <w:sz w:val="20"/>
                <w:szCs w:val="20"/>
              </w:rPr>
              <w:t>IBDiM</w:t>
            </w:r>
            <w:proofErr w:type="spellEnd"/>
            <w:r>
              <w:rPr>
                <w:rFonts w:ascii="Calibri" w:eastAsia="Calibri" w:hAnsi="Calibri" w:cs="Calibri"/>
                <w:sz w:val="20"/>
                <w:szCs w:val="20"/>
              </w:rPr>
              <w:t xml:space="preserve"> z 2008</w:t>
            </w:r>
          </w:p>
          <w:p w14:paraId="1F163D36" w14:textId="5872CDB3"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[17]. JASPERS, The Use of Transport Models in Transport Planning and Project Appraisal, </w:t>
            </w:r>
            <w:proofErr w:type="spellStart"/>
            <w:r w:rsidRPr="0045151D">
              <w:rPr>
                <w:rFonts w:ascii="Calibri" w:eastAsia="Calibri" w:hAnsi="Calibri" w:cs="Calibri"/>
                <w:sz w:val="20"/>
                <w:szCs w:val="20"/>
                <w:lang w:val="en-GB"/>
              </w:rPr>
              <w:t>Luty</w:t>
            </w:r>
            <w:proofErr w:type="spellEnd"/>
            <w:r w:rsidRPr="0045151D">
              <w:rPr>
                <w:rFonts w:ascii="Calibri" w:eastAsia="Calibri" w:hAnsi="Calibri" w:cs="Calibri"/>
                <w:sz w:val="20"/>
                <w:szCs w:val="20"/>
                <w:lang w:val="en-GB"/>
              </w:rPr>
              <w:t xml:space="preserve"> 2014.</w:t>
            </w:r>
          </w:p>
          <w:p w14:paraId="33370E78"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[18]. Jamroz K., Budzyński M., Gaca S., </w:t>
            </w:r>
            <w:proofErr w:type="spellStart"/>
            <w:r>
              <w:rPr>
                <w:rFonts w:ascii="Calibri" w:eastAsia="Calibri" w:hAnsi="Calibri" w:cs="Calibri"/>
                <w:sz w:val="20"/>
                <w:szCs w:val="20"/>
              </w:rPr>
              <w:t>Kieć</w:t>
            </w:r>
            <w:proofErr w:type="spellEnd"/>
            <w:r>
              <w:rPr>
                <w:rFonts w:ascii="Calibri" w:eastAsia="Calibri" w:hAnsi="Calibri" w:cs="Calibri"/>
                <w:sz w:val="20"/>
                <w:szCs w:val="20"/>
              </w:rPr>
              <w:t xml:space="preserve"> M., Michalski L., Kustra W., Gumińska L., Praca badawcza wykonana na zlecenie GDDKiA, Metoda Prognozowania Wskaźników BRD dla potrzeb analiz efektywności ekonomicznej inwestycji realizowanych na drogach krajowych w Polsce, Gdańsk Kwiecień 2012.  </w:t>
            </w:r>
          </w:p>
          <w:p w14:paraId="428A0F2F" w14:textId="77777777" w:rsidR="00B95FB9"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[19]. „Wycena kosztów wypadków i kolizji drogowych na sieci dróg w Polsce na koniec roku 2018, z wyodrębnieniem średnich kosztów społeczno-ekonomicznych wypadków na transeuropejskiej sieci transportowej”, Krajowa Rada Bezpieczeństwa Ruchu Drogowego, grudzień 2019. </w:t>
            </w:r>
          </w:p>
          <w:p w14:paraId="6232E0DE" w14:textId="32D222B4"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[20].  "Stan bezpieczeństwa ruchu drogowego oraz działania realizowane w tym zakresie w 2019 r.", Krajowa Rada Bezpieczeństwa Ruchu Drogowego, sierpień 2020.</w:t>
            </w:r>
          </w:p>
          <w:p w14:paraId="1DA90772" w14:textId="7C4E9637" w:rsidR="00600DEE" w:rsidRPr="007463B9" w:rsidRDefault="00641FB5">
            <w:pPr>
              <w:spacing w:after="120"/>
              <w:ind w:right="170"/>
              <w:jc w:val="both"/>
              <w:rPr>
                <w:rFonts w:ascii="Calibri" w:eastAsia="Calibri" w:hAnsi="Calibri" w:cs="Calibri"/>
                <w:sz w:val="20"/>
                <w:szCs w:val="20"/>
                <w:lang w:val="en-GB"/>
              </w:rPr>
            </w:pPr>
            <w:r w:rsidRPr="007463B9">
              <w:rPr>
                <w:rFonts w:ascii="Calibri" w:eastAsia="Calibri" w:hAnsi="Calibri" w:cs="Calibri"/>
                <w:sz w:val="20"/>
                <w:szCs w:val="20"/>
                <w:lang w:val="en-GB"/>
              </w:rPr>
              <w:t xml:space="preserve">[21]. Van Essen H., van </w:t>
            </w:r>
            <w:proofErr w:type="spellStart"/>
            <w:r w:rsidRPr="007463B9">
              <w:rPr>
                <w:rFonts w:ascii="Calibri" w:eastAsia="Calibri" w:hAnsi="Calibri" w:cs="Calibri"/>
                <w:sz w:val="20"/>
                <w:szCs w:val="20"/>
                <w:lang w:val="en-GB"/>
              </w:rPr>
              <w:t>Wijngaarden</w:t>
            </w:r>
            <w:proofErr w:type="spellEnd"/>
            <w:r w:rsidRPr="007463B9">
              <w:rPr>
                <w:rFonts w:ascii="Calibri" w:eastAsia="Calibri" w:hAnsi="Calibri" w:cs="Calibri"/>
                <w:sz w:val="20"/>
                <w:szCs w:val="20"/>
                <w:lang w:val="en-GB"/>
              </w:rPr>
              <w:t xml:space="preserve"> L., </w:t>
            </w:r>
            <w:proofErr w:type="spellStart"/>
            <w:r w:rsidRPr="007463B9">
              <w:rPr>
                <w:rFonts w:ascii="Calibri" w:eastAsia="Calibri" w:hAnsi="Calibri" w:cs="Calibri"/>
                <w:sz w:val="20"/>
                <w:szCs w:val="20"/>
                <w:lang w:val="en-GB"/>
              </w:rPr>
              <w:t>Schroten</w:t>
            </w:r>
            <w:proofErr w:type="spellEnd"/>
            <w:r w:rsidRPr="007463B9">
              <w:rPr>
                <w:rFonts w:ascii="Calibri" w:eastAsia="Calibri" w:hAnsi="Calibri" w:cs="Calibri"/>
                <w:sz w:val="20"/>
                <w:szCs w:val="20"/>
                <w:lang w:val="en-GB"/>
              </w:rPr>
              <w:t xml:space="preserve"> A., Sutter D., Bieler C., </w:t>
            </w:r>
            <w:proofErr w:type="spellStart"/>
            <w:r w:rsidRPr="007463B9">
              <w:rPr>
                <w:rFonts w:ascii="Calibri" w:eastAsia="Calibri" w:hAnsi="Calibri" w:cs="Calibri"/>
                <w:sz w:val="20"/>
                <w:szCs w:val="20"/>
                <w:lang w:val="en-GB"/>
              </w:rPr>
              <w:t>Maffii</w:t>
            </w:r>
            <w:proofErr w:type="spellEnd"/>
            <w:r w:rsidRPr="007463B9">
              <w:rPr>
                <w:rFonts w:ascii="Calibri" w:eastAsia="Calibri" w:hAnsi="Calibri" w:cs="Calibri"/>
                <w:sz w:val="20"/>
                <w:szCs w:val="20"/>
                <w:lang w:val="en-GB"/>
              </w:rPr>
              <w:t xml:space="preserve"> S., Brambilla M., Fiorello D., Fermi F., Parolin R., El </w:t>
            </w:r>
            <w:proofErr w:type="spellStart"/>
            <w:r w:rsidRPr="007463B9">
              <w:rPr>
                <w:rFonts w:ascii="Calibri" w:eastAsia="Calibri" w:hAnsi="Calibri" w:cs="Calibri"/>
                <w:sz w:val="20"/>
                <w:szCs w:val="20"/>
                <w:lang w:val="en-GB"/>
              </w:rPr>
              <w:t>Beyrouty</w:t>
            </w:r>
            <w:proofErr w:type="spellEnd"/>
            <w:r w:rsidRPr="007463B9">
              <w:rPr>
                <w:rFonts w:ascii="Calibri" w:eastAsia="Calibri" w:hAnsi="Calibri" w:cs="Calibri"/>
                <w:sz w:val="20"/>
                <w:szCs w:val="20"/>
                <w:lang w:val="en-GB"/>
              </w:rPr>
              <w:t xml:space="preserve"> K.,</w:t>
            </w:r>
            <w:r w:rsidR="00B95FB9" w:rsidRPr="007463B9">
              <w:rPr>
                <w:rFonts w:ascii="Calibri" w:eastAsia="Calibri" w:hAnsi="Calibri" w:cs="Calibri"/>
                <w:sz w:val="20"/>
                <w:szCs w:val="20"/>
                <w:lang w:val="en-GB"/>
              </w:rPr>
              <w:t xml:space="preserve"> </w:t>
            </w:r>
            <w:r w:rsidRPr="007463B9">
              <w:rPr>
                <w:rFonts w:ascii="Calibri" w:eastAsia="Calibri" w:hAnsi="Calibri" w:cs="Calibri"/>
                <w:sz w:val="20"/>
                <w:szCs w:val="20"/>
                <w:lang w:val="en-GB"/>
              </w:rPr>
              <w:t>Handbook on External Costs of Transport, European Co</w:t>
            </w:r>
            <w:r w:rsidR="00B95FB9" w:rsidRPr="007463B9">
              <w:rPr>
                <w:rFonts w:ascii="Calibri" w:eastAsia="Calibri" w:hAnsi="Calibri" w:cs="Calibri"/>
                <w:sz w:val="20"/>
                <w:szCs w:val="20"/>
                <w:lang w:val="en-GB"/>
              </w:rPr>
              <w:t>mmission, Version January 2019.</w:t>
            </w:r>
          </w:p>
          <w:p w14:paraId="788F602D"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lastRenderedPageBreak/>
              <w:t>[22]. Krych A., Słownictwo kompleksowych badań i modelowania potoków ruch; materiały z II ogólnopolskiej konferencji Naukowo – Technicznej, Modelowanie podróży i prognozowanie ruchu, Kraków Listopada 2010.</w:t>
            </w:r>
          </w:p>
          <w:p w14:paraId="2F698E4B"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[23]. </w:t>
            </w:r>
            <w:proofErr w:type="spellStart"/>
            <w:r>
              <w:rPr>
                <w:rFonts w:ascii="Calibri" w:eastAsia="Calibri" w:hAnsi="Calibri" w:cs="Calibri"/>
                <w:sz w:val="20"/>
                <w:szCs w:val="20"/>
              </w:rPr>
              <w:t>Litman</w:t>
            </w:r>
            <w:proofErr w:type="spellEnd"/>
            <w:r>
              <w:rPr>
                <w:rFonts w:ascii="Calibri" w:eastAsia="Calibri" w:hAnsi="Calibri" w:cs="Calibri"/>
                <w:sz w:val="20"/>
                <w:szCs w:val="20"/>
              </w:rPr>
              <w:t xml:space="preserve"> T., </w:t>
            </w:r>
            <w:proofErr w:type="spellStart"/>
            <w:r>
              <w:rPr>
                <w:rFonts w:ascii="Calibri" w:eastAsia="Calibri" w:hAnsi="Calibri" w:cs="Calibri"/>
                <w:sz w:val="20"/>
                <w:szCs w:val="20"/>
              </w:rPr>
              <w:t>Transportation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Cost</w:t>
            </w:r>
            <w:proofErr w:type="spellEnd"/>
            <w:r>
              <w:rPr>
                <w:rFonts w:ascii="Calibri" w:eastAsia="Calibri" w:hAnsi="Calibri" w:cs="Calibri"/>
                <w:sz w:val="20"/>
                <w:szCs w:val="20"/>
              </w:rPr>
              <w:t xml:space="preserve"> Analysis: </w:t>
            </w:r>
            <w:proofErr w:type="spellStart"/>
            <w:r>
              <w:rPr>
                <w:rFonts w:ascii="Calibri" w:eastAsia="Calibri" w:hAnsi="Calibri" w:cs="Calibri"/>
                <w:sz w:val="20"/>
                <w:szCs w:val="20"/>
              </w:rPr>
              <w:t>Techniques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Estimates</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Implications</w:t>
            </w:r>
            <w:proofErr w:type="spellEnd"/>
            <w:r>
              <w:rPr>
                <w:rFonts w:ascii="Calibri" w:eastAsia="Calibri" w:hAnsi="Calibri" w:cs="Calibri"/>
                <w:sz w:val="20"/>
                <w:szCs w:val="20"/>
              </w:rPr>
              <w:t xml:space="preserve">, Second Edition, Victoria Transport Policy </w:t>
            </w:r>
            <w:proofErr w:type="spellStart"/>
            <w:r>
              <w:rPr>
                <w:rFonts w:ascii="Calibri" w:eastAsia="Calibri" w:hAnsi="Calibri" w:cs="Calibri"/>
                <w:sz w:val="20"/>
                <w:szCs w:val="20"/>
              </w:rPr>
              <w:t>Institute</w:t>
            </w:r>
            <w:proofErr w:type="spellEnd"/>
            <w:r>
              <w:rPr>
                <w:rFonts w:ascii="Calibri" w:eastAsia="Calibri" w:hAnsi="Calibri" w:cs="Calibri"/>
                <w:sz w:val="20"/>
                <w:szCs w:val="20"/>
              </w:rPr>
              <w:t>, Victoria, January 2009.</w:t>
            </w:r>
          </w:p>
          <w:p w14:paraId="7F84951B" w14:textId="25AB10F3"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[24]. </w:t>
            </w:r>
            <w:proofErr w:type="spellStart"/>
            <w:r>
              <w:rPr>
                <w:rFonts w:ascii="Calibri" w:eastAsia="Calibri" w:hAnsi="Calibri" w:cs="Calibri"/>
                <w:sz w:val="20"/>
                <w:szCs w:val="20"/>
              </w:rPr>
              <w:t>Merkisz</w:t>
            </w:r>
            <w:proofErr w:type="spellEnd"/>
            <w:r>
              <w:rPr>
                <w:rFonts w:ascii="Calibri" w:eastAsia="Calibri" w:hAnsi="Calibri" w:cs="Calibri"/>
                <w:sz w:val="20"/>
                <w:szCs w:val="20"/>
              </w:rPr>
              <w:t xml:space="preserve"> J., Nowak M., </w:t>
            </w:r>
            <w:proofErr w:type="spellStart"/>
            <w:r>
              <w:rPr>
                <w:rFonts w:ascii="Calibri" w:eastAsia="Calibri" w:hAnsi="Calibri" w:cs="Calibri"/>
                <w:sz w:val="20"/>
                <w:szCs w:val="20"/>
              </w:rPr>
              <w:t>Pielecha</w:t>
            </w:r>
            <w:proofErr w:type="spellEnd"/>
            <w:r>
              <w:rPr>
                <w:rFonts w:ascii="Calibri" w:eastAsia="Calibri" w:hAnsi="Calibri" w:cs="Calibri"/>
                <w:sz w:val="20"/>
                <w:szCs w:val="20"/>
              </w:rPr>
              <w:t xml:space="preserve"> J., </w:t>
            </w:r>
            <w:proofErr w:type="spellStart"/>
            <w:r>
              <w:rPr>
                <w:rFonts w:ascii="Calibri" w:eastAsia="Calibri" w:hAnsi="Calibri" w:cs="Calibri"/>
                <w:sz w:val="20"/>
                <w:szCs w:val="20"/>
              </w:rPr>
              <w:t>Fuć</w:t>
            </w:r>
            <w:proofErr w:type="spellEnd"/>
            <w:r>
              <w:rPr>
                <w:rFonts w:ascii="Calibri" w:eastAsia="Calibri" w:hAnsi="Calibri" w:cs="Calibri"/>
                <w:sz w:val="20"/>
                <w:szCs w:val="20"/>
              </w:rPr>
              <w:t xml:space="preserve"> P., </w:t>
            </w:r>
            <w:proofErr w:type="spellStart"/>
            <w:r>
              <w:rPr>
                <w:rFonts w:ascii="Calibri" w:eastAsia="Calibri" w:hAnsi="Calibri" w:cs="Calibri"/>
                <w:sz w:val="20"/>
                <w:szCs w:val="20"/>
              </w:rPr>
              <w:t>Merkisz</w:t>
            </w:r>
            <w:proofErr w:type="spellEnd"/>
            <w:r>
              <w:rPr>
                <w:rFonts w:ascii="Calibri" w:eastAsia="Calibri" w:hAnsi="Calibri" w:cs="Calibri"/>
                <w:sz w:val="20"/>
                <w:szCs w:val="20"/>
              </w:rPr>
              <w:t>-Guranowska A., Środki i infrastruktura transportu, Politechnika Warszawska, Warszawa 2013.</w:t>
            </w:r>
          </w:p>
          <w:p w14:paraId="1C59200D"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[25]. </w:t>
            </w:r>
            <w:proofErr w:type="spellStart"/>
            <w:r>
              <w:rPr>
                <w:rFonts w:ascii="Calibri" w:eastAsia="Calibri" w:hAnsi="Calibri" w:cs="Calibri"/>
                <w:sz w:val="20"/>
                <w:szCs w:val="20"/>
              </w:rPr>
              <w:t>Ortuzar</w:t>
            </w:r>
            <w:proofErr w:type="spellEnd"/>
            <w:r>
              <w:rPr>
                <w:rFonts w:ascii="Calibri" w:eastAsia="Calibri" w:hAnsi="Calibri" w:cs="Calibri"/>
                <w:sz w:val="20"/>
                <w:szCs w:val="20"/>
              </w:rPr>
              <w:t xml:space="preserve"> J. de </w:t>
            </w:r>
            <w:proofErr w:type="spellStart"/>
            <w:r>
              <w:rPr>
                <w:rFonts w:ascii="Calibri" w:eastAsia="Calibri" w:hAnsi="Calibri" w:cs="Calibri"/>
                <w:sz w:val="20"/>
                <w:szCs w:val="20"/>
              </w:rPr>
              <w:t>Dios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Willumsen</w:t>
            </w:r>
            <w:proofErr w:type="spellEnd"/>
            <w:r>
              <w:rPr>
                <w:rFonts w:ascii="Calibri" w:eastAsia="Calibri" w:hAnsi="Calibri" w:cs="Calibri"/>
                <w:sz w:val="20"/>
                <w:szCs w:val="20"/>
              </w:rPr>
              <w:t xml:space="preserve"> L.G., </w:t>
            </w:r>
            <w:proofErr w:type="spellStart"/>
            <w:r>
              <w:rPr>
                <w:rFonts w:ascii="Calibri" w:eastAsia="Calibri" w:hAnsi="Calibri" w:cs="Calibri"/>
                <w:sz w:val="20"/>
                <w:szCs w:val="20"/>
              </w:rPr>
              <w:t>Modelling</w:t>
            </w:r>
            <w:proofErr w:type="spellEnd"/>
            <w:r>
              <w:rPr>
                <w:rFonts w:ascii="Calibri" w:eastAsia="Calibri" w:hAnsi="Calibri" w:cs="Calibri"/>
                <w:sz w:val="20"/>
                <w:szCs w:val="20"/>
              </w:rPr>
              <w:t xml:space="preserve"> Transport, John </w:t>
            </w:r>
            <w:proofErr w:type="spellStart"/>
            <w:r>
              <w:rPr>
                <w:rFonts w:ascii="Calibri" w:eastAsia="Calibri" w:hAnsi="Calibri" w:cs="Calibri"/>
                <w:sz w:val="20"/>
                <w:szCs w:val="20"/>
              </w:rPr>
              <w:t>Wiley</w:t>
            </w:r>
            <w:proofErr w:type="spellEnd"/>
            <w:r>
              <w:rPr>
                <w:rFonts w:ascii="Calibri" w:eastAsia="Calibri" w:hAnsi="Calibri" w:cs="Calibri"/>
                <w:sz w:val="20"/>
                <w:szCs w:val="20"/>
              </w:rPr>
              <w:t xml:space="preserve"> &amp; Sons </w:t>
            </w:r>
            <w:proofErr w:type="spellStart"/>
            <w:r>
              <w:rPr>
                <w:rFonts w:ascii="Calibri" w:eastAsia="Calibri" w:hAnsi="Calibri" w:cs="Calibri"/>
                <w:sz w:val="20"/>
                <w:szCs w:val="20"/>
              </w:rPr>
              <w:t>Ltd</w:t>
            </w:r>
            <w:proofErr w:type="spellEnd"/>
            <w:r>
              <w:rPr>
                <w:rFonts w:ascii="Calibri" w:eastAsia="Calibri" w:hAnsi="Calibri" w:cs="Calibri"/>
                <w:sz w:val="20"/>
                <w:szCs w:val="20"/>
              </w:rPr>
              <w:t>, Chichester 2001.</w:t>
            </w:r>
          </w:p>
          <w:p w14:paraId="222F5449" w14:textId="572DD4C2"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[26]. Rozporządzenie Ministra Transportu i Gospodarki Morskiej z dnia 2 marca 1999r. w sprawie warunków technicznych, jakim powinny odpowiadać drogi publiczne i ich usytuowanie (Dz. U. z 1999r., Nr 43, poz. 430).</w:t>
            </w:r>
          </w:p>
          <w:p w14:paraId="0CC14BE4"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[27]. Sartori D., Catalano G., Genco M., </w:t>
            </w:r>
            <w:proofErr w:type="spellStart"/>
            <w:r w:rsidRPr="0045151D">
              <w:rPr>
                <w:rFonts w:ascii="Calibri" w:eastAsia="Calibri" w:hAnsi="Calibri" w:cs="Calibri"/>
                <w:sz w:val="20"/>
                <w:szCs w:val="20"/>
                <w:lang w:val="en-GB"/>
              </w:rPr>
              <w:t>Pancotti</w:t>
            </w:r>
            <w:proofErr w:type="spellEnd"/>
            <w:r w:rsidRPr="0045151D">
              <w:rPr>
                <w:rFonts w:ascii="Calibri" w:eastAsia="Calibri" w:hAnsi="Calibri" w:cs="Calibri"/>
                <w:sz w:val="20"/>
                <w:szCs w:val="20"/>
                <w:lang w:val="en-GB"/>
              </w:rPr>
              <w:t xml:space="preserve"> C., </w:t>
            </w:r>
            <w:proofErr w:type="spellStart"/>
            <w:r w:rsidRPr="0045151D">
              <w:rPr>
                <w:rFonts w:ascii="Calibri" w:eastAsia="Calibri" w:hAnsi="Calibri" w:cs="Calibri"/>
                <w:sz w:val="20"/>
                <w:szCs w:val="20"/>
                <w:lang w:val="en-GB"/>
              </w:rPr>
              <w:t>Sirtori</w:t>
            </w:r>
            <w:proofErr w:type="spellEnd"/>
            <w:r w:rsidRPr="0045151D">
              <w:rPr>
                <w:rFonts w:ascii="Calibri" w:eastAsia="Calibri" w:hAnsi="Calibri" w:cs="Calibri"/>
                <w:sz w:val="20"/>
                <w:szCs w:val="20"/>
                <w:lang w:val="en-GB"/>
              </w:rPr>
              <w:t xml:space="preserve"> E., </w:t>
            </w:r>
            <w:proofErr w:type="spellStart"/>
            <w:r w:rsidRPr="0045151D">
              <w:rPr>
                <w:rFonts w:ascii="Calibri" w:eastAsia="Calibri" w:hAnsi="Calibri" w:cs="Calibri"/>
                <w:sz w:val="20"/>
                <w:szCs w:val="20"/>
                <w:lang w:val="en-GB"/>
              </w:rPr>
              <w:t>Vignetti</w:t>
            </w:r>
            <w:proofErr w:type="spellEnd"/>
            <w:r w:rsidRPr="0045151D">
              <w:rPr>
                <w:rFonts w:ascii="Calibri" w:eastAsia="Calibri" w:hAnsi="Calibri" w:cs="Calibri"/>
                <w:sz w:val="20"/>
                <w:szCs w:val="20"/>
                <w:lang w:val="en-GB"/>
              </w:rPr>
              <w:t xml:space="preserve"> s., Del Bo C., Guide to Cost-benefit Analysis of Investment Projects – Economic appraisal tool for Cohesion Policy 2014-2020, European Commission DG Regio, Brussels </w:t>
            </w:r>
            <w:proofErr w:type="spellStart"/>
            <w:r w:rsidRPr="0045151D">
              <w:rPr>
                <w:rFonts w:ascii="Calibri" w:eastAsia="Calibri" w:hAnsi="Calibri" w:cs="Calibri"/>
                <w:sz w:val="20"/>
                <w:szCs w:val="20"/>
                <w:lang w:val="en-GB"/>
              </w:rPr>
              <w:t>Grudzien</w:t>
            </w:r>
            <w:proofErr w:type="spellEnd"/>
            <w:r w:rsidRPr="0045151D">
              <w:rPr>
                <w:rFonts w:ascii="Calibri" w:eastAsia="Calibri" w:hAnsi="Calibri" w:cs="Calibri"/>
                <w:sz w:val="20"/>
                <w:szCs w:val="20"/>
                <w:lang w:val="en-GB"/>
              </w:rPr>
              <w:t xml:space="preserve"> 2014.</w:t>
            </w:r>
          </w:p>
          <w:p w14:paraId="6E89155C"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[28]. Supernak J., Modele powstawania miejskiego ruchu osobowego, </w:t>
            </w:r>
            <w:proofErr w:type="spellStart"/>
            <w:r>
              <w:rPr>
                <w:rFonts w:ascii="Calibri" w:eastAsia="Calibri" w:hAnsi="Calibri" w:cs="Calibri"/>
                <w:sz w:val="20"/>
                <w:szCs w:val="20"/>
              </w:rPr>
              <w:t>WKiŁ</w:t>
            </w:r>
            <w:proofErr w:type="spellEnd"/>
            <w:r>
              <w:rPr>
                <w:rFonts w:ascii="Calibri" w:eastAsia="Calibri" w:hAnsi="Calibri" w:cs="Calibri"/>
                <w:sz w:val="20"/>
                <w:szCs w:val="20"/>
              </w:rPr>
              <w:t>, Warszawa 1980.</w:t>
            </w:r>
          </w:p>
          <w:p w14:paraId="1C0558B8" w14:textId="5BB2CAB9"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w:t>
            </w:r>
            <w:r w:rsidR="00B67038">
              <w:rPr>
                <w:rFonts w:ascii="Calibri" w:eastAsia="Calibri" w:hAnsi="Calibri" w:cs="Calibri"/>
                <w:sz w:val="20"/>
                <w:szCs w:val="20"/>
                <w:lang w:val="en-GB"/>
              </w:rPr>
              <w:t>29</w:t>
            </w:r>
            <w:r w:rsidRPr="0045151D">
              <w:rPr>
                <w:rFonts w:ascii="Calibri" w:eastAsia="Calibri" w:hAnsi="Calibri" w:cs="Calibri"/>
                <w:sz w:val="20"/>
                <w:szCs w:val="20"/>
                <w:lang w:val="en-GB"/>
              </w:rPr>
              <w:t>]. United Nations, Economic Commission for Europe, Cost Benefit Analysis of Transport Infrastructure Projects. A set of guidelines for socio-economic cost benefit analysis of transport infrastructure project appraisal, New York – Geneva 2003.</w:t>
            </w:r>
          </w:p>
          <w:p w14:paraId="14294CB5" w14:textId="4030D0CF"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[30</w:t>
            </w:r>
            <w:r w:rsidR="00641FB5">
              <w:rPr>
                <w:rFonts w:ascii="Calibri" w:eastAsia="Calibri" w:hAnsi="Calibri" w:cs="Calibri"/>
                <w:sz w:val="20"/>
                <w:szCs w:val="20"/>
              </w:rPr>
              <w:t>]. Zeszyty Naukowo-Techniczne Stowarzyszenia Inżynierów i Techników Komunikacji Rzeczpospolitej Polskiej Oddział w Krakowie, Modelowanie podróży i prognozowanie ruchu, materiały konferencyjne nr 1(103)/2014.</w:t>
            </w:r>
          </w:p>
          <w:p w14:paraId="0F7088A2" w14:textId="13352183"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[31</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 xml:space="preserve">G. </w:t>
            </w:r>
            <w:proofErr w:type="spellStart"/>
            <w:r w:rsidR="00641FB5" w:rsidRPr="0045151D">
              <w:rPr>
                <w:rFonts w:ascii="Calibri" w:eastAsia="Calibri" w:hAnsi="Calibri" w:cs="Calibri"/>
                <w:sz w:val="20"/>
                <w:szCs w:val="20"/>
                <w:lang w:val="en-GB"/>
              </w:rPr>
              <w:t>Mellios</w:t>
            </w:r>
            <w:proofErr w:type="spellEnd"/>
            <w:r w:rsidR="00641FB5" w:rsidRPr="0045151D">
              <w:rPr>
                <w:rFonts w:ascii="Calibri" w:eastAsia="Calibri" w:hAnsi="Calibri" w:cs="Calibri"/>
                <w:sz w:val="20"/>
                <w:szCs w:val="20"/>
                <w:lang w:val="en-GB"/>
              </w:rPr>
              <w:t xml:space="preserve">, S. </w:t>
            </w:r>
            <w:proofErr w:type="spellStart"/>
            <w:r w:rsidR="00641FB5" w:rsidRPr="0045151D">
              <w:rPr>
                <w:rFonts w:ascii="Calibri" w:eastAsia="Calibri" w:hAnsi="Calibri" w:cs="Calibri"/>
                <w:sz w:val="20"/>
                <w:szCs w:val="20"/>
                <w:lang w:val="en-GB"/>
              </w:rPr>
              <w:t>Hausberger</w:t>
            </w:r>
            <w:proofErr w:type="spellEnd"/>
            <w:r w:rsidR="00641FB5" w:rsidRPr="0045151D">
              <w:rPr>
                <w:rFonts w:ascii="Calibri" w:eastAsia="Calibri" w:hAnsi="Calibri" w:cs="Calibri"/>
                <w:sz w:val="20"/>
                <w:szCs w:val="20"/>
                <w:lang w:val="en-GB"/>
              </w:rPr>
              <w:t xml:space="preserve">, M. Keller, C. Samaras, L. </w:t>
            </w:r>
            <w:proofErr w:type="spellStart"/>
            <w:r w:rsidR="00641FB5" w:rsidRPr="0045151D">
              <w:rPr>
                <w:rFonts w:ascii="Calibri" w:eastAsia="Calibri" w:hAnsi="Calibri" w:cs="Calibri"/>
                <w:sz w:val="20"/>
                <w:szCs w:val="20"/>
                <w:lang w:val="en-GB"/>
              </w:rPr>
              <w:t>Ntziachristos</w:t>
            </w:r>
            <w:proofErr w:type="spellEnd"/>
            <w:r w:rsidR="00641FB5" w:rsidRPr="0045151D">
              <w:rPr>
                <w:rFonts w:ascii="Calibri" w:eastAsia="Calibri" w:hAnsi="Calibri" w:cs="Calibri"/>
                <w:sz w:val="20"/>
                <w:szCs w:val="20"/>
                <w:lang w:val="en-GB"/>
              </w:rPr>
              <w:t>, Parameterisation of fuel consumption and CO2 emissions of passenger cars and light commercial vehicles for modelling purposes, JRC 2011</w:t>
            </w:r>
          </w:p>
          <w:p w14:paraId="6B367043" w14:textId="04EE7542"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[32</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CAKE (Centrum Analiz Klimatyczno-Energetycznych), Ścieżki redukcji emisji CO2 w sektorze transportu w Polsce w kontekście „Europejskiego Zielonego Ładu”, 2020</w:t>
            </w:r>
          </w:p>
          <w:p w14:paraId="227DAA23" w14:textId="4421BF0A"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lastRenderedPageBreak/>
              <w:t>[33</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ITS, Prognozy eksperckie zmian aktywności sektora transportu drogowego (w kontekście ustawy o systemie zarządzania emisjami gazów cieplarnianych i innych substancji), 2017</w:t>
            </w:r>
          </w:p>
          <w:p w14:paraId="49F4B47D" w14:textId="6ECC0FDB"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[34</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OECD/ITF, Optimisation of Maintenance, 2012</w:t>
            </w:r>
          </w:p>
          <w:p w14:paraId="4BBD0CF4" w14:textId="1DB58B79"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[35</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EMEP/EEA air pollutant emission inventory guidebook, 2019, 1.A.3.b.i-iv Road Transport Appendix 4 Emission Factors 2019 (Sept. 2020).</w:t>
            </w:r>
          </w:p>
          <w:p w14:paraId="2EA6DBE9" w14:textId="78888780"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[36</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 xml:space="preserve">GUS, Transport – </w:t>
            </w:r>
            <w:proofErr w:type="spellStart"/>
            <w:r w:rsidR="00641FB5" w:rsidRPr="0045151D">
              <w:rPr>
                <w:rFonts w:ascii="Calibri" w:eastAsia="Calibri" w:hAnsi="Calibri" w:cs="Calibri"/>
                <w:sz w:val="20"/>
                <w:szCs w:val="20"/>
                <w:lang w:val="en-GB"/>
              </w:rPr>
              <w:t>wyniki</w:t>
            </w:r>
            <w:proofErr w:type="spellEnd"/>
            <w:r w:rsidR="00641FB5" w:rsidRPr="0045151D">
              <w:rPr>
                <w:rFonts w:ascii="Calibri" w:eastAsia="Calibri" w:hAnsi="Calibri" w:cs="Calibri"/>
                <w:sz w:val="20"/>
                <w:szCs w:val="20"/>
                <w:lang w:val="en-GB"/>
              </w:rPr>
              <w:t xml:space="preserve"> </w:t>
            </w:r>
            <w:proofErr w:type="spellStart"/>
            <w:r w:rsidR="00641FB5" w:rsidRPr="0045151D">
              <w:rPr>
                <w:rFonts w:ascii="Calibri" w:eastAsia="Calibri" w:hAnsi="Calibri" w:cs="Calibri"/>
                <w:sz w:val="20"/>
                <w:szCs w:val="20"/>
                <w:lang w:val="en-GB"/>
              </w:rPr>
              <w:t>działalności</w:t>
            </w:r>
            <w:proofErr w:type="spellEnd"/>
            <w:r w:rsidR="00641FB5" w:rsidRPr="0045151D">
              <w:rPr>
                <w:rFonts w:ascii="Calibri" w:eastAsia="Calibri" w:hAnsi="Calibri" w:cs="Calibri"/>
                <w:sz w:val="20"/>
                <w:szCs w:val="20"/>
                <w:lang w:val="en-GB"/>
              </w:rPr>
              <w:t xml:space="preserve"> w 2019 r. Transport – activity results in 2019, 2020</w:t>
            </w:r>
          </w:p>
          <w:p w14:paraId="46BE7F2D" w14:textId="010307F7"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[37</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GUS, Roczne wskaźniki makroekonomiczne, aktualizacja 2021.</w:t>
            </w:r>
          </w:p>
          <w:p w14:paraId="1521CDFF" w14:textId="388DCD6C"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[38</w:t>
            </w:r>
            <w:r w:rsidR="00641FB5" w:rsidRPr="0045151D">
              <w:rPr>
                <w:rFonts w:ascii="Calibri" w:eastAsia="Calibri" w:hAnsi="Calibri" w:cs="Calibri"/>
                <w:sz w:val="20"/>
                <w:szCs w:val="20"/>
                <w:lang w:val="en-GB"/>
              </w:rPr>
              <w:t xml:space="preserve">]. European </w:t>
            </w:r>
            <w:proofErr w:type="spellStart"/>
            <w:r w:rsidR="00641FB5" w:rsidRPr="0045151D">
              <w:rPr>
                <w:rFonts w:ascii="Calibri" w:eastAsia="Calibri" w:hAnsi="Calibri" w:cs="Calibri"/>
                <w:sz w:val="20"/>
                <w:szCs w:val="20"/>
                <w:lang w:val="en-GB"/>
              </w:rPr>
              <w:t>Comission</w:t>
            </w:r>
            <w:proofErr w:type="spellEnd"/>
            <w:r w:rsidR="00641FB5" w:rsidRPr="0045151D">
              <w:rPr>
                <w:rFonts w:ascii="Calibri" w:eastAsia="Calibri" w:hAnsi="Calibri" w:cs="Calibri"/>
                <w:sz w:val="20"/>
                <w:szCs w:val="20"/>
                <w:lang w:val="en-GB"/>
              </w:rPr>
              <w:t xml:space="preserve">, Economic Appraisal </w:t>
            </w:r>
            <w:proofErr w:type="spellStart"/>
            <w:r w:rsidR="00641FB5" w:rsidRPr="0045151D">
              <w:rPr>
                <w:rFonts w:ascii="Calibri" w:eastAsia="Calibri" w:hAnsi="Calibri" w:cs="Calibri"/>
                <w:sz w:val="20"/>
                <w:szCs w:val="20"/>
                <w:lang w:val="en-GB"/>
              </w:rPr>
              <w:t>Vademecum</w:t>
            </w:r>
            <w:proofErr w:type="spellEnd"/>
            <w:r w:rsidR="00641FB5" w:rsidRPr="0045151D">
              <w:rPr>
                <w:rFonts w:ascii="Calibri" w:eastAsia="Calibri" w:hAnsi="Calibri" w:cs="Calibri"/>
                <w:sz w:val="20"/>
                <w:szCs w:val="20"/>
                <w:lang w:val="en-GB"/>
              </w:rPr>
              <w:t xml:space="preserve"> 2021-2027 - General Principles and Sector Applications, 2021</w:t>
            </w:r>
          </w:p>
          <w:p w14:paraId="4CE871A6" w14:textId="4B8C6A3E"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[39</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ECB, EUR/PLN średnioroczne kursy walut.</w:t>
            </w:r>
          </w:p>
        </w:tc>
        <w:tc>
          <w:tcPr>
            <w:tcW w:w="7201" w:type="dxa"/>
            <w:tcBorders>
              <w:left w:val="single" w:sz="4" w:space="0" w:color="000000"/>
            </w:tcBorders>
            <w:tcMar>
              <w:left w:w="284" w:type="dxa"/>
              <w:right w:w="284" w:type="dxa"/>
            </w:tcMar>
          </w:tcPr>
          <w:p w14:paraId="0C5CC81F"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[1]. Belli P. et al., Economic Analysis of Investment Operations. Analytical Tools and Practical Applications, The World Bank, Washington, D.C. 2001.</w:t>
            </w:r>
          </w:p>
          <w:p w14:paraId="5E76066E"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[2]. Belli P., Handbook on Economic Analysis of Investment Operations, The World Bank, Washington, D.C. 1998.</w:t>
            </w:r>
          </w:p>
          <w:p w14:paraId="70E19A8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[3]. Datka S., </w:t>
            </w:r>
            <w:proofErr w:type="spellStart"/>
            <w:r>
              <w:rPr>
                <w:rFonts w:ascii="Calibri" w:eastAsia="Calibri" w:hAnsi="Calibri" w:cs="Calibri"/>
                <w:sz w:val="20"/>
                <w:szCs w:val="20"/>
              </w:rPr>
              <w:t>Suchorzewski</w:t>
            </w:r>
            <w:proofErr w:type="spellEnd"/>
            <w:r>
              <w:rPr>
                <w:rFonts w:ascii="Calibri" w:eastAsia="Calibri" w:hAnsi="Calibri" w:cs="Calibri"/>
                <w:sz w:val="20"/>
                <w:szCs w:val="20"/>
              </w:rPr>
              <w:t xml:space="preserve"> W., Tracz M., Inżynieria ruchu, </w:t>
            </w:r>
            <w:proofErr w:type="spellStart"/>
            <w:r>
              <w:rPr>
                <w:rFonts w:ascii="Calibri" w:eastAsia="Calibri" w:hAnsi="Calibri" w:cs="Calibri"/>
                <w:sz w:val="20"/>
                <w:szCs w:val="20"/>
              </w:rPr>
              <w:t>WKiŁ</w:t>
            </w:r>
            <w:proofErr w:type="spellEnd"/>
            <w:r>
              <w:rPr>
                <w:rFonts w:ascii="Calibri" w:eastAsia="Calibri" w:hAnsi="Calibri" w:cs="Calibri"/>
                <w:sz w:val="20"/>
                <w:szCs w:val="20"/>
              </w:rPr>
              <w:t>, Warszawa 1997.</w:t>
            </w:r>
          </w:p>
          <w:p w14:paraId="19F119F6" w14:textId="3528DFE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[4]. European Commission, External Costs of Transport, Externalities of Energy, Vol. 9: Fuel Cycles for Emerging and End-Use Technologies, Tran</w:t>
            </w:r>
            <w:r w:rsidR="00B95FB9">
              <w:rPr>
                <w:rFonts w:ascii="Calibri" w:eastAsia="Calibri" w:hAnsi="Calibri" w:cs="Calibri"/>
                <w:sz w:val="20"/>
                <w:szCs w:val="20"/>
                <w:lang w:val="en-GB"/>
              </w:rPr>
              <w:t xml:space="preserve">sport and Waste, </w:t>
            </w:r>
            <w:r w:rsidRPr="0045151D">
              <w:rPr>
                <w:rFonts w:ascii="Calibri" w:eastAsia="Calibri" w:hAnsi="Calibri" w:cs="Calibri"/>
                <w:sz w:val="20"/>
                <w:szCs w:val="20"/>
                <w:lang w:val="en-GB"/>
              </w:rPr>
              <w:t>Brussels 1999.</w:t>
            </w:r>
          </w:p>
          <w:p w14:paraId="517DB6C7"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[5]. European Commission, Guidance on Ex ante Conditionalities for the European Structural and Investment Funds PART II, 13 February 2013.</w:t>
            </w:r>
          </w:p>
          <w:p w14:paraId="5ED9C3E9"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[6]. European Investment Bank, Guide to Economic Appraisal of Investment Projects, Projects Directorate, Luxembourg 2012.</w:t>
            </w:r>
          </w:p>
          <w:p w14:paraId="633DB6C1"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[7]. European Investment Bank, EIB Project Carbon Footprint Methodologies, Methodologies for the Assessment of Project GHG Emissions and Emission Variations July 2020.</w:t>
            </w:r>
          </w:p>
          <w:p w14:paraId="519906A5"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[8]. Eurostat data, Gross domestic product, as percentage of EU28 per capita in purchasing power standards, current prices 2021; Electricity prices components for non-household consumers, prices net of taxes 2021. . </w:t>
            </w:r>
          </w:p>
          <w:p w14:paraId="76A0BD6E"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[9]. Florio M., </w:t>
            </w:r>
            <w:proofErr w:type="spellStart"/>
            <w:r w:rsidRPr="0045151D">
              <w:rPr>
                <w:rFonts w:ascii="Calibri" w:eastAsia="Calibri" w:hAnsi="Calibri" w:cs="Calibri"/>
                <w:sz w:val="20"/>
                <w:szCs w:val="20"/>
                <w:lang w:val="en-GB"/>
              </w:rPr>
              <w:t>Vignetti</w:t>
            </w:r>
            <w:proofErr w:type="spellEnd"/>
            <w:r w:rsidRPr="0045151D">
              <w:rPr>
                <w:rFonts w:ascii="Calibri" w:eastAsia="Calibri" w:hAnsi="Calibri" w:cs="Calibri"/>
                <w:sz w:val="20"/>
                <w:szCs w:val="20"/>
                <w:lang w:val="en-GB"/>
              </w:rPr>
              <w:t xml:space="preserve"> S., Cost-benefit analysis of infrastructure projects in an enlarged European Union: an incentive-oriented approach, </w:t>
            </w:r>
            <w:proofErr w:type="spellStart"/>
            <w:r w:rsidRPr="0045151D">
              <w:rPr>
                <w:rFonts w:ascii="Calibri" w:eastAsia="Calibri" w:hAnsi="Calibri" w:cs="Calibri"/>
                <w:sz w:val="20"/>
                <w:szCs w:val="20"/>
                <w:lang w:val="en-GB"/>
              </w:rPr>
              <w:t>Università</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degli</w:t>
            </w:r>
            <w:proofErr w:type="spellEnd"/>
            <w:r w:rsidRPr="0045151D">
              <w:rPr>
                <w:rFonts w:ascii="Calibri" w:eastAsia="Calibri" w:hAnsi="Calibri" w:cs="Calibri"/>
                <w:sz w:val="20"/>
                <w:szCs w:val="20"/>
                <w:lang w:val="en-GB"/>
              </w:rPr>
              <w:t xml:space="preserve"> </w:t>
            </w:r>
            <w:proofErr w:type="spellStart"/>
            <w:r w:rsidRPr="0045151D">
              <w:rPr>
                <w:rFonts w:ascii="Calibri" w:eastAsia="Calibri" w:hAnsi="Calibri" w:cs="Calibri"/>
                <w:sz w:val="20"/>
                <w:szCs w:val="20"/>
                <w:lang w:val="en-GB"/>
              </w:rPr>
              <w:t>Studi</w:t>
            </w:r>
            <w:proofErr w:type="spellEnd"/>
            <w:r w:rsidRPr="0045151D">
              <w:rPr>
                <w:rFonts w:ascii="Calibri" w:eastAsia="Calibri" w:hAnsi="Calibri" w:cs="Calibri"/>
                <w:sz w:val="20"/>
                <w:szCs w:val="20"/>
                <w:lang w:val="en-GB"/>
              </w:rPr>
              <w:t xml:space="preserve"> di Milano, May 2003.</w:t>
            </w:r>
          </w:p>
          <w:p w14:paraId="0F902ED5"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[10]. GDDKiA, Instrukcja obliczania przepustowości dróg i </w:t>
            </w:r>
            <w:proofErr w:type="spellStart"/>
            <w:r>
              <w:rPr>
                <w:rFonts w:ascii="Calibri" w:eastAsia="Calibri" w:hAnsi="Calibri" w:cs="Calibri"/>
                <w:sz w:val="20"/>
                <w:szCs w:val="20"/>
              </w:rPr>
              <w:t>i</w:t>
            </w:r>
            <w:proofErr w:type="spellEnd"/>
            <w:r>
              <w:rPr>
                <w:rFonts w:ascii="Calibri" w:eastAsia="Calibri" w:hAnsi="Calibri" w:cs="Calibri"/>
                <w:sz w:val="20"/>
                <w:szCs w:val="20"/>
              </w:rPr>
              <w:t xml:space="preserve"> II klasy technicznej – Załącznik do zarządzenia Nr 6/95 Generalnego Dyrektora Dróg publicznych z dnia 31 marca 1995, Warszawa 1995.</w:t>
            </w:r>
          </w:p>
          <w:p w14:paraId="29615D4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lastRenderedPageBreak/>
              <w:t>[11]. GDDKiA, Metoda obliczania przepustowości rond – Instrukcja obliczania – Zarządzenie Nr 20 Generalnego Dyrektora Dróg Krajowych i Autostrad z dnia 23.07.2004r., Warszawa 2004.</w:t>
            </w:r>
          </w:p>
          <w:p w14:paraId="174318C0" w14:textId="694C5B5A"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[12]. GDDKiA, Metoda obliczania przepustowości skrzyżowań bez sygnalizacji świetlnej – Instrukcja obliczania – Zarządzenie Nr 20 Generalnego Dyrektora Dróg Krajowych i Autostrad z dnia 23.07.2004r., Warszawa 2004. </w:t>
            </w:r>
          </w:p>
          <w:p w14:paraId="04192F95"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[13]. GDDKiA, Metoda obliczania przepustowości skrzyżowań z sygnalizacją świetlną – Instrukcja obliczania – Zarządzenie Nr 20 Generalnego Dyrektora Dróg Krajowych i Autostrad z dnia 23.07.2004r., Warszawa 2004.</w:t>
            </w:r>
          </w:p>
          <w:p w14:paraId="55431296"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[14].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Guidelines for the organization and realisation of the General Traffic Measurement in 2010 on national roads, Warsaw 2009.</w:t>
            </w:r>
          </w:p>
          <w:p w14:paraId="092CEBD2" w14:textId="2DA26820"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[15]. HEATCO – Developing Harmonised European Approaches for Transport Costing and Project Assessment, University of Stuttgart, Stuttgart 2006.</w:t>
            </w:r>
          </w:p>
          <w:p w14:paraId="1B5F9D46" w14:textId="6DBD88B8" w:rsidR="00600DEE" w:rsidRPr="0045151D" w:rsidRDefault="00B95FB9">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 xml:space="preserve">[16]. </w:t>
            </w:r>
            <w:proofErr w:type="spellStart"/>
            <w:r w:rsidR="00641FB5" w:rsidRPr="0045151D">
              <w:rPr>
                <w:rFonts w:ascii="Calibri" w:eastAsia="Calibri" w:hAnsi="Calibri" w:cs="Calibri"/>
                <w:sz w:val="20"/>
                <w:szCs w:val="20"/>
                <w:lang w:val="en-GB"/>
              </w:rPr>
              <w:t>GDDKiA</w:t>
            </w:r>
            <w:proofErr w:type="spellEnd"/>
            <w:r w:rsidR="00641FB5" w:rsidRPr="0045151D">
              <w:rPr>
                <w:rFonts w:ascii="Calibri" w:eastAsia="Calibri" w:hAnsi="Calibri" w:cs="Calibri"/>
                <w:sz w:val="20"/>
                <w:szCs w:val="20"/>
                <w:lang w:val="en-GB"/>
              </w:rPr>
              <w:t xml:space="preserve"> internal CBA instruction (published in 2021) substituting </w:t>
            </w:r>
            <w:proofErr w:type="spellStart"/>
            <w:r w:rsidR="00641FB5" w:rsidRPr="0045151D">
              <w:rPr>
                <w:rFonts w:ascii="Calibri" w:eastAsia="Calibri" w:hAnsi="Calibri" w:cs="Calibri"/>
                <w:sz w:val="20"/>
                <w:szCs w:val="20"/>
                <w:lang w:val="en-GB"/>
              </w:rPr>
              <w:t>IBDiM</w:t>
            </w:r>
            <w:proofErr w:type="spellEnd"/>
            <w:r w:rsidR="00641FB5" w:rsidRPr="0045151D">
              <w:rPr>
                <w:rFonts w:ascii="Calibri" w:eastAsia="Calibri" w:hAnsi="Calibri" w:cs="Calibri"/>
                <w:sz w:val="20"/>
                <w:szCs w:val="20"/>
                <w:lang w:val="en-GB"/>
              </w:rPr>
              <w:t xml:space="preserve"> instruction dated 2008.</w:t>
            </w:r>
          </w:p>
          <w:p w14:paraId="3E2152EF" w14:textId="2E795E95"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[17]. JASPERS, The Use of Transport Models in Transport Planning and Project Appraisal, February 2014.</w:t>
            </w:r>
          </w:p>
          <w:p w14:paraId="1F775FC3"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[18]. Jamroz K., Budzyński M., Gaca S., </w:t>
            </w:r>
            <w:proofErr w:type="spellStart"/>
            <w:r>
              <w:rPr>
                <w:rFonts w:ascii="Calibri" w:eastAsia="Calibri" w:hAnsi="Calibri" w:cs="Calibri"/>
                <w:sz w:val="20"/>
                <w:szCs w:val="20"/>
              </w:rPr>
              <w:t>Kieć</w:t>
            </w:r>
            <w:proofErr w:type="spellEnd"/>
            <w:r>
              <w:rPr>
                <w:rFonts w:ascii="Calibri" w:eastAsia="Calibri" w:hAnsi="Calibri" w:cs="Calibri"/>
                <w:sz w:val="20"/>
                <w:szCs w:val="20"/>
              </w:rPr>
              <w:t xml:space="preserve"> M., Michalski L., Kustra W., Gumińska L., Praca badawcza wykonana na zlecenie GDDKiA, Metoda Prognozowania Wskaźników BRD dla potrzeb analiz efektywności ekonomicznej inwestycji realizowanych na drogach krajowych w Polsce, Gdańsk </w:t>
            </w:r>
            <w:proofErr w:type="spellStart"/>
            <w:r>
              <w:rPr>
                <w:rFonts w:ascii="Calibri" w:eastAsia="Calibri" w:hAnsi="Calibri" w:cs="Calibri"/>
                <w:sz w:val="20"/>
                <w:szCs w:val="20"/>
              </w:rPr>
              <w:t>April</w:t>
            </w:r>
            <w:proofErr w:type="spellEnd"/>
            <w:r>
              <w:rPr>
                <w:rFonts w:ascii="Calibri" w:eastAsia="Calibri" w:hAnsi="Calibri" w:cs="Calibri"/>
                <w:sz w:val="20"/>
                <w:szCs w:val="20"/>
              </w:rPr>
              <w:t xml:space="preserve"> 2012.  </w:t>
            </w:r>
          </w:p>
          <w:p w14:paraId="41A17383"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[19].  "Wycena kosztów wypadków i kolizji drogowych na sieci dróg w Polsce na koniec roku 2018, z wyodrębnieniem średnich kosztów społeczno-ekonomicznych wypadków na transeuropejskiej sieci transportowej", Krajowa Rada Bezpieczeństwa Ruchu Drogowego, grudzień 2019.</w:t>
            </w:r>
          </w:p>
          <w:p w14:paraId="69D940DA"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[20].  "Stan bezpieczeństwa ruchu drogowego oraz działania realizowane w tym zakresie w 2019 r.", Krajowa Rada Bezpieczeństwa Ruchu Drogowego, sierpień 2020.</w:t>
            </w:r>
          </w:p>
          <w:p w14:paraId="4E99EA59" w14:textId="77777777" w:rsidR="00600DEE" w:rsidRPr="007463B9" w:rsidRDefault="00641FB5">
            <w:pPr>
              <w:spacing w:after="120"/>
              <w:ind w:right="170"/>
              <w:jc w:val="both"/>
              <w:rPr>
                <w:rFonts w:ascii="Calibri" w:eastAsia="Calibri" w:hAnsi="Calibri" w:cs="Calibri"/>
                <w:sz w:val="20"/>
                <w:szCs w:val="20"/>
                <w:lang w:val="en-GB"/>
              </w:rPr>
            </w:pPr>
            <w:r w:rsidRPr="007463B9">
              <w:rPr>
                <w:rFonts w:ascii="Calibri" w:eastAsia="Calibri" w:hAnsi="Calibri" w:cs="Calibri"/>
                <w:sz w:val="20"/>
                <w:szCs w:val="20"/>
                <w:lang w:val="en-GB"/>
              </w:rPr>
              <w:t xml:space="preserve">[21]. Van Essen H., van </w:t>
            </w:r>
            <w:proofErr w:type="spellStart"/>
            <w:r w:rsidRPr="007463B9">
              <w:rPr>
                <w:rFonts w:ascii="Calibri" w:eastAsia="Calibri" w:hAnsi="Calibri" w:cs="Calibri"/>
                <w:sz w:val="20"/>
                <w:szCs w:val="20"/>
                <w:lang w:val="en-GB"/>
              </w:rPr>
              <w:t>Wijngaarden</w:t>
            </w:r>
            <w:proofErr w:type="spellEnd"/>
            <w:r w:rsidRPr="007463B9">
              <w:rPr>
                <w:rFonts w:ascii="Calibri" w:eastAsia="Calibri" w:hAnsi="Calibri" w:cs="Calibri"/>
                <w:sz w:val="20"/>
                <w:szCs w:val="20"/>
                <w:lang w:val="en-GB"/>
              </w:rPr>
              <w:t xml:space="preserve"> L., </w:t>
            </w:r>
            <w:proofErr w:type="spellStart"/>
            <w:r w:rsidRPr="007463B9">
              <w:rPr>
                <w:rFonts w:ascii="Calibri" w:eastAsia="Calibri" w:hAnsi="Calibri" w:cs="Calibri"/>
                <w:sz w:val="20"/>
                <w:szCs w:val="20"/>
                <w:lang w:val="en-GB"/>
              </w:rPr>
              <w:t>Schroten</w:t>
            </w:r>
            <w:proofErr w:type="spellEnd"/>
            <w:r w:rsidRPr="007463B9">
              <w:rPr>
                <w:rFonts w:ascii="Calibri" w:eastAsia="Calibri" w:hAnsi="Calibri" w:cs="Calibri"/>
                <w:sz w:val="20"/>
                <w:szCs w:val="20"/>
                <w:lang w:val="en-GB"/>
              </w:rPr>
              <w:t xml:space="preserve"> A., Sutter D., Bieler C., </w:t>
            </w:r>
            <w:proofErr w:type="spellStart"/>
            <w:r w:rsidRPr="007463B9">
              <w:rPr>
                <w:rFonts w:ascii="Calibri" w:eastAsia="Calibri" w:hAnsi="Calibri" w:cs="Calibri"/>
                <w:sz w:val="20"/>
                <w:szCs w:val="20"/>
                <w:lang w:val="en-GB"/>
              </w:rPr>
              <w:t>Maffii</w:t>
            </w:r>
            <w:proofErr w:type="spellEnd"/>
            <w:r w:rsidRPr="007463B9">
              <w:rPr>
                <w:rFonts w:ascii="Calibri" w:eastAsia="Calibri" w:hAnsi="Calibri" w:cs="Calibri"/>
                <w:sz w:val="20"/>
                <w:szCs w:val="20"/>
                <w:lang w:val="en-GB"/>
              </w:rPr>
              <w:t xml:space="preserve"> S., Brambilla M., Fiorello D., Fermi F., Parolin R., El </w:t>
            </w:r>
            <w:proofErr w:type="spellStart"/>
            <w:r w:rsidRPr="007463B9">
              <w:rPr>
                <w:rFonts w:ascii="Calibri" w:eastAsia="Calibri" w:hAnsi="Calibri" w:cs="Calibri"/>
                <w:sz w:val="20"/>
                <w:szCs w:val="20"/>
                <w:lang w:val="en-GB"/>
              </w:rPr>
              <w:t>Beyrouty</w:t>
            </w:r>
            <w:proofErr w:type="spellEnd"/>
            <w:r w:rsidRPr="007463B9">
              <w:rPr>
                <w:rFonts w:ascii="Calibri" w:eastAsia="Calibri" w:hAnsi="Calibri" w:cs="Calibri"/>
                <w:sz w:val="20"/>
                <w:szCs w:val="20"/>
                <w:lang w:val="en-GB"/>
              </w:rPr>
              <w:t xml:space="preserve"> </w:t>
            </w:r>
            <w:proofErr w:type="spellStart"/>
            <w:r w:rsidRPr="007463B9">
              <w:rPr>
                <w:rFonts w:ascii="Calibri" w:eastAsia="Calibri" w:hAnsi="Calibri" w:cs="Calibri"/>
                <w:sz w:val="20"/>
                <w:szCs w:val="20"/>
                <w:lang w:val="en-GB"/>
              </w:rPr>
              <w:t>K.,Handbook</w:t>
            </w:r>
            <w:proofErr w:type="spellEnd"/>
            <w:r w:rsidRPr="007463B9">
              <w:rPr>
                <w:rFonts w:ascii="Calibri" w:eastAsia="Calibri" w:hAnsi="Calibri" w:cs="Calibri"/>
                <w:sz w:val="20"/>
                <w:szCs w:val="20"/>
                <w:lang w:val="en-GB"/>
              </w:rPr>
              <w:t xml:space="preserve"> on External Costs of Transport, European Commission, Version January 2019..</w:t>
            </w:r>
          </w:p>
          <w:p w14:paraId="01C03B8B"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lastRenderedPageBreak/>
              <w:t>[22]. Krych A., Słownictwo kompleksowych badań i modelowania potoków ruch; materiały z II ogólnopolskiej konferencji Naukowo – Technicznej, Modelowanie podróży i prognozowanie ruchu, Kraków Listopada 2010.</w:t>
            </w:r>
          </w:p>
          <w:p w14:paraId="46B8E37E"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[23]. </w:t>
            </w:r>
            <w:proofErr w:type="spellStart"/>
            <w:r>
              <w:rPr>
                <w:rFonts w:ascii="Calibri" w:eastAsia="Calibri" w:hAnsi="Calibri" w:cs="Calibri"/>
                <w:sz w:val="20"/>
                <w:szCs w:val="20"/>
              </w:rPr>
              <w:t>Litman</w:t>
            </w:r>
            <w:proofErr w:type="spellEnd"/>
            <w:r>
              <w:rPr>
                <w:rFonts w:ascii="Calibri" w:eastAsia="Calibri" w:hAnsi="Calibri" w:cs="Calibri"/>
                <w:sz w:val="20"/>
                <w:szCs w:val="20"/>
              </w:rPr>
              <w:t xml:space="preserve"> T., </w:t>
            </w:r>
            <w:proofErr w:type="spellStart"/>
            <w:r>
              <w:rPr>
                <w:rFonts w:ascii="Calibri" w:eastAsia="Calibri" w:hAnsi="Calibri" w:cs="Calibri"/>
                <w:sz w:val="20"/>
                <w:szCs w:val="20"/>
              </w:rPr>
              <w:t>Transportation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Cost</w:t>
            </w:r>
            <w:proofErr w:type="spellEnd"/>
            <w:r>
              <w:rPr>
                <w:rFonts w:ascii="Calibri" w:eastAsia="Calibri" w:hAnsi="Calibri" w:cs="Calibri"/>
                <w:sz w:val="20"/>
                <w:szCs w:val="20"/>
              </w:rPr>
              <w:t xml:space="preserve"> Analysis: </w:t>
            </w:r>
            <w:proofErr w:type="spellStart"/>
            <w:r>
              <w:rPr>
                <w:rFonts w:ascii="Calibri" w:eastAsia="Calibri" w:hAnsi="Calibri" w:cs="Calibri"/>
                <w:sz w:val="20"/>
                <w:szCs w:val="20"/>
              </w:rPr>
              <w:t>Techniques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Estimates</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Implications</w:t>
            </w:r>
            <w:proofErr w:type="spellEnd"/>
            <w:r>
              <w:rPr>
                <w:rFonts w:ascii="Calibri" w:eastAsia="Calibri" w:hAnsi="Calibri" w:cs="Calibri"/>
                <w:sz w:val="20"/>
                <w:szCs w:val="20"/>
              </w:rPr>
              <w:t xml:space="preserve">, Second Edition, Victoria Transport Policy </w:t>
            </w:r>
            <w:proofErr w:type="spellStart"/>
            <w:r>
              <w:rPr>
                <w:rFonts w:ascii="Calibri" w:eastAsia="Calibri" w:hAnsi="Calibri" w:cs="Calibri"/>
                <w:sz w:val="20"/>
                <w:szCs w:val="20"/>
              </w:rPr>
              <w:t>Institute</w:t>
            </w:r>
            <w:proofErr w:type="spellEnd"/>
            <w:r>
              <w:rPr>
                <w:rFonts w:ascii="Calibri" w:eastAsia="Calibri" w:hAnsi="Calibri" w:cs="Calibri"/>
                <w:sz w:val="20"/>
                <w:szCs w:val="20"/>
              </w:rPr>
              <w:t>, Victoria, January 2009.</w:t>
            </w:r>
          </w:p>
          <w:p w14:paraId="3DFC21C2"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[24]. </w:t>
            </w:r>
            <w:proofErr w:type="spellStart"/>
            <w:r>
              <w:rPr>
                <w:rFonts w:ascii="Calibri" w:eastAsia="Calibri" w:hAnsi="Calibri" w:cs="Calibri"/>
                <w:sz w:val="20"/>
                <w:szCs w:val="20"/>
              </w:rPr>
              <w:t>Merkisz</w:t>
            </w:r>
            <w:proofErr w:type="spellEnd"/>
            <w:r>
              <w:rPr>
                <w:rFonts w:ascii="Calibri" w:eastAsia="Calibri" w:hAnsi="Calibri" w:cs="Calibri"/>
                <w:sz w:val="20"/>
                <w:szCs w:val="20"/>
              </w:rPr>
              <w:t xml:space="preserve"> J., Nowak M., </w:t>
            </w:r>
            <w:proofErr w:type="spellStart"/>
            <w:r>
              <w:rPr>
                <w:rFonts w:ascii="Calibri" w:eastAsia="Calibri" w:hAnsi="Calibri" w:cs="Calibri"/>
                <w:sz w:val="20"/>
                <w:szCs w:val="20"/>
              </w:rPr>
              <w:t>Pielecha</w:t>
            </w:r>
            <w:proofErr w:type="spellEnd"/>
            <w:r>
              <w:rPr>
                <w:rFonts w:ascii="Calibri" w:eastAsia="Calibri" w:hAnsi="Calibri" w:cs="Calibri"/>
                <w:sz w:val="20"/>
                <w:szCs w:val="20"/>
              </w:rPr>
              <w:t xml:space="preserve"> J., </w:t>
            </w:r>
            <w:proofErr w:type="spellStart"/>
            <w:r>
              <w:rPr>
                <w:rFonts w:ascii="Calibri" w:eastAsia="Calibri" w:hAnsi="Calibri" w:cs="Calibri"/>
                <w:sz w:val="20"/>
                <w:szCs w:val="20"/>
              </w:rPr>
              <w:t>Fuć</w:t>
            </w:r>
            <w:proofErr w:type="spellEnd"/>
            <w:r>
              <w:rPr>
                <w:rFonts w:ascii="Calibri" w:eastAsia="Calibri" w:hAnsi="Calibri" w:cs="Calibri"/>
                <w:sz w:val="20"/>
                <w:szCs w:val="20"/>
              </w:rPr>
              <w:t xml:space="preserve"> P., </w:t>
            </w:r>
            <w:proofErr w:type="spellStart"/>
            <w:r>
              <w:rPr>
                <w:rFonts w:ascii="Calibri" w:eastAsia="Calibri" w:hAnsi="Calibri" w:cs="Calibri"/>
                <w:sz w:val="20"/>
                <w:szCs w:val="20"/>
              </w:rPr>
              <w:t>Merkisz</w:t>
            </w:r>
            <w:proofErr w:type="spellEnd"/>
            <w:r>
              <w:rPr>
                <w:rFonts w:ascii="Calibri" w:eastAsia="Calibri" w:hAnsi="Calibri" w:cs="Calibri"/>
                <w:sz w:val="20"/>
                <w:szCs w:val="20"/>
              </w:rPr>
              <w:t xml:space="preserve">-Guranowska A., Środki i infrastruktura transportu, Politechnika Warszawska, Warszawa 2013. </w:t>
            </w:r>
          </w:p>
          <w:p w14:paraId="0CA7D6D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[25]. </w:t>
            </w:r>
            <w:proofErr w:type="spellStart"/>
            <w:r>
              <w:rPr>
                <w:rFonts w:ascii="Calibri" w:eastAsia="Calibri" w:hAnsi="Calibri" w:cs="Calibri"/>
                <w:sz w:val="20"/>
                <w:szCs w:val="20"/>
              </w:rPr>
              <w:t>Ortuzar</w:t>
            </w:r>
            <w:proofErr w:type="spellEnd"/>
            <w:r>
              <w:rPr>
                <w:rFonts w:ascii="Calibri" w:eastAsia="Calibri" w:hAnsi="Calibri" w:cs="Calibri"/>
                <w:sz w:val="20"/>
                <w:szCs w:val="20"/>
              </w:rPr>
              <w:t xml:space="preserve"> J. de </w:t>
            </w:r>
            <w:proofErr w:type="spellStart"/>
            <w:r>
              <w:rPr>
                <w:rFonts w:ascii="Calibri" w:eastAsia="Calibri" w:hAnsi="Calibri" w:cs="Calibri"/>
                <w:sz w:val="20"/>
                <w:szCs w:val="20"/>
              </w:rPr>
              <w:t>Dios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Willumsen</w:t>
            </w:r>
            <w:proofErr w:type="spellEnd"/>
            <w:r>
              <w:rPr>
                <w:rFonts w:ascii="Calibri" w:eastAsia="Calibri" w:hAnsi="Calibri" w:cs="Calibri"/>
                <w:sz w:val="20"/>
                <w:szCs w:val="20"/>
              </w:rPr>
              <w:t xml:space="preserve"> L.G., </w:t>
            </w:r>
            <w:proofErr w:type="spellStart"/>
            <w:r>
              <w:rPr>
                <w:rFonts w:ascii="Calibri" w:eastAsia="Calibri" w:hAnsi="Calibri" w:cs="Calibri"/>
                <w:sz w:val="20"/>
                <w:szCs w:val="20"/>
              </w:rPr>
              <w:t>Modelling</w:t>
            </w:r>
            <w:proofErr w:type="spellEnd"/>
            <w:r>
              <w:rPr>
                <w:rFonts w:ascii="Calibri" w:eastAsia="Calibri" w:hAnsi="Calibri" w:cs="Calibri"/>
                <w:sz w:val="20"/>
                <w:szCs w:val="20"/>
              </w:rPr>
              <w:t xml:space="preserve"> Transport, John </w:t>
            </w:r>
            <w:proofErr w:type="spellStart"/>
            <w:r>
              <w:rPr>
                <w:rFonts w:ascii="Calibri" w:eastAsia="Calibri" w:hAnsi="Calibri" w:cs="Calibri"/>
                <w:sz w:val="20"/>
                <w:szCs w:val="20"/>
              </w:rPr>
              <w:t>Wiley</w:t>
            </w:r>
            <w:proofErr w:type="spellEnd"/>
            <w:r>
              <w:rPr>
                <w:rFonts w:ascii="Calibri" w:eastAsia="Calibri" w:hAnsi="Calibri" w:cs="Calibri"/>
                <w:sz w:val="20"/>
                <w:szCs w:val="20"/>
              </w:rPr>
              <w:t xml:space="preserve"> &amp; Sons </w:t>
            </w:r>
            <w:proofErr w:type="spellStart"/>
            <w:r>
              <w:rPr>
                <w:rFonts w:ascii="Calibri" w:eastAsia="Calibri" w:hAnsi="Calibri" w:cs="Calibri"/>
                <w:sz w:val="20"/>
                <w:szCs w:val="20"/>
              </w:rPr>
              <w:t>Ltd</w:t>
            </w:r>
            <w:proofErr w:type="spellEnd"/>
            <w:r>
              <w:rPr>
                <w:rFonts w:ascii="Calibri" w:eastAsia="Calibri" w:hAnsi="Calibri" w:cs="Calibri"/>
                <w:sz w:val="20"/>
                <w:szCs w:val="20"/>
              </w:rPr>
              <w:t>, Chichester 2001.</w:t>
            </w:r>
          </w:p>
          <w:p w14:paraId="1DE89A0B" w14:textId="4D798278"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[26]. Rozporządzenie Ministra Transportu i Gospodarki Morskiej z dnia 2 marca 1999 r. w sprawie warunków technicznych, jakim powinny odpowiadać drogi publiczne i ich usytuowanie (Dz. U. z 1999r., Nr 43, poz. 430). </w:t>
            </w:r>
          </w:p>
          <w:p w14:paraId="7F6A5F79"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[27]. Sartori D., Catalano G., Genco M., </w:t>
            </w:r>
            <w:proofErr w:type="spellStart"/>
            <w:r w:rsidRPr="0045151D">
              <w:rPr>
                <w:rFonts w:ascii="Calibri" w:eastAsia="Calibri" w:hAnsi="Calibri" w:cs="Calibri"/>
                <w:sz w:val="20"/>
                <w:szCs w:val="20"/>
                <w:lang w:val="en-GB"/>
              </w:rPr>
              <w:t>Pancotti</w:t>
            </w:r>
            <w:proofErr w:type="spellEnd"/>
            <w:r w:rsidRPr="0045151D">
              <w:rPr>
                <w:rFonts w:ascii="Calibri" w:eastAsia="Calibri" w:hAnsi="Calibri" w:cs="Calibri"/>
                <w:sz w:val="20"/>
                <w:szCs w:val="20"/>
                <w:lang w:val="en-GB"/>
              </w:rPr>
              <w:t xml:space="preserve"> C., </w:t>
            </w:r>
            <w:proofErr w:type="spellStart"/>
            <w:r w:rsidRPr="0045151D">
              <w:rPr>
                <w:rFonts w:ascii="Calibri" w:eastAsia="Calibri" w:hAnsi="Calibri" w:cs="Calibri"/>
                <w:sz w:val="20"/>
                <w:szCs w:val="20"/>
                <w:lang w:val="en-GB"/>
              </w:rPr>
              <w:t>Sirtori</w:t>
            </w:r>
            <w:proofErr w:type="spellEnd"/>
            <w:r w:rsidRPr="0045151D">
              <w:rPr>
                <w:rFonts w:ascii="Calibri" w:eastAsia="Calibri" w:hAnsi="Calibri" w:cs="Calibri"/>
                <w:sz w:val="20"/>
                <w:szCs w:val="20"/>
                <w:lang w:val="en-GB"/>
              </w:rPr>
              <w:t xml:space="preserve"> E., </w:t>
            </w:r>
            <w:proofErr w:type="spellStart"/>
            <w:r w:rsidRPr="0045151D">
              <w:rPr>
                <w:rFonts w:ascii="Calibri" w:eastAsia="Calibri" w:hAnsi="Calibri" w:cs="Calibri"/>
                <w:sz w:val="20"/>
                <w:szCs w:val="20"/>
                <w:lang w:val="en-GB"/>
              </w:rPr>
              <w:t>Vignetti</w:t>
            </w:r>
            <w:proofErr w:type="spellEnd"/>
            <w:r w:rsidRPr="0045151D">
              <w:rPr>
                <w:rFonts w:ascii="Calibri" w:eastAsia="Calibri" w:hAnsi="Calibri" w:cs="Calibri"/>
                <w:sz w:val="20"/>
                <w:szCs w:val="20"/>
                <w:lang w:val="en-GB"/>
              </w:rPr>
              <w:t xml:space="preserve"> s., Del Bo C., Guide to Cost-benefit Analysis of Investment Projects – Economic appraisal tool for Cohesion Policy 2014-2020, European Commission DG Regio, Brussels December 2014. </w:t>
            </w:r>
          </w:p>
          <w:p w14:paraId="2EDDB01A"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[28]. Supernak J., Modele powstawania miejskiego ruchu osobowego, </w:t>
            </w:r>
            <w:proofErr w:type="spellStart"/>
            <w:r>
              <w:rPr>
                <w:rFonts w:ascii="Calibri" w:eastAsia="Calibri" w:hAnsi="Calibri" w:cs="Calibri"/>
                <w:sz w:val="20"/>
                <w:szCs w:val="20"/>
              </w:rPr>
              <w:t>WKiŁ</w:t>
            </w:r>
            <w:proofErr w:type="spellEnd"/>
            <w:r>
              <w:rPr>
                <w:rFonts w:ascii="Calibri" w:eastAsia="Calibri" w:hAnsi="Calibri" w:cs="Calibri"/>
                <w:sz w:val="20"/>
                <w:szCs w:val="20"/>
              </w:rPr>
              <w:t xml:space="preserve">, Warszawa 1980. </w:t>
            </w:r>
          </w:p>
          <w:p w14:paraId="09B994C3" w14:textId="383CB6A6"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w:t>
            </w:r>
            <w:r w:rsidR="002D4835">
              <w:rPr>
                <w:rFonts w:ascii="Calibri" w:eastAsia="Calibri" w:hAnsi="Calibri" w:cs="Calibri"/>
                <w:sz w:val="20"/>
                <w:szCs w:val="20"/>
                <w:lang w:val="en-GB"/>
              </w:rPr>
              <w:t>29</w:t>
            </w:r>
            <w:r w:rsidRPr="0045151D">
              <w:rPr>
                <w:rFonts w:ascii="Calibri" w:eastAsia="Calibri" w:hAnsi="Calibri" w:cs="Calibri"/>
                <w:sz w:val="20"/>
                <w:szCs w:val="20"/>
                <w:lang w:val="en-GB"/>
              </w:rPr>
              <w:t>]. United Nations, Economic Commission for Europe, Cost Benefit Analysis of Transport Infrastructure Projects. A set of guidelines for socio-economic cost benefit analysis of transport infrastructure project appraisal, New York – Geneva 2003.</w:t>
            </w:r>
          </w:p>
          <w:p w14:paraId="2F8CC2F9" w14:textId="7037538F" w:rsidR="00600DEE"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t>[30</w:t>
            </w:r>
            <w:r w:rsidR="00641FB5">
              <w:rPr>
                <w:rFonts w:ascii="Calibri" w:eastAsia="Calibri" w:hAnsi="Calibri" w:cs="Calibri"/>
                <w:sz w:val="20"/>
                <w:szCs w:val="20"/>
              </w:rPr>
              <w:t>]. Zeszyty Naukowo-Techniczne Stowarzyszenia Inżynierów i Techników Komunikacji Rzeczpospolitej Polskiej Oddział w Krakowie, Modelowanie podróży i prognozowanie ruchu, materiały konferencyjne nr 1(103)/2014.</w:t>
            </w:r>
          </w:p>
          <w:p w14:paraId="4620A4E5" w14:textId="526289D3"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[31</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 xml:space="preserve">G. </w:t>
            </w:r>
            <w:proofErr w:type="spellStart"/>
            <w:r w:rsidR="00641FB5" w:rsidRPr="0045151D">
              <w:rPr>
                <w:rFonts w:ascii="Calibri" w:eastAsia="Calibri" w:hAnsi="Calibri" w:cs="Calibri"/>
                <w:sz w:val="20"/>
                <w:szCs w:val="20"/>
                <w:lang w:val="en-GB"/>
              </w:rPr>
              <w:t>Mellios</w:t>
            </w:r>
            <w:proofErr w:type="spellEnd"/>
            <w:r w:rsidR="00641FB5" w:rsidRPr="0045151D">
              <w:rPr>
                <w:rFonts w:ascii="Calibri" w:eastAsia="Calibri" w:hAnsi="Calibri" w:cs="Calibri"/>
                <w:sz w:val="20"/>
                <w:szCs w:val="20"/>
                <w:lang w:val="en-GB"/>
              </w:rPr>
              <w:t xml:space="preserve">, S. </w:t>
            </w:r>
            <w:proofErr w:type="spellStart"/>
            <w:r w:rsidR="00641FB5" w:rsidRPr="0045151D">
              <w:rPr>
                <w:rFonts w:ascii="Calibri" w:eastAsia="Calibri" w:hAnsi="Calibri" w:cs="Calibri"/>
                <w:sz w:val="20"/>
                <w:szCs w:val="20"/>
                <w:lang w:val="en-GB"/>
              </w:rPr>
              <w:t>Hausberger</w:t>
            </w:r>
            <w:proofErr w:type="spellEnd"/>
            <w:r w:rsidR="00641FB5" w:rsidRPr="0045151D">
              <w:rPr>
                <w:rFonts w:ascii="Calibri" w:eastAsia="Calibri" w:hAnsi="Calibri" w:cs="Calibri"/>
                <w:sz w:val="20"/>
                <w:szCs w:val="20"/>
                <w:lang w:val="en-GB"/>
              </w:rPr>
              <w:t xml:space="preserve">, M. Keller, C. Samaras, L. </w:t>
            </w:r>
            <w:proofErr w:type="spellStart"/>
            <w:r w:rsidR="00641FB5" w:rsidRPr="0045151D">
              <w:rPr>
                <w:rFonts w:ascii="Calibri" w:eastAsia="Calibri" w:hAnsi="Calibri" w:cs="Calibri"/>
                <w:sz w:val="20"/>
                <w:szCs w:val="20"/>
                <w:lang w:val="en-GB"/>
              </w:rPr>
              <w:t>Ntziachristos</w:t>
            </w:r>
            <w:proofErr w:type="spellEnd"/>
            <w:r w:rsidR="00641FB5" w:rsidRPr="0045151D">
              <w:rPr>
                <w:rFonts w:ascii="Calibri" w:eastAsia="Calibri" w:hAnsi="Calibri" w:cs="Calibri"/>
                <w:sz w:val="20"/>
                <w:szCs w:val="20"/>
                <w:lang w:val="en-GB"/>
              </w:rPr>
              <w:t>, Parameterisation of fuel consumption and CO2 emissions of passenger cars and light commercial vehicles for modelling purposes, JRC 2011</w:t>
            </w:r>
          </w:p>
          <w:p w14:paraId="6D62C83F" w14:textId="048BE804" w:rsidR="00600DEE"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t>[32</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CAKE (Centrum Analiz Klimatyczno-Energetycznych), Ścieżki redukcji emisji CO2 w sektorze transportu w Polsce w kontekście „Europejskiego Zielonego Ładu”, 2020</w:t>
            </w:r>
          </w:p>
          <w:p w14:paraId="01A8F7AD" w14:textId="5CA47375" w:rsidR="00600DEE"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lastRenderedPageBreak/>
              <w:t>[33</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ITS, Prognozy eksperckie zmian aktywności sektora transportu drogowego (w kontekście ustawy o systemie zarządzania emisjami gazów cieplarnianych i innych substancji), 2017</w:t>
            </w:r>
          </w:p>
          <w:p w14:paraId="4A3252C8" w14:textId="3B02465C"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[34</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OECD/ITF, Optimisation of Maintenance, 2012</w:t>
            </w:r>
          </w:p>
          <w:p w14:paraId="079E9F93" w14:textId="5499C8E6"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[35</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EMEP/EEA air pollutant emission inventory guidebook, 2019, 1.A.3.b.i-iv Road Transport Appendix 4 Emission Factors 2019 (Sept. 2020).</w:t>
            </w:r>
          </w:p>
          <w:p w14:paraId="6B5C6BF8" w14:textId="5BCD1E53"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[36</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 xml:space="preserve">GUS, Transport – </w:t>
            </w:r>
            <w:proofErr w:type="spellStart"/>
            <w:r w:rsidR="00641FB5" w:rsidRPr="0045151D">
              <w:rPr>
                <w:rFonts w:ascii="Calibri" w:eastAsia="Calibri" w:hAnsi="Calibri" w:cs="Calibri"/>
                <w:sz w:val="20"/>
                <w:szCs w:val="20"/>
                <w:lang w:val="en-GB"/>
              </w:rPr>
              <w:t>wyniki</w:t>
            </w:r>
            <w:proofErr w:type="spellEnd"/>
            <w:r w:rsidR="00641FB5" w:rsidRPr="0045151D">
              <w:rPr>
                <w:rFonts w:ascii="Calibri" w:eastAsia="Calibri" w:hAnsi="Calibri" w:cs="Calibri"/>
                <w:sz w:val="20"/>
                <w:szCs w:val="20"/>
                <w:lang w:val="en-GB"/>
              </w:rPr>
              <w:t xml:space="preserve"> </w:t>
            </w:r>
            <w:proofErr w:type="spellStart"/>
            <w:r w:rsidR="00641FB5" w:rsidRPr="0045151D">
              <w:rPr>
                <w:rFonts w:ascii="Calibri" w:eastAsia="Calibri" w:hAnsi="Calibri" w:cs="Calibri"/>
                <w:sz w:val="20"/>
                <w:szCs w:val="20"/>
                <w:lang w:val="en-GB"/>
              </w:rPr>
              <w:t>działalności</w:t>
            </w:r>
            <w:proofErr w:type="spellEnd"/>
            <w:r w:rsidR="00641FB5" w:rsidRPr="0045151D">
              <w:rPr>
                <w:rFonts w:ascii="Calibri" w:eastAsia="Calibri" w:hAnsi="Calibri" w:cs="Calibri"/>
                <w:sz w:val="20"/>
                <w:szCs w:val="20"/>
                <w:lang w:val="en-GB"/>
              </w:rPr>
              <w:t xml:space="preserve"> w 2019 r. Transport – activity results in 2019, 2020</w:t>
            </w:r>
          </w:p>
          <w:p w14:paraId="44B6D78B" w14:textId="177C1FB4" w:rsidR="002D4835"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t>[37</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GUS, Roczne wskaźniki makroekonomiczne, aktualizacja 2021.</w:t>
            </w:r>
          </w:p>
          <w:p w14:paraId="53A6F151" w14:textId="67298487" w:rsidR="00600DEE" w:rsidRPr="0045151D" w:rsidRDefault="002D4835">
            <w:pPr>
              <w:spacing w:after="120"/>
              <w:ind w:right="170"/>
              <w:jc w:val="both"/>
              <w:rPr>
                <w:rFonts w:ascii="Calibri" w:eastAsia="Calibri" w:hAnsi="Calibri" w:cs="Calibri"/>
                <w:sz w:val="20"/>
                <w:szCs w:val="20"/>
                <w:lang w:val="en-GB"/>
              </w:rPr>
            </w:pPr>
            <w:r w:rsidRPr="006C5DD9">
              <w:rPr>
                <w:rFonts w:ascii="Calibri" w:eastAsia="Calibri" w:hAnsi="Calibri" w:cs="Calibri"/>
                <w:sz w:val="20"/>
                <w:szCs w:val="20"/>
                <w:lang w:val="en-GB"/>
              </w:rPr>
              <w:t>[38</w:t>
            </w:r>
            <w:r w:rsidR="00641FB5" w:rsidRPr="006C5DD9">
              <w:rPr>
                <w:rFonts w:ascii="Calibri" w:eastAsia="Calibri" w:hAnsi="Calibri" w:cs="Calibri"/>
                <w:sz w:val="20"/>
                <w:szCs w:val="20"/>
                <w:lang w:val="en-GB"/>
              </w:rPr>
              <w:t xml:space="preserve">]. </w:t>
            </w:r>
            <w:r w:rsidR="00641FB5" w:rsidRPr="0045151D">
              <w:rPr>
                <w:rFonts w:ascii="Calibri" w:eastAsia="Calibri" w:hAnsi="Calibri" w:cs="Calibri"/>
                <w:sz w:val="20"/>
                <w:szCs w:val="20"/>
                <w:lang w:val="en-GB"/>
              </w:rPr>
              <w:t xml:space="preserve">European </w:t>
            </w:r>
            <w:proofErr w:type="spellStart"/>
            <w:r w:rsidR="00641FB5" w:rsidRPr="0045151D">
              <w:rPr>
                <w:rFonts w:ascii="Calibri" w:eastAsia="Calibri" w:hAnsi="Calibri" w:cs="Calibri"/>
                <w:sz w:val="20"/>
                <w:szCs w:val="20"/>
                <w:lang w:val="en-GB"/>
              </w:rPr>
              <w:t>Comission</w:t>
            </w:r>
            <w:proofErr w:type="spellEnd"/>
            <w:r w:rsidR="00641FB5" w:rsidRPr="0045151D">
              <w:rPr>
                <w:rFonts w:ascii="Calibri" w:eastAsia="Calibri" w:hAnsi="Calibri" w:cs="Calibri"/>
                <w:sz w:val="20"/>
                <w:szCs w:val="20"/>
                <w:lang w:val="en-GB"/>
              </w:rPr>
              <w:t xml:space="preserve">, Economic Appraisal </w:t>
            </w:r>
            <w:proofErr w:type="spellStart"/>
            <w:r w:rsidR="00641FB5" w:rsidRPr="0045151D">
              <w:rPr>
                <w:rFonts w:ascii="Calibri" w:eastAsia="Calibri" w:hAnsi="Calibri" w:cs="Calibri"/>
                <w:sz w:val="20"/>
                <w:szCs w:val="20"/>
                <w:lang w:val="en-GB"/>
              </w:rPr>
              <w:t>Vademecum</w:t>
            </w:r>
            <w:proofErr w:type="spellEnd"/>
            <w:r w:rsidR="00641FB5" w:rsidRPr="0045151D">
              <w:rPr>
                <w:rFonts w:ascii="Calibri" w:eastAsia="Calibri" w:hAnsi="Calibri" w:cs="Calibri"/>
                <w:sz w:val="20"/>
                <w:szCs w:val="20"/>
                <w:lang w:val="en-GB"/>
              </w:rPr>
              <w:t xml:space="preserve"> 2021-2027 - General Principles and Sector Applications, 2021</w:t>
            </w:r>
          </w:p>
          <w:p w14:paraId="4684A3BE" w14:textId="4C906AD7"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[39</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ECB, EUR/PLN exchange rates yearly averages.</w:t>
            </w:r>
          </w:p>
        </w:tc>
      </w:tr>
    </w:tbl>
    <w:p w14:paraId="0039F318" w14:textId="68D0B4E8" w:rsidR="00600DEE" w:rsidRDefault="00641FB5">
      <w:pPr>
        <w:pStyle w:val="Nagwek1"/>
        <w:rPr>
          <w:rFonts w:ascii="Calibri" w:eastAsia="Calibri" w:hAnsi="Calibri" w:cs="Calibri"/>
          <w:color w:val="0070C0"/>
        </w:rPr>
      </w:pPr>
      <w:bookmarkStart w:id="121" w:name="_Toc95378015"/>
      <w:proofErr w:type="spellStart"/>
      <w:r>
        <w:rPr>
          <w:rFonts w:ascii="Calibri" w:eastAsia="Calibri" w:hAnsi="Calibri" w:cs="Calibri"/>
          <w:color w:val="0070C0"/>
        </w:rPr>
        <w:lastRenderedPageBreak/>
        <w:t>Definicje</w:t>
      </w:r>
      <w:proofErr w:type="spellEnd"/>
      <w:r>
        <w:rPr>
          <w:rFonts w:ascii="Calibri" w:eastAsia="Calibri" w:hAnsi="Calibri" w:cs="Calibri"/>
          <w:color w:val="0070C0"/>
        </w:rPr>
        <w:t xml:space="preserve"> </w:t>
      </w:r>
      <w:proofErr w:type="spellStart"/>
      <w:r>
        <w:rPr>
          <w:rFonts w:ascii="Calibri" w:eastAsia="Calibri" w:hAnsi="Calibri" w:cs="Calibri"/>
          <w:color w:val="0070C0"/>
        </w:rPr>
        <w:t>i</w:t>
      </w:r>
      <w:proofErr w:type="spellEnd"/>
      <w:r>
        <w:rPr>
          <w:rFonts w:ascii="Calibri" w:eastAsia="Calibri" w:hAnsi="Calibri" w:cs="Calibri"/>
          <w:color w:val="0070C0"/>
        </w:rPr>
        <w:t> </w:t>
      </w:r>
      <w:proofErr w:type="spellStart"/>
      <w:r>
        <w:rPr>
          <w:rFonts w:ascii="Calibri" w:eastAsia="Calibri" w:hAnsi="Calibri" w:cs="Calibri"/>
          <w:color w:val="0070C0"/>
        </w:rPr>
        <w:t>akronimy</w:t>
      </w:r>
      <w:proofErr w:type="spellEnd"/>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t xml:space="preserve">     </w:t>
      </w:r>
      <w:r>
        <w:rPr>
          <w:rFonts w:ascii="Calibri" w:eastAsia="Calibri" w:hAnsi="Calibri" w:cs="Calibri"/>
          <w:i/>
          <w:color w:val="0070C0"/>
        </w:rPr>
        <w:t>Definitions and Acronyms</w:t>
      </w:r>
      <w:bookmarkEnd w:id="121"/>
    </w:p>
    <w:tbl>
      <w:tblPr>
        <w:tblStyle w:val="affffffff9"/>
        <w:tblW w:w="14571" w:type="dxa"/>
        <w:tblLayout w:type="fixed"/>
        <w:tblLook w:val="0400" w:firstRow="0" w:lastRow="0" w:firstColumn="0" w:lastColumn="0" w:noHBand="0" w:noVBand="1"/>
      </w:tblPr>
      <w:tblGrid>
        <w:gridCol w:w="7650"/>
        <w:gridCol w:w="6921"/>
      </w:tblGrid>
      <w:tr w:rsidR="00600DEE" w:rsidRPr="007463B9" w14:paraId="468485EA" w14:textId="77777777" w:rsidTr="00482C1E">
        <w:tc>
          <w:tcPr>
            <w:tcW w:w="7650" w:type="dxa"/>
            <w:tcBorders>
              <w:right w:val="single" w:sz="4" w:space="0" w:color="000000"/>
            </w:tcBorders>
            <w:tcMar>
              <w:left w:w="284" w:type="dxa"/>
              <w:right w:w="284" w:type="dxa"/>
            </w:tcMar>
          </w:tcPr>
          <w:p w14:paraId="4A2F93DE"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Wariant bezinwestycyjny (W0), </w:t>
            </w:r>
            <w:r>
              <w:rPr>
                <w:rFonts w:ascii="Calibri" w:eastAsia="Calibri" w:hAnsi="Calibri" w:cs="Calibri"/>
                <w:color w:val="000000"/>
                <w:sz w:val="20"/>
                <w:szCs w:val="20"/>
              </w:rPr>
              <w:t xml:space="preserve">zwany również </w:t>
            </w:r>
            <w:r>
              <w:rPr>
                <w:rFonts w:ascii="Calibri" w:eastAsia="Calibri" w:hAnsi="Calibri" w:cs="Calibri"/>
                <w:b/>
                <w:color w:val="000000"/>
                <w:sz w:val="20"/>
                <w:szCs w:val="20"/>
              </w:rPr>
              <w:t>wariantem zerowym</w:t>
            </w:r>
            <w:r>
              <w:rPr>
                <w:rFonts w:ascii="Calibri" w:eastAsia="Calibri" w:hAnsi="Calibri" w:cs="Calibri"/>
                <w:color w:val="000000"/>
                <w:sz w:val="20"/>
                <w:szCs w:val="20"/>
              </w:rPr>
              <w:t>, jest wyjściowym wariantem w AKK (opartej na metodzie przyrostowej), ponieważ stanowi odniesienie, do którego będą porównywane wszystkie warianty inwestycyjne. Wariant bezinwestycyjny oznacza ponoszenie niezbędnych kosztów eksploatacji i utrzymania, (które wraz z upływem czasu mogą ulegać znacznemu wzrostowi ze względu na pogarszający się stan infrastruktury) w celu zapewnienia minimalnego poziomu utrzymania i umożliwienia funkcjonowania infrastruktury bez pogorszenia jej stanu technicznego przez cały okres analizy. Ta definicja winna być interpretowana, jako zapewnianie pożądanego (standardowego) poziomu remontów i utrzymania istniejącej infrastruktury i sprzętu.</w:t>
            </w:r>
          </w:p>
          <w:p w14:paraId="1E4895AD" w14:textId="07ED950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Wariant</w:t>
            </w:r>
            <w:r>
              <w:rPr>
                <w:rFonts w:ascii="Calibri" w:eastAsia="Calibri" w:hAnsi="Calibri" w:cs="Calibri"/>
                <w:color w:val="000000"/>
                <w:sz w:val="20"/>
                <w:szCs w:val="20"/>
              </w:rPr>
              <w:t xml:space="preserve"> </w:t>
            </w:r>
            <w:proofErr w:type="spellStart"/>
            <w:r>
              <w:rPr>
                <w:rFonts w:ascii="Calibri" w:eastAsia="Calibri" w:hAnsi="Calibri" w:cs="Calibri"/>
                <w:b/>
                <w:color w:val="000000"/>
                <w:sz w:val="20"/>
                <w:szCs w:val="20"/>
              </w:rPr>
              <w:t>Wn</w:t>
            </w:r>
            <w:proofErr w:type="spellEnd"/>
            <w:r>
              <w:rPr>
                <w:rFonts w:ascii="Calibri" w:eastAsia="Calibri" w:hAnsi="Calibri" w:cs="Calibri"/>
                <w:color w:val="000000"/>
                <w:sz w:val="20"/>
                <w:szCs w:val="20"/>
              </w:rPr>
              <w:t xml:space="preserve">, zwany również </w:t>
            </w:r>
            <w:r>
              <w:rPr>
                <w:rFonts w:ascii="Calibri" w:eastAsia="Calibri" w:hAnsi="Calibri" w:cs="Calibri"/>
                <w:b/>
                <w:color w:val="000000"/>
                <w:sz w:val="20"/>
                <w:szCs w:val="20"/>
              </w:rPr>
              <w:t>wariantem z projektem</w:t>
            </w:r>
            <w:r>
              <w:rPr>
                <w:rFonts w:ascii="Calibri" w:eastAsia="Calibri" w:hAnsi="Calibri" w:cs="Calibri"/>
                <w:color w:val="000000"/>
                <w:sz w:val="20"/>
                <w:szCs w:val="20"/>
              </w:rPr>
              <w:t xml:space="preserve">, tzn. inwestycyjny (W1, W2,…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oznacza wariant, w którym określa się nakłady inwestycyjne do poniesienia w pierwszym i ewentualnie w następnych latach oraz koszty utrzymania odci</w:t>
            </w:r>
            <w:r w:rsidR="002D4835">
              <w:rPr>
                <w:rFonts w:ascii="Calibri" w:eastAsia="Calibri" w:hAnsi="Calibri" w:cs="Calibri"/>
                <w:color w:val="000000"/>
                <w:sz w:val="20"/>
                <w:szCs w:val="20"/>
              </w:rPr>
              <w:t>nka nowego lub przebudowanego. W</w:t>
            </w:r>
            <w:r>
              <w:rPr>
                <w:rFonts w:ascii="Calibri" w:eastAsia="Calibri" w:hAnsi="Calibri" w:cs="Calibri"/>
                <w:color w:val="000000"/>
                <w:sz w:val="20"/>
                <w:szCs w:val="20"/>
              </w:rPr>
              <w:t> przypadku przejęcia ruchu z innego odcinka (np. miejskiego, gdy projektuje się obwodnicę miasta, lub budowę nowego mostu) uwzględnia się również koszty utrzymania i remontów drogi istniejącej odciążonej.</w:t>
            </w:r>
          </w:p>
          <w:p w14:paraId="61A2D088"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Remont cząstkowy</w:t>
            </w:r>
          </w:p>
          <w:p w14:paraId="3E26E49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a. drogi: remontem cząstkowym nawierzchni nazywamy zespół następujących zabiegów technicznych, związanych z usuwaniem uszkodzeń nawierzchni zagrażających bezpieczeństwu ruchu, jak również zabiegi obejmujące małe powierzchnie, hamujące proces powiększania się powstałych uszkodzeń, tj.:</w:t>
            </w:r>
          </w:p>
          <w:p w14:paraId="751B95D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łatanie nawierzchni,</w:t>
            </w:r>
          </w:p>
          <w:p w14:paraId="3E50736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drobnych uszkodzeń, pęknięć, złuszczeń i </w:t>
            </w:r>
            <w:proofErr w:type="spellStart"/>
            <w:r>
              <w:rPr>
                <w:rFonts w:ascii="Calibri" w:eastAsia="Calibri" w:hAnsi="Calibri" w:cs="Calibri"/>
                <w:color w:val="000000"/>
                <w:sz w:val="20"/>
                <w:szCs w:val="20"/>
              </w:rPr>
              <w:t>wykruszeń</w:t>
            </w:r>
            <w:proofErr w:type="spellEnd"/>
            <w:r>
              <w:rPr>
                <w:rFonts w:ascii="Calibri" w:eastAsia="Calibri" w:hAnsi="Calibri" w:cs="Calibri"/>
                <w:color w:val="000000"/>
                <w:sz w:val="20"/>
                <w:szCs w:val="20"/>
              </w:rPr>
              <w:t xml:space="preserve"> nawierzchni,</w:t>
            </w:r>
          </w:p>
          <w:p w14:paraId="2F67507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skutków przełomów.</w:t>
            </w:r>
          </w:p>
          <w:p w14:paraId="2985D0B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b. mosty: remonty cząstkowe dotyczą usunięcia uszkodzeń spowodowanych działaniem ruchu, warunkami atmosferycznymi i gruntowo-wodnymi oraz robót konserwacyjnych elementów konstrukcji, tj.:</w:t>
            </w:r>
          </w:p>
          <w:p w14:paraId="0DA5229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naprawa uszkodzonych poręczy,</w:t>
            </w:r>
          </w:p>
          <w:p w14:paraId="132D15CF"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malowanie konstrukcji i urządzeń,</w:t>
            </w:r>
          </w:p>
          <w:p w14:paraId="43AA71F4"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naprawa rozmytych skarp,</w:t>
            </w:r>
          </w:p>
          <w:p w14:paraId="7CE2699D"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drobnych uszkodzeń, pęknięć i </w:t>
            </w:r>
            <w:proofErr w:type="spellStart"/>
            <w:r>
              <w:rPr>
                <w:rFonts w:ascii="Calibri" w:eastAsia="Calibri" w:hAnsi="Calibri" w:cs="Calibri"/>
                <w:color w:val="000000"/>
                <w:sz w:val="20"/>
                <w:szCs w:val="20"/>
              </w:rPr>
              <w:t>wykruszeń</w:t>
            </w:r>
            <w:proofErr w:type="spellEnd"/>
            <w:r>
              <w:rPr>
                <w:rFonts w:ascii="Calibri" w:eastAsia="Calibri" w:hAnsi="Calibri" w:cs="Calibri"/>
                <w:color w:val="000000"/>
                <w:sz w:val="20"/>
                <w:szCs w:val="20"/>
              </w:rPr>
              <w:t xml:space="preserve"> nawierzchni.</w:t>
            </w:r>
          </w:p>
          <w:p w14:paraId="14FAB349"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Remont okresowy </w:t>
            </w:r>
          </w:p>
          <w:p w14:paraId="70BCA5B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Prace remontowe przywracające stan pierwotny drogi lub pełną wartość techniczną obiektu mostowego, z wyłączeniem robót objętych remontami cząstkowymi oraz utrzymaniem bieżącym.</w:t>
            </w:r>
          </w:p>
          <w:p w14:paraId="102F935D" w14:textId="77777777" w:rsidR="00600DEE" w:rsidRDefault="00641FB5" w:rsidP="00D5736B">
            <w:pPr>
              <w:numPr>
                <w:ilvl w:val="0"/>
                <w:numId w:val="5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przywrócenie pierwotnych cech nawierzchni: równość, szorstkość, nośność itp.</w:t>
            </w:r>
          </w:p>
          <w:p w14:paraId="0C351DBF" w14:textId="77777777" w:rsidR="00600DEE" w:rsidRDefault="00641FB5" w:rsidP="00D5736B">
            <w:pPr>
              <w:numPr>
                <w:ilvl w:val="0"/>
                <w:numId w:val="5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Mosty: wymiana uszkodzonych elementów konstrukcji, przywrócenie pierwotnych cech nawierzchni.</w:t>
            </w:r>
          </w:p>
          <w:p w14:paraId="6CC2DC62"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Utrzymanie bieżące </w:t>
            </w:r>
          </w:p>
          <w:p w14:paraId="0A8D9E0E" w14:textId="112A280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Utrzymaniem bieżącym określamy roboty o charakterze ciągłym, wykonywane w ciągu całego roku, zapewniające sprawność techniczną i bezpieczeństwo infrastruktury. Bieżące roboty utrzymaniowe obejmują także roboty sezonowe. Zależnie od pory wykonania wyróżniamy roboty: wiosenne, letnie, jesienne i zimowe</w:t>
            </w:r>
            <w:r w:rsidR="002D4835">
              <w:rPr>
                <w:rFonts w:ascii="Calibri" w:eastAsia="Calibri" w:hAnsi="Calibri" w:cs="Calibri"/>
                <w:color w:val="000000"/>
                <w:sz w:val="20"/>
                <w:szCs w:val="20"/>
              </w:rPr>
              <w:t>.</w:t>
            </w:r>
          </w:p>
          <w:p w14:paraId="75F53BB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Typowe roboty obejmują, między innymi:</w:t>
            </w:r>
          </w:p>
          <w:p w14:paraId="5C00403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jezdni, poboczy i innych obszarów,</w:t>
            </w:r>
          </w:p>
          <w:p w14:paraId="10AC069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zanieczyszczeń i walka z kurzem,</w:t>
            </w:r>
          </w:p>
          <w:p w14:paraId="3285F12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drobne naprawy jezdni, poboczy i innych obszarów,</w:t>
            </w:r>
          </w:p>
          <w:p w14:paraId="5781294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odwodnienia,</w:t>
            </w:r>
          </w:p>
          <w:p w14:paraId="111966E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utrzymanie urządzeń do uzdatniania i zbiorników wodnych,</w:t>
            </w:r>
          </w:p>
          <w:p w14:paraId="168D8B2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drobne naprawy nawierzchni (łatanie, uszczelnianie),</w:t>
            </w:r>
          </w:p>
          <w:p w14:paraId="4F202BD6"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konserwacja oznakowania poziomego,</w:t>
            </w:r>
          </w:p>
          <w:p w14:paraId="203E9453"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i drobne naprawy/wymiana oznakowania pionowego,</w:t>
            </w:r>
          </w:p>
          <w:p w14:paraId="1BCCF6F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konserwacja barier i ogrodzeń,</w:t>
            </w:r>
          </w:p>
          <w:p w14:paraId="212C22A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i drobne naprawy budowli,</w:t>
            </w:r>
          </w:p>
          <w:p w14:paraId="353A12DF"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drobne roboty ziemne,</w:t>
            </w:r>
          </w:p>
          <w:p w14:paraId="0FF2C35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ekranów akustycznych i murów oporowych,</w:t>
            </w:r>
          </w:p>
          <w:p w14:paraId="6F3BA6C8" w14:textId="7EAB49D5" w:rsidR="00600DEE" w:rsidRDefault="002D483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sidRPr="002D4835">
              <w:rPr>
                <w:rFonts w:asciiTheme="minorHAnsi" w:hAnsiTheme="minorHAnsi"/>
                <w:sz w:val="20"/>
                <w:szCs w:val="20"/>
                <w:lang w:eastAsia="en-US"/>
              </w:rPr>
              <w:lastRenderedPageBreak/>
              <w:t>utrzymanie elektronicznego systemu poboru opłat</w:t>
            </w:r>
            <w:r>
              <w:rPr>
                <w:rFonts w:asciiTheme="minorHAnsi" w:hAnsiTheme="minorHAnsi"/>
                <w:lang w:eastAsia="en-US"/>
              </w:rPr>
              <w:t xml:space="preserve"> </w:t>
            </w:r>
            <w:r w:rsidR="00641FB5">
              <w:rPr>
                <w:rFonts w:ascii="Calibri" w:eastAsia="Calibri" w:hAnsi="Calibri" w:cs="Calibri"/>
                <w:color w:val="000000"/>
                <w:sz w:val="20"/>
                <w:szCs w:val="20"/>
              </w:rPr>
              <w:t>(na drogach płatnych),</w:t>
            </w:r>
          </w:p>
          <w:p w14:paraId="5E7A34E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utrzymanie zieleni w pasie drogowym,</w:t>
            </w:r>
          </w:p>
          <w:p w14:paraId="114B56B6"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utrzymanie urządzeń informatycznych,</w:t>
            </w:r>
          </w:p>
          <w:p w14:paraId="124A35B9"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konserwacja oświetlenia (wymiana żarówek),</w:t>
            </w:r>
          </w:p>
          <w:p w14:paraId="43FBB72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roboty zimowe: solenie (prewencyjne i po opadach),</w:t>
            </w:r>
          </w:p>
          <w:p w14:paraId="2AAD13F4"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zanieczyszczeń i śniegu z jezdni,</w:t>
            </w:r>
          </w:p>
          <w:p w14:paraId="4CE33C8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informacje dla użytkowników,</w:t>
            </w:r>
          </w:p>
          <w:p w14:paraId="4494D19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gołoledzi, szronu i szadzi,</w:t>
            </w:r>
          </w:p>
          <w:p w14:paraId="1C38841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zabezpieczanie fragmentów zniszczonych przez mróz.</w:t>
            </w:r>
          </w:p>
          <w:p w14:paraId="3F2F323A" w14:textId="1DB0C37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Podróż służbowa </w:t>
            </w:r>
            <w:r>
              <w:rPr>
                <w:rFonts w:ascii="Calibri" w:eastAsia="Calibri" w:hAnsi="Calibri" w:cs="Calibri"/>
                <w:color w:val="000000"/>
                <w:sz w:val="20"/>
                <w:szCs w:val="20"/>
              </w:rPr>
              <w:t>—</w:t>
            </w:r>
            <w:r>
              <w:rPr>
                <w:rFonts w:ascii="Calibri" w:eastAsia="Calibri" w:hAnsi="Calibri" w:cs="Calibri"/>
                <w:b/>
                <w:color w:val="000000"/>
                <w:sz w:val="20"/>
                <w:szCs w:val="20"/>
              </w:rPr>
              <w:t xml:space="preserve"> </w:t>
            </w:r>
            <w:r>
              <w:rPr>
                <w:rFonts w:ascii="Calibri" w:eastAsia="Calibri" w:hAnsi="Calibri" w:cs="Calibri"/>
                <w:color w:val="000000"/>
                <w:sz w:val="20"/>
                <w:szCs w:val="20"/>
              </w:rPr>
              <w:t>jest rozumiana jako podróż w </w:t>
            </w:r>
            <w:r w:rsidR="002D4835">
              <w:rPr>
                <w:rFonts w:ascii="Calibri" w:eastAsia="Calibri" w:hAnsi="Calibri" w:cs="Calibri"/>
                <w:color w:val="000000"/>
                <w:sz w:val="20"/>
                <w:szCs w:val="20"/>
              </w:rPr>
              <w:t>trakcie</w:t>
            </w:r>
            <w:r>
              <w:rPr>
                <w:rFonts w:ascii="Calibri" w:eastAsia="Calibri" w:hAnsi="Calibri" w:cs="Calibri"/>
                <w:color w:val="000000"/>
                <w:sz w:val="20"/>
                <w:szCs w:val="20"/>
              </w:rPr>
              <w:t xml:space="preserve"> pracy lub wynikająca </w:t>
            </w:r>
            <w:r>
              <w:rPr>
                <w:rFonts w:ascii="Calibri" w:eastAsia="Calibri" w:hAnsi="Calibri" w:cs="Calibri"/>
                <w:color w:val="000000"/>
                <w:sz w:val="20"/>
                <w:szCs w:val="20"/>
              </w:rPr>
              <w:br/>
              <w:t>z obowiązku służbowego, wyłączając dojazd do/z pracy (</w:t>
            </w:r>
            <w:proofErr w:type="spellStart"/>
            <w:r>
              <w:rPr>
                <w:rFonts w:ascii="Calibri" w:eastAsia="Calibri" w:hAnsi="Calibri" w:cs="Calibri"/>
                <w:color w:val="000000"/>
                <w:sz w:val="20"/>
                <w:szCs w:val="20"/>
              </w:rPr>
              <w:t>commuting</w:t>
            </w:r>
            <w:proofErr w:type="spellEnd"/>
            <w:r>
              <w:rPr>
                <w:rFonts w:ascii="Calibri" w:eastAsia="Calibri" w:hAnsi="Calibri" w:cs="Calibri"/>
                <w:color w:val="000000"/>
                <w:sz w:val="20"/>
                <w:szCs w:val="20"/>
              </w:rPr>
              <w:t xml:space="preserve">). Najczęściej koszty przejazdu </w:t>
            </w:r>
            <w:r w:rsidR="002D4835">
              <w:rPr>
                <w:rFonts w:ascii="Calibri" w:eastAsia="Calibri" w:hAnsi="Calibri" w:cs="Calibri"/>
                <w:color w:val="000000"/>
                <w:sz w:val="20"/>
                <w:szCs w:val="20"/>
              </w:rPr>
              <w:t xml:space="preserve">w celach służbowych </w:t>
            </w:r>
            <w:r>
              <w:rPr>
                <w:rFonts w:ascii="Calibri" w:eastAsia="Calibri" w:hAnsi="Calibri" w:cs="Calibri"/>
                <w:color w:val="000000"/>
                <w:sz w:val="20"/>
                <w:szCs w:val="20"/>
              </w:rPr>
              <w:t>nie są pokrywane przez użytkownika tylko przez pracodawcę.</w:t>
            </w:r>
          </w:p>
          <w:p w14:paraId="10A6C1C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Prędkość projektowa </w:t>
            </w:r>
            <w:r>
              <w:rPr>
                <w:rFonts w:ascii="Calibri" w:eastAsia="Calibri" w:hAnsi="Calibri" w:cs="Calibri"/>
                <w:color w:val="333399"/>
                <w:sz w:val="20"/>
                <w:szCs w:val="20"/>
              </w:rPr>
              <w:t>–</w:t>
            </w: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 to prędkość, dla jakiej projektowane są parametry techniczne poszczególnych elementów drogi, zapewniająca bezpieczną jazdę pojedynczego pojazdu w normalnych warunkach.</w:t>
            </w:r>
          </w:p>
          <w:p w14:paraId="68658A12" w14:textId="35DAD266"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Średnia prędkość podróży </w:t>
            </w:r>
            <w:r>
              <w:rPr>
                <w:rFonts w:ascii="Calibri" w:eastAsia="Calibri" w:hAnsi="Calibri" w:cs="Calibri"/>
                <w:color w:val="333399"/>
                <w:sz w:val="20"/>
                <w:szCs w:val="20"/>
              </w:rPr>
              <w:t>–</w:t>
            </w:r>
            <w:r>
              <w:rPr>
                <w:rFonts w:ascii="Calibri" w:eastAsia="Calibri" w:hAnsi="Calibri" w:cs="Calibri"/>
                <w:b/>
                <w:color w:val="000000"/>
                <w:sz w:val="20"/>
                <w:szCs w:val="20"/>
              </w:rPr>
              <w:t xml:space="preserve"> </w:t>
            </w:r>
            <w:r>
              <w:rPr>
                <w:rFonts w:ascii="Calibri" w:eastAsia="Calibri" w:hAnsi="Calibri" w:cs="Calibri"/>
                <w:color w:val="000000"/>
                <w:sz w:val="20"/>
                <w:szCs w:val="20"/>
              </w:rPr>
              <w:t>to prędkość przejazdu na odcinku uwzględn</w:t>
            </w:r>
            <w:r w:rsidR="00B95FB9">
              <w:rPr>
                <w:rFonts w:ascii="Calibri" w:eastAsia="Calibri" w:hAnsi="Calibri" w:cs="Calibri"/>
                <w:color w:val="000000"/>
                <w:sz w:val="20"/>
                <w:szCs w:val="20"/>
              </w:rPr>
              <w:t xml:space="preserve">iająca ograniczenia techniczne </w:t>
            </w:r>
            <w:r>
              <w:rPr>
                <w:rFonts w:ascii="Calibri" w:eastAsia="Calibri" w:hAnsi="Calibri" w:cs="Calibri"/>
                <w:color w:val="000000"/>
                <w:sz w:val="20"/>
                <w:szCs w:val="20"/>
              </w:rPr>
              <w:t>i formalno-prawne trasy (np.: ograniczenia prędkości).</w:t>
            </w:r>
          </w:p>
          <w:p w14:paraId="1A6EC20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FNPV</w:t>
            </w:r>
            <w:r>
              <w:rPr>
                <w:rFonts w:ascii="Calibri" w:eastAsia="Calibri" w:hAnsi="Calibri" w:cs="Calibri"/>
                <w:color w:val="000000"/>
                <w:sz w:val="20"/>
                <w:szCs w:val="20"/>
              </w:rPr>
              <w:t xml:space="preserve"> – Financial Net </w:t>
            </w:r>
            <w:proofErr w:type="spellStart"/>
            <w:r>
              <w:rPr>
                <w:rFonts w:ascii="Calibri" w:eastAsia="Calibri" w:hAnsi="Calibri" w:cs="Calibri"/>
                <w:color w:val="000000"/>
                <w:sz w:val="20"/>
                <w:szCs w:val="20"/>
              </w:rPr>
              <w:t>Present</w:t>
            </w:r>
            <w:proofErr w:type="spellEnd"/>
            <w:r>
              <w:rPr>
                <w:rFonts w:ascii="Calibri" w:eastAsia="Calibri" w:hAnsi="Calibri" w:cs="Calibri"/>
                <w:color w:val="000000"/>
                <w:sz w:val="20"/>
                <w:szCs w:val="20"/>
              </w:rPr>
              <w:t xml:space="preserve"> Value (finansowa zaktualizowana wartość netto). Suma zdyskontowanych wartości oczekiwanych kosztów inwestycji i kosztów operacyjnych pomniejszonych o zdyskontowaną wartość oczekiwanych przychodów.</w:t>
            </w:r>
          </w:p>
          <w:p w14:paraId="2615AF0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ENPV</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Economic</w:t>
            </w:r>
            <w:proofErr w:type="spellEnd"/>
            <w:r>
              <w:rPr>
                <w:rFonts w:ascii="Calibri" w:eastAsia="Calibri" w:hAnsi="Calibri" w:cs="Calibri"/>
                <w:color w:val="000000"/>
                <w:sz w:val="20"/>
                <w:szCs w:val="20"/>
              </w:rPr>
              <w:t xml:space="preserve"> Net </w:t>
            </w:r>
            <w:proofErr w:type="spellStart"/>
            <w:r>
              <w:rPr>
                <w:rFonts w:ascii="Calibri" w:eastAsia="Calibri" w:hAnsi="Calibri" w:cs="Calibri"/>
                <w:color w:val="000000"/>
                <w:sz w:val="20"/>
                <w:szCs w:val="20"/>
              </w:rPr>
              <w:t>Present</w:t>
            </w:r>
            <w:proofErr w:type="spellEnd"/>
            <w:r>
              <w:rPr>
                <w:rFonts w:ascii="Calibri" w:eastAsia="Calibri" w:hAnsi="Calibri" w:cs="Calibri"/>
                <w:color w:val="000000"/>
                <w:sz w:val="20"/>
                <w:szCs w:val="20"/>
              </w:rPr>
              <w:t xml:space="preserve"> Value (ekonomiczna zaktualizowana wartość netto). Suma zdyskontowanych wartości oczekiwanych kosztów inwestycji pomniejszonych o zdyskontowaną wartość oczekiwanych korzyści ekonomicznych. </w:t>
            </w:r>
          </w:p>
          <w:p w14:paraId="28E8736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7463B9">
              <w:rPr>
                <w:rFonts w:ascii="Calibri" w:eastAsia="Calibri" w:hAnsi="Calibri" w:cs="Calibri"/>
                <w:b/>
                <w:color w:val="000000"/>
                <w:sz w:val="20"/>
                <w:szCs w:val="20"/>
              </w:rPr>
              <w:t>FRR</w:t>
            </w:r>
            <w:r w:rsidRPr="007463B9">
              <w:rPr>
                <w:rFonts w:ascii="Calibri" w:eastAsia="Calibri" w:hAnsi="Calibri" w:cs="Calibri"/>
                <w:color w:val="000000"/>
                <w:sz w:val="20"/>
                <w:szCs w:val="20"/>
              </w:rPr>
              <w:t xml:space="preserve"> – Financial (</w:t>
            </w:r>
            <w:proofErr w:type="spellStart"/>
            <w:r w:rsidRPr="007463B9">
              <w:rPr>
                <w:rFonts w:ascii="Calibri" w:eastAsia="Calibri" w:hAnsi="Calibri" w:cs="Calibri"/>
                <w:color w:val="000000"/>
                <w:sz w:val="20"/>
                <w:szCs w:val="20"/>
              </w:rPr>
              <w:t>Internal</w:t>
            </w:r>
            <w:proofErr w:type="spellEnd"/>
            <w:r w:rsidRPr="007463B9">
              <w:rPr>
                <w:rFonts w:ascii="Calibri" w:eastAsia="Calibri" w:hAnsi="Calibri" w:cs="Calibri"/>
                <w:color w:val="000000"/>
                <w:sz w:val="20"/>
                <w:szCs w:val="20"/>
              </w:rPr>
              <w:t xml:space="preserve">) </w:t>
            </w:r>
            <w:proofErr w:type="spellStart"/>
            <w:r w:rsidRPr="007463B9">
              <w:rPr>
                <w:rFonts w:ascii="Calibri" w:eastAsia="Calibri" w:hAnsi="Calibri" w:cs="Calibri"/>
                <w:color w:val="000000"/>
                <w:sz w:val="20"/>
                <w:szCs w:val="20"/>
              </w:rPr>
              <w:t>Rate</w:t>
            </w:r>
            <w:proofErr w:type="spellEnd"/>
            <w:r w:rsidRPr="007463B9">
              <w:rPr>
                <w:rFonts w:ascii="Calibri" w:eastAsia="Calibri" w:hAnsi="Calibri" w:cs="Calibri"/>
                <w:color w:val="000000"/>
                <w:sz w:val="20"/>
                <w:szCs w:val="20"/>
              </w:rPr>
              <w:t xml:space="preserve"> of Return (finansowa wewnętrzna stopa zwrotu). </w:t>
            </w:r>
            <w:r>
              <w:rPr>
                <w:rFonts w:ascii="Calibri" w:eastAsia="Calibri" w:hAnsi="Calibri" w:cs="Calibri"/>
                <w:color w:val="000000"/>
                <w:sz w:val="20"/>
                <w:szCs w:val="20"/>
              </w:rPr>
              <w:t>Stopa dyskontowa dla której FNPV=0.</w:t>
            </w:r>
          </w:p>
          <w:p w14:paraId="789F809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ERR</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Economic</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Rate</w:t>
            </w:r>
            <w:proofErr w:type="spellEnd"/>
            <w:r>
              <w:rPr>
                <w:rFonts w:ascii="Calibri" w:eastAsia="Calibri" w:hAnsi="Calibri" w:cs="Calibri"/>
                <w:color w:val="000000"/>
                <w:sz w:val="20"/>
                <w:szCs w:val="20"/>
              </w:rPr>
              <w:t xml:space="preserve"> of Return (ekonomiczna wewnętrzna stopa zwrotu). Jeden ze wskaźników efektywności społeczno-ekonomicznej projektu. Stopa dyskontowa przy której bieżąca wartość korzyści równa jest wartości bieżącej kosztów tj. ekonomiczna zaktualizowana wartość netto (ENPV) jest równa 0. </w:t>
            </w:r>
          </w:p>
          <w:p w14:paraId="1A161D9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lastRenderedPageBreak/>
              <w:t>GPR – Generalny Pomiar Ruchu</w:t>
            </w:r>
            <w:r>
              <w:rPr>
                <w:rFonts w:ascii="Calibri" w:eastAsia="Calibri" w:hAnsi="Calibri" w:cs="Calibri"/>
                <w:color w:val="000000"/>
                <w:sz w:val="20"/>
                <w:szCs w:val="20"/>
              </w:rPr>
              <w:t xml:space="preserve"> – cykliczny (organizowany co 5 lat) pomiar natężeń ruchu drogowego na drogach krajowych i wojewódzkich, przeprowadzany na terenie całego kraju w celu określenia podstawowych parametrów ruchu, tj.:</w:t>
            </w:r>
          </w:p>
          <w:p w14:paraId="5D791A5E" w14:textId="77777777" w:rsidR="00600DEE" w:rsidRDefault="00641FB5" w:rsidP="00D5736B">
            <w:pPr>
              <w:numPr>
                <w:ilvl w:val="0"/>
                <w:numId w:val="47"/>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Średni Dobowy Ruch w roku (SDR) i rodzajowa struktura ruchu w punktach pomiarowych,</w:t>
            </w:r>
          </w:p>
          <w:p w14:paraId="09F5680F" w14:textId="77777777" w:rsidR="00600DEE" w:rsidRDefault="00641FB5" w:rsidP="00D5736B">
            <w:pPr>
              <w:numPr>
                <w:ilvl w:val="0"/>
                <w:numId w:val="47"/>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obciążenie ruchem sieci dróg krajowych w kraju i poszczególnych województwach z uwzględnieniem podziału funkcjonalnego dróg,</w:t>
            </w:r>
          </w:p>
          <w:p w14:paraId="26A5CE1C" w14:textId="77777777" w:rsidR="00600DEE" w:rsidRDefault="00641FB5" w:rsidP="00D5736B">
            <w:pPr>
              <w:numPr>
                <w:ilvl w:val="0"/>
                <w:numId w:val="47"/>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obciążenie ruchem sieci dróg krajowych z uwzględnieniem podziału na klasy techniczne dróg.</w:t>
            </w:r>
          </w:p>
          <w:p w14:paraId="41E0C6A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SDR </w:t>
            </w:r>
            <w:r>
              <w:rPr>
                <w:rFonts w:ascii="Calibri" w:eastAsia="Calibri" w:hAnsi="Calibri" w:cs="Calibri"/>
                <w:color w:val="000000"/>
                <w:sz w:val="20"/>
                <w:szCs w:val="20"/>
              </w:rPr>
              <w:t xml:space="preserve">, </w:t>
            </w:r>
            <w:r>
              <w:rPr>
                <w:rFonts w:ascii="Calibri" w:eastAsia="Calibri" w:hAnsi="Calibri" w:cs="Calibri"/>
                <w:b/>
                <w:color w:val="000000"/>
                <w:sz w:val="20"/>
                <w:szCs w:val="20"/>
              </w:rPr>
              <w:t>Średni dobowy ruch w roku</w:t>
            </w:r>
            <w:r>
              <w:rPr>
                <w:rFonts w:ascii="Calibri" w:eastAsia="Calibri" w:hAnsi="Calibri" w:cs="Calibri"/>
                <w:color w:val="000000"/>
                <w:sz w:val="20"/>
                <w:szCs w:val="20"/>
              </w:rPr>
              <w:t xml:space="preserve"> - liczba pojazdów silnikowych przejeżdżających przez przekrój poprzeczny drogi w ciągu 24 kolejnych godzin średnio w ciągu roku. SDR wyrażony jest w pojazdach rzeczywistych na dobę, wyliczony zgodnie z odpowiednimi wytycznymi.</w:t>
            </w:r>
          </w:p>
          <w:p w14:paraId="67322DF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Struktura rodzajowa ruchu</w:t>
            </w:r>
            <w:r>
              <w:rPr>
                <w:rFonts w:ascii="Calibri" w:eastAsia="Calibri" w:hAnsi="Calibri" w:cs="Calibri"/>
                <w:color w:val="000000"/>
                <w:sz w:val="20"/>
                <w:szCs w:val="20"/>
              </w:rPr>
              <w:t xml:space="preserve"> – podział potoku ruchu na poszczególne kategorie pojazdów w ujęciu ilościowym i procentowym.</w:t>
            </w:r>
          </w:p>
          <w:p w14:paraId="0B1A3E2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Kategorie pojazdów </w:t>
            </w:r>
            <w:r>
              <w:rPr>
                <w:rFonts w:ascii="Calibri" w:eastAsia="Calibri" w:hAnsi="Calibri" w:cs="Calibri"/>
                <w:color w:val="000000"/>
                <w:sz w:val="20"/>
                <w:szCs w:val="20"/>
              </w:rPr>
              <w:t>samochodowych uwzględniane w krajowym modelu ruchu:</w:t>
            </w:r>
          </w:p>
          <w:p w14:paraId="08CEA3A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SO </w:t>
            </w:r>
            <w:r>
              <w:rPr>
                <w:rFonts w:ascii="Calibri" w:eastAsia="Calibri" w:hAnsi="Calibri" w:cs="Calibri"/>
                <w:color w:val="000000"/>
                <w:sz w:val="20"/>
                <w:szCs w:val="20"/>
              </w:rPr>
              <w:t>– samochody osobowe,</w:t>
            </w:r>
          </w:p>
          <w:p w14:paraId="7A68F67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SD</w:t>
            </w:r>
            <w:r>
              <w:rPr>
                <w:rFonts w:ascii="Calibri" w:eastAsia="Calibri" w:hAnsi="Calibri" w:cs="Calibri"/>
                <w:color w:val="000000"/>
                <w:sz w:val="20"/>
                <w:szCs w:val="20"/>
              </w:rPr>
              <w:t xml:space="preserve"> – samochody dostawcze,</w:t>
            </w:r>
          </w:p>
          <w:p w14:paraId="27C400E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SC</w:t>
            </w:r>
            <w:r>
              <w:rPr>
                <w:rFonts w:ascii="Calibri" w:eastAsia="Calibri" w:hAnsi="Calibri" w:cs="Calibri"/>
                <w:color w:val="000000"/>
                <w:sz w:val="20"/>
                <w:szCs w:val="20"/>
              </w:rPr>
              <w:t xml:space="preserve"> – samochody ciężarowe bez przyczep,</w:t>
            </w:r>
          </w:p>
          <w:p w14:paraId="2564923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proofErr w:type="spellStart"/>
            <w:r>
              <w:rPr>
                <w:rFonts w:ascii="Calibri" w:eastAsia="Calibri" w:hAnsi="Calibri" w:cs="Calibri"/>
                <w:b/>
                <w:color w:val="000000"/>
                <w:sz w:val="20"/>
                <w:szCs w:val="20"/>
              </w:rPr>
              <w:t>SCp</w:t>
            </w:r>
            <w:proofErr w:type="spellEnd"/>
            <w:r>
              <w:rPr>
                <w:rFonts w:ascii="Calibri" w:eastAsia="Calibri" w:hAnsi="Calibri" w:cs="Calibri"/>
                <w:color w:val="000000"/>
                <w:sz w:val="20"/>
                <w:szCs w:val="20"/>
              </w:rPr>
              <w:t xml:space="preserve"> – samochody ciężarowe z przyczepami i naczepami,</w:t>
            </w:r>
          </w:p>
          <w:p w14:paraId="1E4AF79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GPR dodatkowo uwzględnia się:</w:t>
            </w:r>
          </w:p>
          <w:p w14:paraId="3D0935F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M</w:t>
            </w:r>
            <w:r>
              <w:rPr>
                <w:rFonts w:ascii="Calibri" w:eastAsia="Calibri" w:hAnsi="Calibri" w:cs="Calibri"/>
                <w:color w:val="000000"/>
                <w:sz w:val="20"/>
                <w:szCs w:val="20"/>
              </w:rPr>
              <w:t xml:space="preserve"> – motocykle i motorowery,</w:t>
            </w:r>
          </w:p>
          <w:p w14:paraId="25693ED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proofErr w:type="spellStart"/>
            <w:r>
              <w:rPr>
                <w:rFonts w:ascii="Calibri" w:eastAsia="Calibri" w:hAnsi="Calibri" w:cs="Calibri"/>
                <w:b/>
                <w:color w:val="000000"/>
                <w:sz w:val="20"/>
                <w:szCs w:val="20"/>
              </w:rPr>
              <w:t>SOp</w:t>
            </w:r>
            <w:proofErr w:type="spellEnd"/>
            <w:r>
              <w:rPr>
                <w:rFonts w:ascii="Calibri" w:eastAsia="Calibri" w:hAnsi="Calibri" w:cs="Calibri"/>
                <w:color w:val="000000"/>
                <w:sz w:val="20"/>
                <w:szCs w:val="20"/>
              </w:rPr>
              <w:t xml:space="preserve"> – samochody osobowe z przyczepami,</w:t>
            </w:r>
          </w:p>
          <w:p w14:paraId="519BC73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A </w:t>
            </w:r>
            <w:r>
              <w:rPr>
                <w:rFonts w:ascii="Calibri" w:eastAsia="Calibri" w:hAnsi="Calibri" w:cs="Calibri"/>
                <w:color w:val="000000"/>
                <w:sz w:val="20"/>
                <w:szCs w:val="20"/>
              </w:rPr>
              <w:t>– autobusy.</w:t>
            </w:r>
          </w:p>
          <w:p w14:paraId="603598E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Kategorie pojazdów, które można zamiennie przyjąć są następujące:</w:t>
            </w:r>
          </w:p>
          <w:p w14:paraId="03372080" w14:textId="77777777" w:rsidR="00600DEE" w:rsidRDefault="00641FB5" w:rsidP="00D5736B">
            <w:pPr>
              <w:numPr>
                <w:ilvl w:val="0"/>
                <w:numId w:val="45"/>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LV</w:t>
            </w:r>
            <w:r>
              <w:rPr>
                <w:rFonts w:ascii="Calibri" w:eastAsia="Calibri" w:hAnsi="Calibri" w:cs="Calibri"/>
                <w:color w:val="000000"/>
                <w:sz w:val="20"/>
                <w:szCs w:val="20"/>
              </w:rPr>
              <w:t xml:space="preserve"> – samochody lekkie, masa całkowita &lt; 3,5 tony,</w:t>
            </w:r>
          </w:p>
          <w:p w14:paraId="74E66E6B" w14:textId="77777777" w:rsidR="00600DEE" w:rsidRDefault="00641FB5" w:rsidP="00D5736B">
            <w:pPr>
              <w:numPr>
                <w:ilvl w:val="0"/>
                <w:numId w:val="45"/>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HGV</w:t>
            </w:r>
            <w:r>
              <w:rPr>
                <w:rFonts w:ascii="Calibri" w:eastAsia="Calibri" w:hAnsi="Calibri" w:cs="Calibri"/>
                <w:color w:val="000000"/>
                <w:sz w:val="20"/>
                <w:szCs w:val="20"/>
              </w:rPr>
              <w:t xml:space="preserve"> – samochody ciężkie, masa całkowita &gt; 3,5 tony (w tym autobusy).</w:t>
            </w:r>
          </w:p>
          <w:p w14:paraId="4726E740" w14:textId="39F9030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lastRenderedPageBreak/>
              <w:t xml:space="preserve">Praca </w:t>
            </w:r>
            <w:r w:rsidR="00F468E2">
              <w:rPr>
                <w:rFonts w:ascii="Calibri" w:eastAsia="Calibri" w:hAnsi="Calibri" w:cs="Calibri"/>
                <w:b/>
                <w:color w:val="000000"/>
                <w:sz w:val="20"/>
                <w:szCs w:val="20"/>
              </w:rPr>
              <w:t>eksploatacyjna</w:t>
            </w:r>
            <w:r w:rsidR="00E008AE">
              <w:rPr>
                <w:rFonts w:ascii="Calibri" w:eastAsia="Calibri" w:hAnsi="Calibri" w:cs="Calibri"/>
                <w:color w:val="000000"/>
                <w:sz w:val="20"/>
                <w:szCs w:val="20"/>
              </w:rPr>
              <w:t xml:space="preserve"> </w:t>
            </w:r>
            <w:r>
              <w:rPr>
                <w:rFonts w:ascii="Calibri" w:eastAsia="Calibri" w:hAnsi="Calibri" w:cs="Calibri"/>
                <w:color w:val="000000"/>
                <w:sz w:val="20"/>
                <w:szCs w:val="20"/>
              </w:rPr>
              <w:t>– iloczyn: liczby przejechanych kilometrów (długość drogi) i liczby pojazdów (wyrażona w </w:t>
            </w:r>
            <w:proofErr w:type="spellStart"/>
            <w:r>
              <w:rPr>
                <w:rFonts w:ascii="Calibri" w:eastAsia="Calibri" w:hAnsi="Calibri" w:cs="Calibri"/>
                <w:color w:val="000000"/>
                <w:sz w:val="20"/>
                <w:szCs w:val="20"/>
              </w:rPr>
              <w:t>pojazdokilometrach</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poj</w:t>
            </w:r>
            <w:proofErr w:type="spellEnd"/>
            <w:r>
              <w:rPr>
                <w:rFonts w:ascii="Calibri" w:eastAsia="Calibri" w:hAnsi="Calibri" w:cs="Calibri"/>
                <w:color w:val="000000"/>
                <w:sz w:val="20"/>
                <w:szCs w:val="20"/>
              </w:rPr>
              <w:t>-km]) lub iloczyn liczby pojazdów i czasu przejazdu (wyrażona w </w:t>
            </w:r>
            <w:proofErr w:type="spellStart"/>
            <w:r>
              <w:rPr>
                <w:rFonts w:ascii="Calibri" w:eastAsia="Calibri" w:hAnsi="Calibri" w:cs="Calibri"/>
                <w:color w:val="000000"/>
                <w:sz w:val="20"/>
                <w:szCs w:val="20"/>
              </w:rPr>
              <w:t>pojazdogodzinach</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poj</w:t>
            </w:r>
            <w:proofErr w:type="spellEnd"/>
            <w:r>
              <w:rPr>
                <w:rFonts w:ascii="Calibri" w:eastAsia="Calibri" w:hAnsi="Calibri" w:cs="Calibri"/>
                <w:color w:val="000000"/>
                <w:sz w:val="20"/>
                <w:szCs w:val="20"/>
              </w:rPr>
              <w:t xml:space="preserve">-h]). </w:t>
            </w:r>
          </w:p>
          <w:p w14:paraId="3A824DB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Model ruchu</w:t>
            </w:r>
            <w:r>
              <w:rPr>
                <w:rFonts w:ascii="Calibri" w:eastAsia="Calibri" w:hAnsi="Calibri" w:cs="Calibri"/>
                <w:color w:val="000000"/>
                <w:sz w:val="20"/>
                <w:szCs w:val="20"/>
              </w:rPr>
              <w:t xml:space="preserve"> – matematyczne odwzorowanie </w:t>
            </w:r>
            <w:proofErr w:type="spellStart"/>
            <w:r>
              <w:rPr>
                <w:rFonts w:ascii="Calibri" w:eastAsia="Calibri" w:hAnsi="Calibri" w:cs="Calibri"/>
                <w:color w:val="000000"/>
                <w:sz w:val="20"/>
                <w:szCs w:val="20"/>
              </w:rPr>
              <w:t>zachowań</w:t>
            </w:r>
            <w:proofErr w:type="spellEnd"/>
            <w:r>
              <w:rPr>
                <w:rFonts w:ascii="Calibri" w:eastAsia="Calibri" w:hAnsi="Calibri" w:cs="Calibri"/>
                <w:color w:val="000000"/>
                <w:sz w:val="20"/>
                <w:szCs w:val="20"/>
              </w:rPr>
              <w:t xml:space="preserve"> użytkowników transportu indywidualnego i/lub zbiorowego oraz transportu towarowego.</w:t>
            </w:r>
          </w:p>
          <w:p w14:paraId="33EBC8DC" w14:textId="25E806E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Przepustowość </w:t>
            </w:r>
            <w:r>
              <w:rPr>
                <w:rFonts w:ascii="Calibri" w:eastAsia="Calibri" w:hAnsi="Calibri" w:cs="Calibri"/>
                <w:color w:val="000000"/>
                <w:sz w:val="20"/>
                <w:szCs w:val="20"/>
              </w:rPr>
              <w:t>– największa liczba jednostek (pojazdów lub pieszych), którą może przepuścić przekrój poprzeczny drogi (ulicy, wlotu na skrzyżowanie, przejścia dla pieszych, ścieżki rowerowej, itp.) w jednostce czasu. Przepustowość wyraża się w pojaz</w:t>
            </w:r>
            <w:r w:rsidR="002D4835">
              <w:rPr>
                <w:rFonts w:ascii="Calibri" w:eastAsia="Calibri" w:hAnsi="Calibri" w:cs="Calibri"/>
                <w:color w:val="000000"/>
                <w:sz w:val="20"/>
                <w:szCs w:val="20"/>
              </w:rPr>
              <w:t>dach rzeczywistych na godzinę [poj.</w:t>
            </w:r>
            <w:r>
              <w:rPr>
                <w:rFonts w:ascii="Calibri" w:eastAsia="Calibri" w:hAnsi="Calibri" w:cs="Calibri"/>
                <w:color w:val="000000"/>
                <w:sz w:val="20"/>
                <w:szCs w:val="20"/>
              </w:rPr>
              <w:t>/h].</w:t>
            </w:r>
          </w:p>
          <w:p w14:paraId="77856AEC"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Klasa drogi </w:t>
            </w:r>
            <w:r>
              <w:rPr>
                <w:rFonts w:ascii="Calibri" w:eastAsia="Calibri" w:hAnsi="Calibri" w:cs="Calibri"/>
                <w:color w:val="000000"/>
                <w:sz w:val="20"/>
                <w:szCs w:val="20"/>
              </w:rPr>
              <w:t>– rozumie się przez to przyporządkowanie drodze odpowiednich parametrów technicznych, wynikających z jej cech funkcjonalnych. Wyróżniamy następujące klasy dróg:</w:t>
            </w:r>
          </w:p>
          <w:p w14:paraId="5463D91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autostrady, oznaczone symbolem „A”,</w:t>
            </w:r>
          </w:p>
          <w:p w14:paraId="158D37A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ekspresowe, oznaczone symbolem „S”,</w:t>
            </w:r>
          </w:p>
          <w:p w14:paraId="659BEC4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główne ruchu przyspieszonego, oznaczone symbolem „GP”,</w:t>
            </w:r>
          </w:p>
          <w:p w14:paraId="29C398D6"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główne, oznaczone symbolem „G”,</w:t>
            </w:r>
          </w:p>
          <w:p w14:paraId="4FCB230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zbiorcze, oznaczone symbolem „Z”,</w:t>
            </w:r>
          </w:p>
          <w:p w14:paraId="3F0CBDB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lokalne, oznaczone symbolem „L”,</w:t>
            </w:r>
          </w:p>
          <w:p w14:paraId="66D698A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dojazdowe, oznaczone symbolem „D”.</w:t>
            </w:r>
          </w:p>
          <w:p w14:paraId="51AA2417"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Droga w terenie płaskim </w:t>
            </w:r>
            <w:r>
              <w:rPr>
                <w:rFonts w:ascii="Calibri" w:eastAsia="Calibri" w:hAnsi="Calibri" w:cs="Calibri"/>
                <w:color w:val="000000"/>
                <w:sz w:val="20"/>
                <w:szCs w:val="20"/>
              </w:rPr>
              <w:t>– droga na której nachylenie podłużne jest mniejsze lub równe 2%.</w:t>
            </w:r>
          </w:p>
          <w:p w14:paraId="07376AC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Droga w terenie falistym </w:t>
            </w:r>
            <w:r>
              <w:rPr>
                <w:rFonts w:ascii="Calibri" w:eastAsia="Calibri" w:hAnsi="Calibri" w:cs="Calibri"/>
                <w:color w:val="000000"/>
                <w:sz w:val="20"/>
                <w:szCs w:val="20"/>
              </w:rPr>
              <w:t>– droga na której nachylenie podłużne wynosi od 2% do 6%.</w:t>
            </w:r>
          </w:p>
          <w:p w14:paraId="74077D9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Droga w terenie górskim </w:t>
            </w:r>
            <w:r>
              <w:rPr>
                <w:rFonts w:ascii="Calibri" w:eastAsia="Calibri" w:hAnsi="Calibri" w:cs="Calibri"/>
                <w:color w:val="000000"/>
                <w:sz w:val="20"/>
                <w:szCs w:val="20"/>
              </w:rPr>
              <w:t>– droga na której nachylenie podłużne jest większe od 6%.</w:t>
            </w:r>
          </w:p>
          <w:p w14:paraId="5E6A50B7" w14:textId="572E871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Kate</w:t>
            </w:r>
            <w:r w:rsidR="00B95FB9">
              <w:rPr>
                <w:rFonts w:ascii="Calibri" w:eastAsia="Calibri" w:hAnsi="Calibri" w:cs="Calibri"/>
                <w:b/>
                <w:color w:val="000000"/>
                <w:sz w:val="20"/>
                <w:szCs w:val="20"/>
              </w:rPr>
              <w:t xml:space="preserve">goria drogi </w:t>
            </w:r>
            <w:r>
              <w:rPr>
                <w:rFonts w:ascii="Calibri" w:eastAsia="Calibri" w:hAnsi="Calibri" w:cs="Calibri"/>
                <w:color w:val="000000"/>
                <w:sz w:val="20"/>
                <w:szCs w:val="20"/>
              </w:rPr>
              <w:t>- rozumie się przez to przyporządkowanie drogi odpowiedniemu podmiotowi zarządzającemu. Wyróżniamy następujące kategorie dróg:</w:t>
            </w:r>
          </w:p>
          <w:p w14:paraId="2FA75951" w14:textId="74FC6FF5"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drogi kr</w:t>
            </w:r>
            <w:r w:rsidR="00B95FB9">
              <w:rPr>
                <w:rFonts w:ascii="Calibri" w:eastAsia="Calibri" w:hAnsi="Calibri" w:cs="Calibri"/>
                <w:color w:val="000000"/>
                <w:sz w:val="20"/>
                <w:szCs w:val="20"/>
              </w:rPr>
              <w:t>ajowe (zarządzane przez GDDKiA)</w:t>
            </w:r>
            <w:r>
              <w:rPr>
                <w:rFonts w:ascii="Calibri" w:eastAsia="Calibri" w:hAnsi="Calibri" w:cs="Calibri"/>
                <w:color w:val="000000"/>
                <w:sz w:val="20"/>
                <w:szCs w:val="20"/>
              </w:rPr>
              <w:t xml:space="preserve"> - klasa A,S,GP, wyjątkowo G,</w:t>
            </w:r>
          </w:p>
          <w:p w14:paraId="421A544A" w14:textId="77777777"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drogi wojewódzkie - klasa G,Z, wyjątkowo GP,</w:t>
            </w:r>
          </w:p>
          <w:p w14:paraId="072068E3" w14:textId="77777777"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drogi powiatowe - klasa G, Z, wyjątkowo L</w:t>
            </w:r>
          </w:p>
          <w:p w14:paraId="01648351" w14:textId="3B96BB71" w:rsidR="00600DEE" w:rsidRDefault="00B95FB9"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drogi gminne - klasa L, D, wyjątkowo </w:t>
            </w:r>
            <w:r w:rsidR="00641FB5">
              <w:rPr>
                <w:rFonts w:ascii="Calibri" w:eastAsia="Calibri" w:hAnsi="Calibri" w:cs="Calibri"/>
                <w:color w:val="000000"/>
                <w:sz w:val="20"/>
                <w:szCs w:val="20"/>
              </w:rPr>
              <w:t>Z.</w:t>
            </w:r>
          </w:p>
          <w:p w14:paraId="080E6C68" w14:textId="77777777"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leśne, zakładowe, prywatne  </w:t>
            </w:r>
          </w:p>
          <w:p w14:paraId="2C618B2E" w14:textId="419E1892" w:rsidR="00600DEE" w:rsidRDefault="00641FB5" w:rsidP="002D4835">
            <w:pPr>
              <w:spacing w:before="120"/>
              <w:jc w:val="both"/>
              <w:rPr>
                <w:rFonts w:ascii="Calibri" w:eastAsia="Calibri" w:hAnsi="Calibri" w:cs="Calibri"/>
                <w:sz w:val="20"/>
                <w:szCs w:val="20"/>
              </w:rPr>
            </w:pPr>
            <w:r>
              <w:rPr>
                <w:rFonts w:ascii="Calibri" w:eastAsia="Calibri" w:hAnsi="Calibri" w:cs="Calibri"/>
                <w:b/>
                <w:sz w:val="20"/>
                <w:szCs w:val="20"/>
              </w:rPr>
              <w:t xml:space="preserve">Bufor, obszar oddziaływania projektu </w:t>
            </w:r>
            <w:r>
              <w:rPr>
                <w:rFonts w:ascii="Calibri" w:eastAsia="Calibri" w:hAnsi="Calibri" w:cs="Calibri"/>
                <w:sz w:val="20"/>
                <w:szCs w:val="20"/>
              </w:rPr>
              <w:t xml:space="preserve">– obszar wyodrębniany z modelu sieci dróg na potrzeby analiz finansowo-ekonomicznych. Dla nowej inwestycji zamiejskiej drogowej lub autostradowej jest to zazwyczaj obszar obejmujący odcinki, dla których różnica w natężeniach ruchu pomiędzy wariantem </w:t>
            </w:r>
            <w:proofErr w:type="spellStart"/>
            <w:r>
              <w:rPr>
                <w:rFonts w:ascii="Calibri" w:eastAsia="Calibri" w:hAnsi="Calibri" w:cs="Calibri"/>
                <w:sz w:val="20"/>
                <w:szCs w:val="20"/>
              </w:rPr>
              <w:t>Wn</w:t>
            </w:r>
            <w:proofErr w:type="spellEnd"/>
            <w:r>
              <w:rPr>
                <w:rFonts w:ascii="Calibri" w:eastAsia="Calibri" w:hAnsi="Calibri" w:cs="Calibri"/>
                <w:sz w:val="20"/>
                <w:szCs w:val="20"/>
              </w:rPr>
              <w:t xml:space="preserve"> i W0 jest większa niż 10%, co można uznać za znaczące odziaływanie tej inwestycji na sieć dróg. W innych sytuacjach bufor może obejmować odcinki powyżej 5% lub powyżej 15% </w:t>
            </w:r>
            <w:r>
              <w:rPr>
                <w:rFonts w:ascii="Calibri" w:eastAsia="Calibri" w:hAnsi="Calibri" w:cs="Calibri"/>
                <w:color w:val="333399"/>
                <w:sz w:val="20"/>
                <w:szCs w:val="20"/>
              </w:rPr>
              <w:t>– w </w:t>
            </w:r>
            <w:r>
              <w:rPr>
                <w:rFonts w:ascii="Calibri" w:eastAsia="Calibri" w:hAnsi="Calibri" w:cs="Calibri"/>
                <w:sz w:val="20"/>
                <w:szCs w:val="20"/>
              </w:rPr>
              <w:t>zależności od danego projektu.</w:t>
            </w:r>
          </w:p>
        </w:tc>
        <w:tc>
          <w:tcPr>
            <w:tcW w:w="6921" w:type="dxa"/>
            <w:tcBorders>
              <w:left w:val="single" w:sz="4" w:space="0" w:color="000000"/>
            </w:tcBorders>
            <w:tcMar>
              <w:left w:w="284" w:type="dxa"/>
              <w:right w:w="284" w:type="dxa"/>
            </w:tcMar>
          </w:tcPr>
          <w:p w14:paraId="352527E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lastRenderedPageBreak/>
              <w:t xml:space="preserve">The non-investment option (W0), </w:t>
            </w:r>
            <w:r w:rsidRPr="0045151D">
              <w:rPr>
                <w:rFonts w:ascii="Calibri" w:eastAsia="Calibri" w:hAnsi="Calibri" w:cs="Calibri"/>
                <w:color w:val="000000"/>
                <w:sz w:val="20"/>
                <w:szCs w:val="20"/>
                <w:lang w:val="en-GB"/>
              </w:rPr>
              <w:t>also called</w:t>
            </w:r>
            <w:r w:rsidRPr="0045151D">
              <w:rPr>
                <w:rFonts w:ascii="Calibri" w:eastAsia="Calibri" w:hAnsi="Calibri" w:cs="Calibri"/>
                <w:b/>
                <w:color w:val="000000"/>
                <w:sz w:val="20"/>
                <w:szCs w:val="20"/>
                <w:lang w:val="en-GB"/>
              </w:rPr>
              <w:t xml:space="preserve"> without-the-project option,</w:t>
            </w:r>
            <w:r w:rsidRPr="0045151D">
              <w:rPr>
                <w:rFonts w:ascii="Calibri" w:eastAsia="Calibri" w:hAnsi="Calibri" w:cs="Calibri"/>
                <w:color w:val="000000"/>
                <w:sz w:val="20"/>
                <w:szCs w:val="20"/>
                <w:lang w:val="en-GB"/>
              </w:rPr>
              <w:t xml:space="preserve"> is the basic option in the CBA (considering the incremental approach), as it is the reference to which all investment options will be compared. The non-investment option means that required operation and maintenance costs are incurred (these may increase significantly with time as the condition of the infrastructure deteriorates) in order to enable a minimum level of maintenance and the functioning of the infrastructure without deterioration of its technical condition during the analysed period. This definition should be interpreted as the provision of a desired (standard) level of repairs and maintenance of the existing infrastructure and equipment.</w:t>
            </w:r>
          </w:p>
          <w:p w14:paraId="6D79D13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Option </w:t>
            </w:r>
            <w:proofErr w:type="spellStart"/>
            <w:r w:rsidRPr="0045151D">
              <w:rPr>
                <w:rFonts w:ascii="Calibri" w:eastAsia="Calibri" w:hAnsi="Calibri" w:cs="Calibri"/>
                <w:b/>
                <w:color w:val="000000"/>
                <w:sz w:val="20"/>
                <w:szCs w:val="20"/>
                <w:lang w:val="en-GB"/>
              </w:rPr>
              <w:t>Wn</w:t>
            </w:r>
            <w:proofErr w:type="spellEnd"/>
            <w:r w:rsidRPr="0045151D">
              <w:rPr>
                <w:rFonts w:ascii="Calibri" w:eastAsia="Calibri" w:hAnsi="Calibri" w:cs="Calibri"/>
                <w:b/>
                <w:color w:val="000000"/>
                <w:sz w:val="20"/>
                <w:szCs w:val="20"/>
                <w:lang w:val="en-GB"/>
              </w:rPr>
              <w:t xml:space="preserve">, </w:t>
            </w:r>
            <w:r w:rsidRPr="0045151D">
              <w:rPr>
                <w:rFonts w:ascii="Calibri" w:eastAsia="Calibri" w:hAnsi="Calibri" w:cs="Calibri"/>
                <w:color w:val="000000"/>
                <w:sz w:val="20"/>
                <w:szCs w:val="20"/>
                <w:lang w:val="en-GB"/>
              </w:rPr>
              <w:t>also called</w:t>
            </w:r>
            <w:r w:rsidRPr="0045151D">
              <w:rPr>
                <w:rFonts w:ascii="Calibri" w:eastAsia="Calibri" w:hAnsi="Calibri" w:cs="Calibri"/>
                <w:b/>
                <w:color w:val="000000"/>
                <w:sz w:val="20"/>
                <w:szCs w:val="20"/>
                <w:lang w:val="en-GB"/>
              </w:rPr>
              <w:t xml:space="preserve"> with-the-project option</w:t>
            </w:r>
            <w:r w:rsidRPr="0045151D">
              <w:rPr>
                <w:rFonts w:ascii="Calibri" w:eastAsia="Calibri" w:hAnsi="Calibri" w:cs="Calibri"/>
                <w:color w:val="000000"/>
                <w:sz w:val="20"/>
                <w:szCs w:val="20"/>
                <w:lang w:val="en-GB"/>
              </w:rPr>
              <w:t xml:space="preserve"> – i.e. investment options (W1, W2,...,</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in which capital expenditures (to be incurred in the first and possibly following years) and maintenance costs of the new or reconstructed section are defined. In case of diverted traffic from another section (e.g. the urban section, when a bypass or a new bridge are designed), maintenance costs and costs of repairs of existing unloaded road are also considered.</w:t>
            </w:r>
          </w:p>
          <w:p w14:paraId="755BA41F"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Minor repairs</w:t>
            </w:r>
          </w:p>
          <w:p w14:paraId="57B434F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 roads: minor repair of pavement means a set of technical treatments connected with removal of damages decreasing the traffic safety as well as treatments on small areas to prevent the growth of the damaged areas, i.e.:</w:t>
            </w:r>
          </w:p>
          <w:p w14:paraId="3760E3BD" w14:textId="77777777" w:rsidR="00600DEE"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patching</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pavement</w:t>
            </w:r>
            <w:proofErr w:type="spellEnd"/>
            <w:r>
              <w:rPr>
                <w:rFonts w:ascii="Calibri" w:eastAsia="Calibri" w:hAnsi="Calibri" w:cs="Calibri"/>
                <w:color w:val="000000"/>
                <w:sz w:val="20"/>
                <w:szCs w:val="20"/>
              </w:rPr>
              <w:t>,</w:t>
            </w:r>
          </w:p>
          <w:p w14:paraId="1B0D94BE"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removal of minor damages, cracking, spalling and ravelling of pavement,</w:t>
            </w:r>
          </w:p>
          <w:p w14:paraId="730FF0A5" w14:textId="77777777" w:rsidR="00600DEE"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removing</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frost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damages</w:t>
            </w:r>
            <w:proofErr w:type="spellEnd"/>
            <w:r>
              <w:rPr>
                <w:rFonts w:ascii="Calibri" w:eastAsia="Calibri" w:hAnsi="Calibri" w:cs="Calibri"/>
                <w:color w:val="000000"/>
                <w:sz w:val="20"/>
                <w:szCs w:val="20"/>
              </w:rPr>
              <w:t>.</w:t>
            </w:r>
          </w:p>
          <w:p w14:paraId="458FEFE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 bridges: minor repairs include removal of damages caused by traffic, weather conditions, ground and water conditions as well as maintenance treatments of structure elements, i.e.:</w:t>
            </w:r>
          </w:p>
          <w:p w14:paraId="3DF3B528" w14:textId="77777777" w:rsidR="00600DEE"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repair</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damaged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balustrades</w:t>
            </w:r>
            <w:proofErr w:type="spellEnd"/>
            <w:r>
              <w:rPr>
                <w:rFonts w:ascii="Calibri" w:eastAsia="Calibri" w:hAnsi="Calibri" w:cs="Calibri"/>
                <w:color w:val="000000"/>
                <w:sz w:val="20"/>
                <w:szCs w:val="20"/>
              </w:rPr>
              <w:t>,</w:t>
            </w:r>
          </w:p>
          <w:p w14:paraId="49798E81"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painting of the structure and devices,</w:t>
            </w:r>
          </w:p>
          <w:p w14:paraId="575CD5EF"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repair of washed out embankments,</w:t>
            </w:r>
          </w:p>
          <w:p w14:paraId="1F882152"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removal of minor damage, cracks and ravelling of pavement.</w:t>
            </w:r>
          </w:p>
          <w:p w14:paraId="4473050E"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Periodic maintenance </w:t>
            </w:r>
          </w:p>
          <w:p w14:paraId="0B95C1C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Rehabilitation works, to restore the original condition of the road or its full technical capacity, excluding the minor repairs and routine maintenance works. </w:t>
            </w:r>
          </w:p>
          <w:p w14:paraId="0B36D086" w14:textId="77777777" w:rsidR="00600DEE" w:rsidRPr="0045151D" w:rsidRDefault="00641FB5" w:rsidP="00D5736B">
            <w:pPr>
              <w:numPr>
                <w:ilvl w:val="0"/>
                <w:numId w:val="4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Roads: restoring initial features of the pavement: evenness, roughness, bearing etc. </w:t>
            </w:r>
          </w:p>
          <w:p w14:paraId="50EA5C20" w14:textId="77777777" w:rsidR="00600DEE" w:rsidRPr="0045151D" w:rsidRDefault="00641FB5" w:rsidP="00D5736B">
            <w:pPr>
              <w:numPr>
                <w:ilvl w:val="0"/>
                <w:numId w:val="4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Bridges: replacement of defective parts of the structure, restoring initial features of the pavement.</w:t>
            </w:r>
          </w:p>
          <w:p w14:paraId="49DD2159"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Routine maintenance </w:t>
            </w:r>
          </w:p>
          <w:p w14:paraId="4355387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Routine maintenance is all-year-round continuous work required to keep the infrastructure technically safe and ready for day-to-day operation. Routine maintenance works include also seasonal works (spring, summer, autumn, winter).</w:t>
            </w:r>
          </w:p>
          <w:p w14:paraId="3764CF2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Typically, the works are as follows, inter-alia:</w:t>
            </w:r>
          </w:p>
          <w:p w14:paraId="316AF5E9"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of carriageway, road side and related areas,</w:t>
            </w:r>
          </w:p>
          <w:p w14:paraId="6F68CC13"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waste collection and dust prevention,</w:t>
            </w:r>
          </w:p>
          <w:p w14:paraId="2269EC57"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small repairs on carriageway, road side and related areas,</w:t>
            </w:r>
          </w:p>
          <w:p w14:paraId="549C8DC3"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cleaning</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drainage</w:t>
            </w:r>
            <w:proofErr w:type="spellEnd"/>
            <w:r>
              <w:rPr>
                <w:rFonts w:ascii="Calibri" w:eastAsia="Calibri" w:hAnsi="Calibri" w:cs="Calibri"/>
                <w:color w:val="000000"/>
                <w:sz w:val="20"/>
                <w:szCs w:val="20"/>
              </w:rPr>
              <w:t xml:space="preserve"> system ,</w:t>
            </w:r>
          </w:p>
          <w:p w14:paraId="14F7489C"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maintenance of treatment devices and ponds,</w:t>
            </w:r>
          </w:p>
          <w:p w14:paraId="6DA9492F"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small pavement repairs (patching, sealing),</w:t>
            </w:r>
          </w:p>
          <w:p w14:paraId="126978FA"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maintenance</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markings</w:t>
            </w:r>
            <w:proofErr w:type="spellEnd"/>
            <w:r>
              <w:rPr>
                <w:rFonts w:ascii="Calibri" w:eastAsia="Calibri" w:hAnsi="Calibri" w:cs="Calibri"/>
                <w:color w:val="000000"/>
                <w:sz w:val="20"/>
                <w:szCs w:val="20"/>
              </w:rPr>
              <w:t>,</w:t>
            </w:r>
          </w:p>
          <w:p w14:paraId="7352CDAF"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and small repairs/replacement of signs,</w:t>
            </w:r>
          </w:p>
          <w:p w14:paraId="4AA99BA0"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maintenance of safety barriers and fences,</w:t>
            </w:r>
          </w:p>
          <w:p w14:paraId="67C41613"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and small repairs on structures,</w:t>
            </w:r>
          </w:p>
          <w:p w14:paraId="688FC5A5"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 xml:space="preserve">small </w:t>
            </w:r>
            <w:proofErr w:type="spellStart"/>
            <w:r>
              <w:rPr>
                <w:rFonts w:ascii="Calibri" w:eastAsia="Calibri" w:hAnsi="Calibri" w:cs="Calibri"/>
                <w:color w:val="000000"/>
                <w:sz w:val="20"/>
                <w:szCs w:val="20"/>
              </w:rPr>
              <w:t>earthworks</w:t>
            </w:r>
            <w:proofErr w:type="spellEnd"/>
            <w:r>
              <w:rPr>
                <w:rFonts w:ascii="Calibri" w:eastAsia="Calibri" w:hAnsi="Calibri" w:cs="Calibri"/>
                <w:color w:val="000000"/>
                <w:sz w:val="20"/>
                <w:szCs w:val="20"/>
              </w:rPr>
              <w:t>,</w:t>
            </w:r>
          </w:p>
          <w:p w14:paraId="6E9E369C"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of noise barriers and retaining walls,</w:t>
            </w:r>
          </w:p>
          <w:p w14:paraId="46A1FF8C" w14:textId="0329EFA4" w:rsidR="00600DEE" w:rsidRPr="0045151D" w:rsidRDefault="002D483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2D4835">
              <w:rPr>
                <w:rFonts w:asciiTheme="minorHAnsi" w:hAnsiTheme="minorHAnsi"/>
                <w:sz w:val="20"/>
                <w:szCs w:val="20"/>
                <w:lang w:val="en-GB" w:eastAsia="en-US"/>
              </w:rPr>
              <w:lastRenderedPageBreak/>
              <w:t>maintenance of electronic tolling system</w:t>
            </w:r>
            <w:r>
              <w:rPr>
                <w:rFonts w:asciiTheme="minorHAnsi" w:hAnsiTheme="minorHAnsi"/>
                <w:lang w:val="en-GB" w:eastAsia="en-US"/>
              </w:rPr>
              <w:t xml:space="preserve"> </w:t>
            </w:r>
            <w:r w:rsidR="00641FB5" w:rsidRPr="0045151D">
              <w:rPr>
                <w:rFonts w:ascii="Calibri" w:eastAsia="Calibri" w:hAnsi="Calibri" w:cs="Calibri"/>
                <w:color w:val="000000"/>
                <w:sz w:val="20"/>
                <w:szCs w:val="20"/>
                <w:lang w:val="en-GB"/>
              </w:rPr>
              <w:t>(where toll applies),</w:t>
            </w:r>
          </w:p>
          <w:p w14:paraId="4FD587E2"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vegetation maintenance on green areas,</w:t>
            </w:r>
          </w:p>
          <w:p w14:paraId="4DCAC3C4"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 xml:space="preserve">IT </w:t>
            </w:r>
            <w:proofErr w:type="spellStart"/>
            <w:r>
              <w:rPr>
                <w:rFonts w:ascii="Calibri" w:eastAsia="Calibri" w:hAnsi="Calibri" w:cs="Calibri"/>
                <w:color w:val="000000"/>
                <w:sz w:val="20"/>
                <w:szCs w:val="20"/>
              </w:rPr>
              <w:t>equipment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maintenance</w:t>
            </w:r>
            <w:proofErr w:type="spellEnd"/>
            <w:r>
              <w:rPr>
                <w:rFonts w:ascii="Calibri" w:eastAsia="Calibri" w:hAnsi="Calibri" w:cs="Calibri"/>
                <w:color w:val="000000"/>
                <w:sz w:val="20"/>
                <w:szCs w:val="20"/>
              </w:rPr>
              <w:t>,</w:t>
            </w:r>
          </w:p>
          <w:p w14:paraId="76C507CC"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maintenance of lighting (bulb changing),</w:t>
            </w:r>
          </w:p>
          <w:p w14:paraId="7FC915E4"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winter activities:  salting (preventive and curative actions),</w:t>
            </w:r>
          </w:p>
          <w:p w14:paraId="6059C489"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and ploughing of the carriageway,</w:t>
            </w:r>
          </w:p>
          <w:p w14:paraId="6ED5AD95"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user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information</w:t>
            </w:r>
            <w:proofErr w:type="spellEnd"/>
            <w:r>
              <w:rPr>
                <w:rFonts w:ascii="Calibri" w:eastAsia="Calibri" w:hAnsi="Calibri" w:cs="Calibri"/>
                <w:color w:val="000000"/>
                <w:sz w:val="20"/>
                <w:szCs w:val="20"/>
              </w:rPr>
              <w:t>,</w:t>
            </w:r>
          </w:p>
          <w:p w14:paraId="167129F6"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removal</w:t>
            </w:r>
            <w:proofErr w:type="spellEnd"/>
            <w:r>
              <w:rPr>
                <w:rFonts w:ascii="Calibri" w:eastAsia="Calibri" w:hAnsi="Calibri" w:cs="Calibri"/>
                <w:color w:val="000000"/>
                <w:sz w:val="20"/>
                <w:szCs w:val="20"/>
              </w:rPr>
              <w:t xml:space="preserve"> of </w:t>
            </w:r>
            <w:proofErr w:type="spellStart"/>
            <w:r>
              <w:rPr>
                <w:rFonts w:ascii="Calibri" w:eastAsia="Calibri" w:hAnsi="Calibri" w:cs="Calibri"/>
                <w:color w:val="000000"/>
                <w:sz w:val="20"/>
                <w:szCs w:val="20"/>
              </w:rPr>
              <w:t>frost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heaves</w:t>
            </w:r>
            <w:proofErr w:type="spellEnd"/>
            <w:r>
              <w:rPr>
                <w:rFonts w:ascii="Calibri" w:eastAsia="Calibri" w:hAnsi="Calibri" w:cs="Calibri"/>
                <w:color w:val="000000"/>
                <w:sz w:val="20"/>
                <w:szCs w:val="20"/>
              </w:rPr>
              <w:t>,</w:t>
            </w:r>
          </w:p>
          <w:p w14:paraId="0E638D86"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securing of frost-damaged sections.</w:t>
            </w:r>
          </w:p>
          <w:p w14:paraId="1C390847" w14:textId="2CC57B53"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Business trip</w:t>
            </w:r>
            <w:r w:rsidRPr="0045151D">
              <w:rPr>
                <w:rFonts w:ascii="Calibri" w:eastAsia="Calibri" w:hAnsi="Calibri" w:cs="Calibri"/>
                <w:color w:val="000000"/>
                <w:sz w:val="20"/>
                <w:szCs w:val="20"/>
                <w:lang w:val="en-GB"/>
              </w:rPr>
              <w:t xml:space="preserve"> – trip during work time or derived from a business duty, excluding commuting. Most often cost of driving </w:t>
            </w:r>
            <w:r w:rsidR="002D4835">
              <w:rPr>
                <w:rFonts w:ascii="Calibri" w:eastAsia="Calibri" w:hAnsi="Calibri" w:cs="Calibri"/>
                <w:color w:val="000000"/>
                <w:sz w:val="20"/>
                <w:szCs w:val="20"/>
                <w:lang w:val="en-GB"/>
              </w:rPr>
              <w:t>for business purposes</w:t>
            </w:r>
            <w:r w:rsidRPr="0045151D">
              <w:rPr>
                <w:rFonts w:ascii="Calibri" w:eastAsia="Calibri" w:hAnsi="Calibri" w:cs="Calibri"/>
                <w:color w:val="000000"/>
                <w:sz w:val="20"/>
                <w:szCs w:val="20"/>
                <w:lang w:val="en-GB"/>
              </w:rPr>
              <w:t xml:space="preserve"> (</w:t>
            </w:r>
            <w:r w:rsidR="002D4835">
              <w:rPr>
                <w:rFonts w:ascii="Calibri" w:eastAsia="Calibri" w:hAnsi="Calibri" w:cs="Calibri"/>
                <w:color w:val="000000"/>
                <w:sz w:val="20"/>
                <w:szCs w:val="20"/>
                <w:lang w:val="en-GB"/>
              </w:rPr>
              <w:t xml:space="preserve">excluding </w:t>
            </w:r>
            <w:r w:rsidRPr="0045151D">
              <w:rPr>
                <w:rFonts w:ascii="Calibri" w:eastAsia="Calibri" w:hAnsi="Calibri" w:cs="Calibri"/>
                <w:color w:val="000000"/>
                <w:sz w:val="20"/>
                <w:szCs w:val="20"/>
                <w:lang w:val="en-GB"/>
              </w:rPr>
              <w:t>commuting trips) are not incurred by the user, but by their employer.</w:t>
            </w:r>
          </w:p>
          <w:p w14:paraId="4126489F" w14:textId="77777777" w:rsidR="00482C1E" w:rsidRDefault="00482C1E">
            <w:pPr>
              <w:pBdr>
                <w:top w:val="nil"/>
                <w:left w:val="nil"/>
                <w:bottom w:val="nil"/>
                <w:right w:val="nil"/>
                <w:between w:val="nil"/>
              </w:pBdr>
              <w:spacing w:before="120"/>
              <w:jc w:val="both"/>
              <w:rPr>
                <w:rFonts w:ascii="Calibri" w:eastAsia="Calibri" w:hAnsi="Calibri" w:cs="Calibri"/>
                <w:b/>
                <w:color w:val="000000"/>
                <w:sz w:val="20"/>
                <w:szCs w:val="20"/>
                <w:lang w:val="en-GB"/>
              </w:rPr>
            </w:pPr>
          </w:p>
          <w:p w14:paraId="52FF40EB" w14:textId="2912612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Design speed</w:t>
            </w:r>
            <w:r w:rsidRPr="0045151D">
              <w:rPr>
                <w:rFonts w:ascii="Calibri" w:eastAsia="Calibri" w:hAnsi="Calibri" w:cs="Calibri"/>
                <w:color w:val="000000"/>
                <w:sz w:val="20"/>
                <w:szCs w:val="20"/>
                <w:lang w:val="en-GB"/>
              </w:rPr>
              <w:t xml:space="preserve"> – speed for which technical parameters of individual elements of the road are designed, ensuring vehicle safety for a single vehicle moving under normal conditions.</w:t>
            </w:r>
          </w:p>
          <w:p w14:paraId="256A48E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Average travel speed</w:t>
            </w:r>
            <w:r w:rsidRPr="0045151D">
              <w:rPr>
                <w:rFonts w:ascii="Calibri" w:eastAsia="Calibri" w:hAnsi="Calibri" w:cs="Calibri"/>
                <w:color w:val="000000"/>
                <w:sz w:val="20"/>
                <w:szCs w:val="20"/>
                <w:lang w:val="en-GB"/>
              </w:rPr>
              <w:t xml:space="preserve"> – speed of drive on a section taking into consideration technical and legal limitations of the route (e.g. speed limitations).</w:t>
            </w:r>
          </w:p>
          <w:p w14:paraId="797B44A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FNPV</w:t>
            </w:r>
            <w:r w:rsidRPr="0045151D">
              <w:rPr>
                <w:rFonts w:ascii="Calibri" w:eastAsia="Calibri" w:hAnsi="Calibri" w:cs="Calibri"/>
                <w:color w:val="000000"/>
                <w:sz w:val="20"/>
                <w:szCs w:val="20"/>
                <w:lang w:val="en-GB"/>
              </w:rPr>
              <w:t xml:space="preserve"> – Financial Net Present Value – the sum obtained after the deduction of the discounted expected investment and operating costs from the discounted value of expected revenues.</w:t>
            </w:r>
          </w:p>
          <w:p w14:paraId="0905446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ENPV </w:t>
            </w:r>
            <w:r w:rsidRPr="0045151D">
              <w:rPr>
                <w:rFonts w:ascii="Calibri" w:eastAsia="Calibri" w:hAnsi="Calibri" w:cs="Calibri"/>
                <w:color w:val="000000"/>
                <w:sz w:val="20"/>
                <w:szCs w:val="20"/>
                <w:lang w:val="en-GB"/>
              </w:rPr>
              <w:t>– Economic Net Present Value – a sum obtained after the reduction of the discounted value of expected investment costs by the discounted value of expected economic benefits.</w:t>
            </w:r>
          </w:p>
          <w:p w14:paraId="2A1E3B4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FRR</w:t>
            </w:r>
            <w:r w:rsidRPr="0045151D">
              <w:rPr>
                <w:rFonts w:ascii="Calibri" w:eastAsia="Calibri" w:hAnsi="Calibri" w:cs="Calibri"/>
                <w:color w:val="000000"/>
                <w:sz w:val="20"/>
                <w:szCs w:val="20"/>
                <w:lang w:val="en-GB"/>
              </w:rPr>
              <w:t xml:space="preserve"> – Financial (Internal) Rate of Return – discount rate that produces zero FNPV.</w:t>
            </w:r>
          </w:p>
          <w:p w14:paraId="64D5B39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ERR</w:t>
            </w:r>
            <w:r w:rsidRPr="0045151D">
              <w:rPr>
                <w:rFonts w:ascii="Calibri" w:eastAsia="Calibri" w:hAnsi="Calibri" w:cs="Calibri"/>
                <w:color w:val="000000"/>
                <w:sz w:val="20"/>
                <w:szCs w:val="20"/>
                <w:lang w:val="en-GB"/>
              </w:rPr>
              <w:t xml:space="preserve"> – Economic Rate of Return – One of socio-economic indicators of economic profitability of the project. It is the discount rate when current benefits equal to current costs, i.e. present economic net value (ENPV) equals 0.</w:t>
            </w:r>
          </w:p>
          <w:p w14:paraId="75569D2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lastRenderedPageBreak/>
              <w:t>GPR</w:t>
            </w:r>
            <w:r w:rsidRPr="0045151D">
              <w:rPr>
                <w:rFonts w:ascii="Calibri" w:eastAsia="Calibri" w:hAnsi="Calibri" w:cs="Calibri"/>
                <w:color w:val="000000"/>
                <w:sz w:val="20"/>
                <w:szCs w:val="20"/>
                <w:lang w:val="en-GB"/>
              </w:rPr>
              <w:t xml:space="preserve"> – General Traffic Survey (</w:t>
            </w:r>
            <w:proofErr w:type="spellStart"/>
            <w:r w:rsidRPr="0045151D">
              <w:rPr>
                <w:rFonts w:ascii="Calibri" w:eastAsia="Calibri" w:hAnsi="Calibri" w:cs="Calibri"/>
                <w:color w:val="000000"/>
                <w:sz w:val="20"/>
                <w:szCs w:val="20"/>
                <w:lang w:val="en-GB"/>
              </w:rPr>
              <w:t>Generalny</w:t>
            </w:r>
            <w:proofErr w:type="spellEnd"/>
            <w:r w:rsidRPr="0045151D">
              <w:rPr>
                <w:rFonts w:ascii="Calibri" w:eastAsia="Calibri" w:hAnsi="Calibri" w:cs="Calibri"/>
                <w:color w:val="000000"/>
                <w:sz w:val="20"/>
                <w:szCs w:val="20"/>
                <w:lang w:val="en-GB"/>
              </w:rPr>
              <w:t xml:space="preserve"> </w:t>
            </w:r>
            <w:proofErr w:type="spellStart"/>
            <w:r w:rsidRPr="0045151D">
              <w:rPr>
                <w:rFonts w:ascii="Calibri" w:eastAsia="Calibri" w:hAnsi="Calibri" w:cs="Calibri"/>
                <w:color w:val="000000"/>
                <w:sz w:val="20"/>
                <w:szCs w:val="20"/>
                <w:lang w:val="en-GB"/>
              </w:rPr>
              <w:t>Pomiar</w:t>
            </w:r>
            <w:proofErr w:type="spellEnd"/>
            <w:r w:rsidRPr="0045151D">
              <w:rPr>
                <w:rFonts w:ascii="Calibri" w:eastAsia="Calibri" w:hAnsi="Calibri" w:cs="Calibri"/>
                <w:color w:val="000000"/>
                <w:sz w:val="20"/>
                <w:szCs w:val="20"/>
                <w:lang w:val="en-GB"/>
              </w:rPr>
              <w:t xml:space="preserve"> </w:t>
            </w:r>
            <w:proofErr w:type="spellStart"/>
            <w:r w:rsidRPr="0045151D">
              <w:rPr>
                <w:rFonts w:ascii="Calibri" w:eastAsia="Calibri" w:hAnsi="Calibri" w:cs="Calibri"/>
                <w:color w:val="000000"/>
                <w:sz w:val="20"/>
                <w:szCs w:val="20"/>
                <w:lang w:val="en-GB"/>
              </w:rPr>
              <w:t>Ruchu</w:t>
            </w:r>
            <w:proofErr w:type="spellEnd"/>
            <w:r w:rsidRPr="0045151D">
              <w:rPr>
                <w:rFonts w:ascii="Calibri" w:eastAsia="Calibri" w:hAnsi="Calibri" w:cs="Calibri"/>
                <w:color w:val="000000"/>
                <w:sz w:val="20"/>
                <w:szCs w:val="20"/>
                <w:lang w:val="en-GB"/>
              </w:rPr>
              <w:t>) – a nationwide cyclical measurement (every 5 years) of the traffic volumes on national and voivodeship roads, held for the purpose of determining the following basic traffic parameters:</w:t>
            </w:r>
          </w:p>
          <w:p w14:paraId="16D825C8" w14:textId="77777777" w:rsidR="00600DEE" w:rsidRPr="0045151D" w:rsidRDefault="00641FB5" w:rsidP="00D5736B">
            <w:pPr>
              <w:numPr>
                <w:ilvl w:val="0"/>
                <w:numId w:val="4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Average Annual Daily Traffic (AADT) and traffic structure on sections with counting systems,</w:t>
            </w:r>
          </w:p>
          <w:p w14:paraId="7D2E351B" w14:textId="77777777" w:rsidR="00600DEE" w:rsidRPr="0045151D" w:rsidRDefault="00641FB5" w:rsidP="00D5736B">
            <w:pPr>
              <w:numPr>
                <w:ilvl w:val="0"/>
                <w:numId w:val="4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flows on the national and voivodeship road networks considering the functional characteristics of roads,</w:t>
            </w:r>
          </w:p>
          <w:p w14:paraId="70B849A3" w14:textId="77777777" w:rsidR="00600DEE" w:rsidRPr="0045151D" w:rsidRDefault="00641FB5" w:rsidP="00D5736B">
            <w:pPr>
              <w:numPr>
                <w:ilvl w:val="0"/>
                <w:numId w:val="4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flows on the national road network considering the technical  characteristics of roads,</w:t>
            </w:r>
          </w:p>
          <w:p w14:paraId="68EDE3B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AADT, Average Annual Daily Traffic</w:t>
            </w:r>
            <w:r w:rsidRPr="0045151D">
              <w:rPr>
                <w:rFonts w:ascii="Calibri" w:eastAsia="Calibri" w:hAnsi="Calibri" w:cs="Calibri"/>
                <w:color w:val="000000"/>
                <w:sz w:val="20"/>
                <w:szCs w:val="20"/>
                <w:lang w:val="en-GB"/>
              </w:rPr>
              <w:t xml:space="preserve"> – the number of motor vehicles travelling through a given road cross section within 24 consecutive hours – annual average, is expressed in the terms of actual number of vehicles per day calculated according to relevant guidelines.</w:t>
            </w:r>
          </w:p>
          <w:p w14:paraId="09465DF8" w14:textId="540C5A0D"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Traffic Structure</w:t>
            </w:r>
            <w:r w:rsidRPr="0045151D">
              <w:rPr>
                <w:rFonts w:ascii="Calibri" w:eastAsia="Calibri" w:hAnsi="Calibri" w:cs="Calibri"/>
                <w:color w:val="000000"/>
                <w:sz w:val="20"/>
                <w:szCs w:val="20"/>
                <w:lang w:val="en-GB"/>
              </w:rPr>
              <w:t xml:space="preserve"> – division of the traffic flows into individual categories of vehicles – expr</w:t>
            </w:r>
            <w:r w:rsidR="00B95FB9">
              <w:rPr>
                <w:rFonts w:ascii="Calibri" w:eastAsia="Calibri" w:hAnsi="Calibri" w:cs="Calibri"/>
                <w:color w:val="000000"/>
                <w:sz w:val="20"/>
                <w:szCs w:val="20"/>
                <w:lang w:val="en-GB"/>
              </w:rPr>
              <w:t xml:space="preserve">essed in terms of quantity </w:t>
            </w:r>
            <w:r w:rsidRPr="0045151D">
              <w:rPr>
                <w:rFonts w:ascii="Calibri" w:eastAsia="Calibri" w:hAnsi="Calibri" w:cs="Calibri"/>
                <w:color w:val="000000"/>
                <w:sz w:val="20"/>
                <w:szCs w:val="20"/>
                <w:lang w:val="en-GB"/>
              </w:rPr>
              <w:t>and percentage.</w:t>
            </w:r>
          </w:p>
          <w:p w14:paraId="6B8FAF2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Categories of vehicles</w:t>
            </w:r>
            <w:r w:rsidRPr="0045151D">
              <w:rPr>
                <w:rFonts w:ascii="Calibri" w:eastAsia="Calibri" w:hAnsi="Calibri" w:cs="Calibri"/>
                <w:color w:val="000000"/>
                <w:sz w:val="20"/>
                <w:szCs w:val="20"/>
                <w:lang w:val="en-GB"/>
              </w:rPr>
              <w:t>, according to the national traffic model:</w:t>
            </w:r>
          </w:p>
          <w:p w14:paraId="024091D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SO </w:t>
            </w:r>
            <w:r>
              <w:rPr>
                <w:rFonts w:ascii="Calibri" w:eastAsia="Calibri" w:hAnsi="Calibri" w:cs="Calibri"/>
                <w:color w:val="000000"/>
                <w:sz w:val="20"/>
                <w:szCs w:val="20"/>
              </w:rPr>
              <w:t xml:space="preserve">– (Samochody Osobowe) </w:t>
            </w:r>
            <w:proofErr w:type="spellStart"/>
            <w:r>
              <w:rPr>
                <w:rFonts w:ascii="Calibri" w:eastAsia="Calibri" w:hAnsi="Calibri" w:cs="Calibri"/>
                <w:color w:val="000000"/>
                <w:sz w:val="20"/>
                <w:szCs w:val="20"/>
              </w:rPr>
              <w:t>passenger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cars</w:t>
            </w:r>
            <w:proofErr w:type="spellEnd"/>
            <w:r>
              <w:rPr>
                <w:rFonts w:ascii="Calibri" w:eastAsia="Calibri" w:hAnsi="Calibri" w:cs="Calibri"/>
                <w:color w:val="000000"/>
                <w:sz w:val="20"/>
                <w:szCs w:val="20"/>
              </w:rPr>
              <w:t>,</w:t>
            </w:r>
          </w:p>
          <w:p w14:paraId="0227B10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SD</w:t>
            </w:r>
            <w:r>
              <w:rPr>
                <w:rFonts w:ascii="Calibri" w:eastAsia="Calibri" w:hAnsi="Calibri" w:cs="Calibri"/>
                <w:color w:val="000000"/>
                <w:sz w:val="20"/>
                <w:szCs w:val="20"/>
              </w:rPr>
              <w:t xml:space="preserve"> – (Samochody Dostawcze) </w:t>
            </w:r>
            <w:proofErr w:type="spellStart"/>
            <w:r>
              <w:rPr>
                <w:rFonts w:ascii="Calibri" w:eastAsia="Calibri" w:hAnsi="Calibri" w:cs="Calibri"/>
                <w:color w:val="000000"/>
                <w:sz w:val="20"/>
                <w:szCs w:val="20"/>
              </w:rPr>
              <w:t>commercial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vehicles</w:t>
            </w:r>
            <w:proofErr w:type="spellEnd"/>
            <w:r>
              <w:rPr>
                <w:rFonts w:ascii="Calibri" w:eastAsia="Calibri" w:hAnsi="Calibri" w:cs="Calibri"/>
                <w:color w:val="000000"/>
                <w:sz w:val="20"/>
                <w:szCs w:val="20"/>
              </w:rPr>
              <w:t>,</w:t>
            </w:r>
          </w:p>
          <w:p w14:paraId="47BE73A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SC</w:t>
            </w:r>
            <w:r>
              <w:rPr>
                <w:rFonts w:ascii="Calibri" w:eastAsia="Calibri" w:hAnsi="Calibri" w:cs="Calibri"/>
                <w:color w:val="000000"/>
                <w:sz w:val="20"/>
                <w:szCs w:val="20"/>
              </w:rPr>
              <w:t xml:space="preserve"> – (Samochody Ciężarowe) trucks </w:t>
            </w:r>
            <w:proofErr w:type="spellStart"/>
            <w:r>
              <w:rPr>
                <w:rFonts w:ascii="Calibri" w:eastAsia="Calibri" w:hAnsi="Calibri" w:cs="Calibri"/>
                <w:color w:val="000000"/>
                <w:sz w:val="20"/>
                <w:szCs w:val="20"/>
              </w:rPr>
              <w:t>without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trailers</w:t>
            </w:r>
            <w:proofErr w:type="spellEnd"/>
            <w:r>
              <w:rPr>
                <w:rFonts w:ascii="Calibri" w:eastAsia="Calibri" w:hAnsi="Calibri" w:cs="Calibri"/>
                <w:color w:val="000000"/>
                <w:sz w:val="20"/>
                <w:szCs w:val="20"/>
              </w:rPr>
              <w:t>,</w:t>
            </w:r>
          </w:p>
          <w:p w14:paraId="70674A3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proofErr w:type="spellStart"/>
            <w:r>
              <w:rPr>
                <w:rFonts w:ascii="Calibri" w:eastAsia="Calibri" w:hAnsi="Calibri" w:cs="Calibri"/>
                <w:b/>
                <w:color w:val="000000"/>
                <w:sz w:val="20"/>
                <w:szCs w:val="20"/>
              </w:rPr>
              <w:t>SCp</w:t>
            </w:r>
            <w:proofErr w:type="spellEnd"/>
            <w:r>
              <w:rPr>
                <w:rFonts w:ascii="Calibri" w:eastAsia="Calibri" w:hAnsi="Calibri" w:cs="Calibri"/>
                <w:color w:val="000000"/>
                <w:sz w:val="20"/>
                <w:szCs w:val="20"/>
              </w:rPr>
              <w:t xml:space="preserve"> – (Samochody Ciężarowe z Przyczepami) trucks with </w:t>
            </w:r>
            <w:proofErr w:type="spellStart"/>
            <w:r>
              <w:rPr>
                <w:rFonts w:ascii="Calibri" w:eastAsia="Calibri" w:hAnsi="Calibri" w:cs="Calibri"/>
                <w:color w:val="000000"/>
                <w:sz w:val="20"/>
                <w:szCs w:val="20"/>
              </w:rPr>
              <w:t>trailers</w:t>
            </w:r>
            <w:proofErr w:type="spellEnd"/>
            <w:r>
              <w:rPr>
                <w:rFonts w:ascii="Calibri" w:eastAsia="Calibri" w:hAnsi="Calibri" w:cs="Calibri"/>
                <w:color w:val="000000"/>
                <w:sz w:val="20"/>
                <w:szCs w:val="20"/>
              </w:rPr>
              <w:t>/</w:t>
            </w:r>
            <w:proofErr w:type="spellStart"/>
            <w:r>
              <w:rPr>
                <w:rFonts w:ascii="Calibri" w:eastAsia="Calibri" w:hAnsi="Calibri" w:cs="Calibri"/>
                <w:color w:val="000000"/>
                <w:sz w:val="20"/>
                <w:szCs w:val="20"/>
              </w:rPr>
              <w:t>semi</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trailers</w:t>
            </w:r>
            <w:proofErr w:type="spellEnd"/>
            <w:r>
              <w:rPr>
                <w:rFonts w:ascii="Calibri" w:eastAsia="Calibri" w:hAnsi="Calibri" w:cs="Calibri"/>
                <w:color w:val="000000"/>
                <w:sz w:val="20"/>
                <w:szCs w:val="20"/>
              </w:rPr>
              <w:t>,</w:t>
            </w:r>
          </w:p>
          <w:p w14:paraId="45970AE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GPR, these additional categories are taken into account:</w:t>
            </w:r>
          </w:p>
          <w:p w14:paraId="4E8A218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M </w:t>
            </w:r>
            <w:r w:rsidRPr="0045151D">
              <w:rPr>
                <w:rFonts w:ascii="Calibri" w:eastAsia="Calibri" w:hAnsi="Calibri" w:cs="Calibri"/>
                <w:color w:val="000000"/>
                <w:sz w:val="20"/>
                <w:szCs w:val="20"/>
                <w:lang w:val="en-GB"/>
              </w:rPr>
              <w:t>–motorcycles and mopeds,</w:t>
            </w:r>
          </w:p>
          <w:p w14:paraId="2435EBB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proofErr w:type="spellStart"/>
            <w:r w:rsidRPr="0045151D">
              <w:rPr>
                <w:rFonts w:ascii="Calibri" w:eastAsia="Calibri" w:hAnsi="Calibri" w:cs="Calibri"/>
                <w:b/>
                <w:color w:val="000000"/>
                <w:sz w:val="20"/>
                <w:szCs w:val="20"/>
                <w:lang w:val="en-GB"/>
              </w:rPr>
              <w:t>SOp</w:t>
            </w:r>
            <w:proofErr w:type="spellEnd"/>
            <w:r w:rsidRPr="0045151D">
              <w:rPr>
                <w:rFonts w:ascii="Calibri" w:eastAsia="Calibri" w:hAnsi="Calibri" w:cs="Calibri"/>
                <w:color w:val="000000"/>
                <w:sz w:val="20"/>
                <w:szCs w:val="20"/>
                <w:lang w:val="en-GB"/>
              </w:rPr>
              <w:t xml:space="preserve"> – (</w:t>
            </w:r>
            <w:proofErr w:type="spellStart"/>
            <w:r w:rsidRPr="0045151D">
              <w:rPr>
                <w:rFonts w:ascii="Calibri" w:eastAsia="Calibri" w:hAnsi="Calibri" w:cs="Calibri"/>
                <w:color w:val="000000"/>
                <w:sz w:val="20"/>
                <w:szCs w:val="20"/>
                <w:lang w:val="en-GB"/>
              </w:rPr>
              <w:t>Samochody</w:t>
            </w:r>
            <w:proofErr w:type="spellEnd"/>
            <w:r w:rsidRPr="0045151D">
              <w:rPr>
                <w:rFonts w:ascii="Calibri" w:eastAsia="Calibri" w:hAnsi="Calibri" w:cs="Calibri"/>
                <w:color w:val="000000"/>
                <w:sz w:val="20"/>
                <w:szCs w:val="20"/>
                <w:lang w:val="en-GB"/>
              </w:rPr>
              <w:t xml:space="preserve"> </w:t>
            </w:r>
            <w:proofErr w:type="spellStart"/>
            <w:r w:rsidRPr="0045151D">
              <w:rPr>
                <w:rFonts w:ascii="Calibri" w:eastAsia="Calibri" w:hAnsi="Calibri" w:cs="Calibri"/>
                <w:color w:val="000000"/>
                <w:sz w:val="20"/>
                <w:szCs w:val="20"/>
                <w:lang w:val="en-GB"/>
              </w:rPr>
              <w:t>Osobowe</w:t>
            </w:r>
            <w:proofErr w:type="spellEnd"/>
            <w:r w:rsidRPr="0045151D">
              <w:rPr>
                <w:rFonts w:ascii="Calibri" w:eastAsia="Calibri" w:hAnsi="Calibri" w:cs="Calibri"/>
                <w:color w:val="000000"/>
                <w:sz w:val="20"/>
                <w:szCs w:val="20"/>
                <w:lang w:val="en-GB"/>
              </w:rPr>
              <w:t xml:space="preserve"> z </w:t>
            </w:r>
            <w:proofErr w:type="spellStart"/>
            <w:r w:rsidRPr="0045151D">
              <w:rPr>
                <w:rFonts w:ascii="Calibri" w:eastAsia="Calibri" w:hAnsi="Calibri" w:cs="Calibri"/>
                <w:color w:val="000000"/>
                <w:sz w:val="20"/>
                <w:szCs w:val="20"/>
                <w:lang w:val="en-GB"/>
              </w:rPr>
              <w:t>Przyczepami</w:t>
            </w:r>
            <w:proofErr w:type="spellEnd"/>
            <w:r w:rsidRPr="0045151D">
              <w:rPr>
                <w:rFonts w:ascii="Calibri" w:eastAsia="Calibri" w:hAnsi="Calibri" w:cs="Calibri"/>
                <w:color w:val="000000"/>
                <w:sz w:val="20"/>
                <w:szCs w:val="20"/>
                <w:lang w:val="en-GB"/>
              </w:rPr>
              <w:t>) passenger cars with trailers,</w:t>
            </w:r>
          </w:p>
          <w:p w14:paraId="43A004D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A </w:t>
            </w:r>
            <w:r w:rsidRPr="0045151D">
              <w:rPr>
                <w:rFonts w:ascii="Calibri" w:eastAsia="Calibri" w:hAnsi="Calibri" w:cs="Calibri"/>
                <w:color w:val="000000"/>
                <w:sz w:val="20"/>
                <w:szCs w:val="20"/>
                <w:lang w:val="en-GB"/>
              </w:rPr>
              <w:t>– (</w:t>
            </w:r>
            <w:proofErr w:type="spellStart"/>
            <w:r w:rsidRPr="0045151D">
              <w:rPr>
                <w:rFonts w:ascii="Calibri" w:eastAsia="Calibri" w:hAnsi="Calibri" w:cs="Calibri"/>
                <w:color w:val="000000"/>
                <w:sz w:val="20"/>
                <w:szCs w:val="20"/>
                <w:lang w:val="en-GB"/>
              </w:rPr>
              <w:t>Autobusy</w:t>
            </w:r>
            <w:proofErr w:type="spellEnd"/>
            <w:r w:rsidRPr="0045151D">
              <w:rPr>
                <w:rFonts w:ascii="Calibri" w:eastAsia="Calibri" w:hAnsi="Calibri" w:cs="Calibri"/>
                <w:color w:val="000000"/>
                <w:sz w:val="20"/>
                <w:szCs w:val="20"/>
                <w:lang w:val="en-GB"/>
              </w:rPr>
              <w:t>) buses.</w:t>
            </w:r>
          </w:p>
          <w:p w14:paraId="6CE5E17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categories which can alternatively be used:</w:t>
            </w:r>
          </w:p>
          <w:p w14:paraId="4A07E275" w14:textId="77777777" w:rsidR="00600DEE" w:rsidRPr="0045151D" w:rsidRDefault="00641FB5" w:rsidP="00D5736B">
            <w:pPr>
              <w:numPr>
                <w:ilvl w:val="0"/>
                <w:numId w:val="59"/>
              </w:numPr>
              <w:pBdr>
                <w:top w:val="nil"/>
                <w:left w:val="nil"/>
                <w:bottom w:val="nil"/>
                <w:right w:val="nil"/>
                <w:between w:val="nil"/>
              </w:pBdr>
              <w:spacing w:before="120"/>
              <w:ind w:hanging="7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LV</w:t>
            </w:r>
            <w:r w:rsidRPr="0045151D">
              <w:rPr>
                <w:rFonts w:ascii="Calibri" w:eastAsia="Calibri" w:hAnsi="Calibri" w:cs="Calibri"/>
                <w:color w:val="000000"/>
                <w:sz w:val="20"/>
                <w:szCs w:val="20"/>
                <w:lang w:val="en-GB"/>
              </w:rPr>
              <w:t xml:space="preserve"> – light vehicles, gross weight &lt; 3,5 tons,</w:t>
            </w:r>
          </w:p>
          <w:p w14:paraId="2B8773F4" w14:textId="77777777" w:rsidR="00600DEE" w:rsidRPr="0045151D" w:rsidRDefault="00641FB5" w:rsidP="00D5736B">
            <w:pPr>
              <w:numPr>
                <w:ilvl w:val="0"/>
                <w:numId w:val="4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HGV</w:t>
            </w:r>
            <w:r w:rsidRPr="0045151D">
              <w:rPr>
                <w:rFonts w:ascii="Calibri" w:eastAsia="Calibri" w:hAnsi="Calibri" w:cs="Calibri"/>
                <w:color w:val="000000"/>
                <w:sz w:val="20"/>
                <w:szCs w:val="20"/>
                <w:lang w:val="en-GB"/>
              </w:rPr>
              <w:t xml:space="preserve"> – heavy goods vehicles, gross weight &gt; 3,5 tons (incl. buses).</w:t>
            </w:r>
          </w:p>
          <w:p w14:paraId="06781C2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lastRenderedPageBreak/>
              <w:t>Transport work</w:t>
            </w:r>
            <w:r w:rsidRPr="0045151D">
              <w:rPr>
                <w:rFonts w:ascii="Calibri" w:eastAsia="Calibri" w:hAnsi="Calibri" w:cs="Calibri"/>
                <w:color w:val="000000"/>
                <w:sz w:val="20"/>
                <w:szCs w:val="20"/>
                <w:lang w:val="en-GB"/>
              </w:rPr>
              <w:t xml:space="preserve"> – product of the number of kilometres travelled (the length of roads) and the number of vehicles (expressed in vehicle kilometres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-km]) or product of the number of vehicles and the travel time (expressed in vehicle hours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 xml:space="preserve">-h]). </w:t>
            </w:r>
          </w:p>
          <w:p w14:paraId="48DBD23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Traffic Model</w:t>
            </w:r>
            <w:r w:rsidRPr="0045151D">
              <w:rPr>
                <w:rFonts w:ascii="Calibri" w:eastAsia="Calibri" w:hAnsi="Calibri" w:cs="Calibri"/>
                <w:color w:val="000000"/>
                <w:sz w:val="20"/>
                <w:szCs w:val="20"/>
                <w:lang w:val="en-GB"/>
              </w:rPr>
              <w:t xml:space="preserve"> – mathematical transposition of the behaviours of individual and/or public transport users and freight transport.</w:t>
            </w:r>
          </w:p>
          <w:p w14:paraId="341C529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Traffic Flow Capacity</w:t>
            </w:r>
            <w:r w:rsidRPr="0045151D">
              <w:rPr>
                <w:rFonts w:ascii="Calibri" w:eastAsia="Calibri" w:hAnsi="Calibri" w:cs="Calibri"/>
                <w:color w:val="000000"/>
                <w:sz w:val="20"/>
                <w:szCs w:val="20"/>
                <w:lang w:val="en-GB"/>
              </w:rPr>
              <w:t xml:space="preserve"> – the greatest number of units (vehicles or pedestrians) that can pass through a road section (street, intersection entry, pedestrian crossing, bicycle route, etc.) during a given unit of time.</w:t>
            </w:r>
          </w:p>
          <w:p w14:paraId="3D9A013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flow capacity is expressed in terms of actual vehicles per hour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/h].</w:t>
            </w:r>
          </w:p>
          <w:p w14:paraId="582D6CF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45151D">
              <w:rPr>
                <w:rFonts w:ascii="Calibri" w:eastAsia="Calibri" w:hAnsi="Calibri" w:cs="Calibri"/>
                <w:b/>
                <w:color w:val="000000"/>
                <w:sz w:val="20"/>
                <w:szCs w:val="20"/>
                <w:lang w:val="en-GB"/>
              </w:rPr>
              <w:t>Road classes</w:t>
            </w:r>
            <w:r w:rsidRPr="0045151D">
              <w:rPr>
                <w:rFonts w:ascii="Calibri" w:eastAsia="Calibri" w:hAnsi="Calibri" w:cs="Calibri"/>
                <w:color w:val="000000"/>
                <w:sz w:val="20"/>
                <w:szCs w:val="20"/>
                <w:lang w:val="en-GB"/>
              </w:rPr>
              <w:t xml:space="preserve"> – based on allocation of relevant technical parameters to a road that represent its characteristics. </w:t>
            </w:r>
            <w:r>
              <w:rPr>
                <w:rFonts w:ascii="Calibri" w:eastAsia="Calibri" w:hAnsi="Calibri" w:cs="Calibri"/>
                <w:color w:val="000000"/>
                <w:sz w:val="20"/>
                <w:szCs w:val="20"/>
              </w:rPr>
              <w:t xml:space="preserve">The </w:t>
            </w:r>
            <w:proofErr w:type="spellStart"/>
            <w:r>
              <w:rPr>
                <w:rFonts w:ascii="Calibri" w:eastAsia="Calibri" w:hAnsi="Calibri" w:cs="Calibri"/>
                <w:color w:val="000000"/>
                <w:sz w:val="20"/>
                <w:szCs w:val="20"/>
              </w:rPr>
              <w:t>road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classes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are</w:t>
            </w:r>
            <w:proofErr w:type="spellEnd"/>
            <w:r>
              <w:rPr>
                <w:rFonts w:ascii="Calibri" w:eastAsia="Calibri" w:hAnsi="Calibri" w:cs="Calibri"/>
                <w:color w:val="000000"/>
                <w:sz w:val="20"/>
                <w:szCs w:val="20"/>
              </w:rPr>
              <w:t>:</w:t>
            </w:r>
          </w:p>
          <w:p w14:paraId="61B99B8A"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A</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motorways</w:t>
            </w:r>
            <w:proofErr w:type="spellEnd"/>
            <w:r>
              <w:rPr>
                <w:rFonts w:ascii="Calibri" w:eastAsia="Calibri" w:hAnsi="Calibri" w:cs="Calibri"/>
                <w:color w:val="000000"/>
                <w:sz w:val="20"/>
                <w:szCs w:val="20"/>
              </w:rPr>
              <w:t>,</w:t>
            </w:r>
          </w:p>
          <w:p w14:paraId="2890E13D"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S</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expressways</w:t>
            </w:r>
            <w:proofErr w:type="spellEnd"/>
            <w:r>
              <w:rPr>
                <w:rFonts w:ascii="Calibri" w:eastAsia="Calibri" w:hAnsi="Calibri" w:cs="Calibri"/>
                <w:color w:val="000000"/>
                <w:sz w:val="20"/>
                <w:szCs w:val="20"/>
              </w:rPr>
              <w:t>,</w:t>
            </w:r>
          </w:p>
          <w:p w14:paraId="591DAE69" w14:textId="013FD400"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GP</w:t>
            </w:r>
            <w:r w:rsidR="00B95FB9">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trunk</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roads</w:t>
            </w:r>
            <w:proofErr w:type="spellEnd"/>
            <w:r>
              <w:rPr>
                <w:rFonts w:ascii="Calibri" w:eastAsia="Calibri" w:hAnsi="Calibri" w:cs="Calibri"/>
                <w:color w:val="000000"/>
                <w:sz w:val="20"/>
                <w:szCs w:val="20"/>
              </w:rPr>
              <w:t>,</w:t>
            </w:r>
          </w:p>
          <w:p w14:paraId="62B8D666"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G</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main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roads</w:t>
            </w:r>
            <w:proofErr w:type="spellEnd"/>
            <w:r>
              <w:rPr>
                <w:rFonts w:ascii="Calibri" w:eastAsia="Calibri" w:hAnsi="Calibri" w:cs="Calibri"/>
                <w:color w:val="000000"/>
                <w:sz w:val="20"/>
                <w:szCs w:val="20"/>
              </w:rPr>
              <w:t>,</w:t>
            </w:r>
          </w:p>
          <w:p w14:paraId="6805E23E"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Z</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collector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roads</w:t>
            </w:r>
            <w:proofErr w:type="spellEnd"/>
            <w:r>
              <w:rPr>
                <w:rFonts w:ascii="Calibri" w:eastAsia="Calibri" w:hAnsi="Calibri" w:cs="Calibri"/>
                <w:color w:val="000000"/>
                <w:sz w:val="20"/>
                <w:szCs w:val="20"/>
              </w:rPr>
              <w:t>,</w:t>
            </w:r>
          </w:p>
          <w:p w14:paraId="44C54089"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L</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local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roads</w:t>
            </w:r>
            <w:proofErr w:type="spellEnd"/>
            <w:r>
              <w:rPr>
                <w:rFonts w:ascii="Calibri" w:eastAsia="Calibri" w:hAnsi="Calibri" w:cs="Calibri"/>
                <w:color w:val="000000"/>
                <w:sz w:val="20"/>
                <w:szCs w:val="20"/>
              </w:rPr>
              <w:t>,</w:t>
            </w:r>
          </w:p>
          <w:p w14:paraId="5E49A3B4"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D</w:t>
            </w:r>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access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roads</w:t>
            </w:r>
            <w:proofErr w:type="spellEnd"/>
            <w:r>
              <w:rPr>
                <w:rFonts w:ascii="Calibri" w:eastAsia="Calibri" w:hAnsi="Calibri" w:cs="Calibri"/>
                <w:color w:val="000000"/>
                <w:sz w:val="20"/>
                <w:szCs w:val="20"/>
              </w:rPr>
              <w:t>.</w:t>
            </w:r>
          </w:p>
          <w:p w14:paraId="4A1A2BB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Road in flat terrain</w:t>
            </w:r>
            <w:r w:rsidRPr="0045151D">
              <w:rPr>
                <w:rFonts w:ascii="Calibri" w:eastAsia="Calibri" w:hAnsi="Calibri" w:cs="Calibri"/>
                <w:color w:val="000000"/>
                <w:sz w:val="20"/>
                <w:szCs w:val="20"/>
                <w:lang w:val="en-GB"/>
              </w:rPr>
              <w:t xml:space="preserve"> – a road on which the gradient is less than or equal to 2%.</w:t>
            </w:r>
          </w:p>
          <w:p w14:paraId="690C314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Road in rolling terrain</w:t>
            </w:r>
            <w:r w:rsidRPr="0045151D">
              <w:rPr>
                <w:rFonts w:ascii="Calibri" w:eastAsia="Calibri" w:hAnsi="Calibri" w:cs="Calibri"/>
                <w:color w:val="000000"/>
                <w:sz w:val="20"/>
                <w:szCs w:val="20"/>
                <w:lang w:val="en-GB"/>
              </w:rPr>
              <w:t xml:space="preserve"> – a road on which the gradient is between 2% and 6%.</w:t>
            </w:r>
          </w:p>
          <w:p w14:paraId="13CC095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Road in mountainous terrain</w:t>
            </w:r>
            <w:r w:rsidRPr="0045151D">
              <w:rPr>
                <w:rFonts w:ascii="Calibri" w:eastAsia="Calibri" w:hAnsi="Calibri" w:cs="Calibri"/>
                <w:color w:val="000000"/>
                <w:sz w:val="20"/>
                <w:szCs w:val="20"/>
                <w:lang w:val="en-GB"/>
              </w:rPr>
              <w:t xml:space="preserve"> – a road on which the gradient is bigger than 6%.</w:t>
            </w:r>
          </w:p>
          <w:p w14:paraId="158E9164" w14:textId="16A57A80" w:rsidR="00600DEE" w:rsidRPr="002D4835"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Road categories </w:t>
            </w:r>
            <w:r w:rsidRPr="0045151D">
              <w:rPr>
                <w:rFonts w:ascii="Calibri" w:eastAsia="Calibri" w:hAnsi="Calibri" w:cs="Calibri"/>
                <w:color w:val="000000"/>
                <w:sz w:val="20"/>
                <w:szCs w:val="20"/>
                <w:lang w:val="en-GB"/>
              </w:rPr>
              <w:t>– based on assignment to the ap</w:t>
            </w:r>
            <w:r w:rsidR="002D4835">
              <w:rPr>
                <w:rFonts w:ascii="Calibri" w:eastAsia="Calibri" w:hAnsi="Calibri" w:cs="Calibri"/>
                <w:color w:val="000000"/>
                <w:sz w:val="20"/>
                <w:szCs w:val="20"/>
                <w:lang w:val="en-GB"/>
              </w:rPr>
              <w:t>p</w:t>
            </w:r>
            <w:r w:rsidRPr="0045151D">
              <w:rPr>
                <w:rFonts w:ascii="Calibri" w:eastAsia="Calibri" w:hAnsi="Calibri" w:cs="Calibri"/>
                <w:color w:val="000000"/>
                <w:sz w:val="20"/>
                <w:szCs w:val="20"/>
                <w:lang w:val="en-GB"/>
              </w:rPr>
              <w:t xml:space="preserve">ropriate managing authority. </w:t>
            </w:r>
            <w:r w:rsidRPr="002D4835">
              <w:rPr>
                <w:rFonts w:ascii="Calibri" w:eastAsia="Calibri" w:hAnsi="Calibri" w:cs="Calibri"/>
                <w:color w:val="000000"/>
                <w:sz w:val="20"/>
                <w:szCs w:val="20"/>
                <w:lang w:val="en-GB"/>
              </w:rPr>
              <w:t>The road categories include:</w:t>
            </w:r>
          </w:p>
          <w:p w14:paraId="196C73CF"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National Road (managed by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class A,S,GP, exceptionally G</w:t>
            </w:r>
          </w:p>
          <w:p w14:paraId="70A394CD"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Voivodeship Road: class G,Z, exceptionally GP;</w:t>
            </w:r>
          </w:p>
          <w:p w14:paraId="4E907D0D"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County Road: class G, Z, exceptionally L</w:t>
            </w:r>
          </w:p>
          <w:p w14:paraId="181A29E0"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Communal Road: class: L, D, exceptionally Z</w:t>
            </w:r>
          </w:p>
          <w:p w14:paraId="3EC53B29" w14:textId="77777777" w:rsidR="00600DEE" w:rsidRDefault="00641FB5" w:rsidP="00D5736B">
            <w:pPr>
              <w:numPr>
                <w:ilvl w:val="0"/>
                <w:numId w:val="61"/>
              </w:numPr>
              <w:pBdr>
                <w:top w:val="nil"/>
                <w:left w:val="nil"/>
                <w:bottom w:val="nil"/>
                <w:right w:val="nil"/>
                <w:between w:val="nil"/>
              </w:pBdr>
              <w:spacing w:before="120"/>
              <w:ind w:left="423" w:hanging="422"/>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lastRenderedPageBreak/>
              <w:t>Forest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industrial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private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roads</w:t>
            </w:r>
            <w:proofErr w:type="spellEnd"/>
          </w:p>
          <w:p w14:paraId="2BB7E7C8" w14:textId="77777777" w:rsidR="00600DEE" w:rsidRPr="0045151D" w:rsidRDefault="00641FB5">
            <w:pPr>
              <w:spacing w:before="120"/>
              <w:jc w:val="both"/>
              <w:rPr>
                <w:rFonts w:ascii="Calibri" w:eastAsia="Calibri" w:hAnsi="Calibri" w:cs="Calibri"/>
                <w:sz w:val="20"/>
                <w:szCs w:val="20"/>
                <w:lang w:val="en-GB"/>
              </w:rPr>
            </w:pPr>
            <w:r w:rsidRPr="0045151D">
              <w:rPr>
                <w:rFonts w:ascii="Calibri" w:eastAsia="Calibri" w:hAnsi="Calibri" w:cs="Calibri"/>
                <w:b/>
                <w:sz w:val="20"/>
                <w:szCs w:val="20"/>
                <w:lang w:val="en-GB"/>
              </w:rPr>
              <w:t xml:space="preserve">Buffer, project impact area </w:t>
            </w:r>
            <w:r w:rsidRPr="0045151D">
              <w:rPr>
                <w:rFonts w:ascii="Calibri" w:eastAsia="Calibri" w:hAnsi="Calibri" w:cs="Calibri"/>
                <w:sz w:val="20"/>
                <w:szCs w:val="20"/>
                <w:lang w:val="en-GB"/>
              </w:rPr>
              <w:t xml:space="preserve">– the area isolated from the road network model for CBA purpose; in case of the new non-urban road or motorway investment it usually includes all sections where the difference in traffic volumes between option </w:t>
            </w:r>
            <w:proofErr w:type="spellStart"/>
            <w:r w:rsidRPr="0045151D">
              <w:rPr>
                <w:rFonts w:ascii="Calibri" w:eastAsia="Calibri" w:hAnsi="Calibri" w:cs="Calibri"/>
                <w:sz w:val="20"/>
                <w:szCs w:val="20"/>
                <w:lang w:val="en-GB"/>
              </w:rPr>
              <w:t>Wn</w:t>
            </w:r>
            <w:proofErr w:type="spellEnd"/>
            <w:r w:rsidRPr="0045151D">
              <w:rPr>
                <w:rFonts w:ascii="Calibri" w:eastAsia="Calibri" w:hAnsi="Calibri" w:cs="Calibri"/>
                <w:sz w:val="20"/>
                <w:szCs w:val="20"/>
                <w:lang w:val="en-GB"/>
              </w:rPr>
              <w:t xml:space="preserve"> and W0 is more than 10% and can be considered as significant impact on the road network . In some cases, the buffer could also be considered as above 5% or above 15% </w:t>
            </w:r>
            <w:r w:rsidRPr="0045151D">
              <w:rPr>
                <w:rFonts w:ascii="Calibri" w:eastAsia="Calibri" w:hAnsi="Calibri" w:cs="Calibri"/>
                <w:color w:val="333399"/>
                <w:sz w:val="20"/>
                <w:szCs w:val="20"/>
                <w:lang w:val="en-GB"/>
              </w:rPr>
              <w:t>–</w:t>
            </w:r>
            <w:r w:rsidRPr="0045151D">
              <w:rPr>
                <w:rFonts w:ascii="Calibri" w:eastAsia="Calibri" w:hAnsi="Calibri" w:cs="Calibri"/>
                <w:sz w:val="20"/>
                <w:szCs w:val="20"/>
                <w:lang w:val="en-GB"/>
              </w:rPr>
              <w:t xml:space="preserve"> subject to the discretion and case by case approach.</w:t>
            </w:r>
          </w:p>
          <w:p w14:paraId="4943BBB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09985E7" w14:textId="77777777" w:rsidR="00921721" w:rsidRPr="00921CD1" w:rsidRDefault="00641FB5" w:rsidP="00921721">
      <w:pPr>
        <w:pStyle w:val="Nagwek1"/>
        <w:numPr>
          <w:ilvl w:val="0"/>
          <w:numId w:val="0"/>
        </w:numPr>
        <w:rPr>
          <w:rFonts w:asciiTheme="minorHAnsi" w:hAnsiTheme="minorHAnsi"/>
          <w:i/>
          <w:color w:val="0070C0"/>
          <w:lang w:val="pl-PL"/>
        </w:rPr>
      </w:pPr>
      <w:bookmarkStart w:id="122" w:name="_Toc95378016"/>
      <w:r w:rsidRPr="0045151D">
        <w:rPr>
          <w:rFonts w:ascii="Calibri" w:eastAsia="Calibri" w:hAnsi="Calibri" w:cs="Calibri"/>
          <w:color w:val="0070C0"/>
          <w:lang w:val="pl-PL"/>
        </w:rPr>
        <w:lastRenderedPageBreak/>
        <w:t>Załącznik A: Jednostkowe koszty ekonomiczne i finansowe</w:t>
      </w:r>
      <w:r w:rsidRPr="0045151D">
        <w:rPr>
          <w:rFonts w:ascii="Calibri" w:eastAsia="Calibri" w:hAnsi="Calibri" w:cs="Calibri"/>
          <w:color w:val="0070C0"/>
          <w:lang w:val="pl-PL"/>
        </w:rPr>
        <w:br/>
      </w:r>
      <w:r w:rsidR="00921721" w:rsidRPr="00C754F3">
        <w:rPr>
          <w:rFonts w:asciiTheme="minorHAnsi" w:hAnsiTheme="minorHAnsi"/>
          <w:i/>
          <w:color w:val="0070C0"/>
          <w:lang w:val="pl-PL"/>
        </w:rPr>
        <w:t xml:space="preserve">Appendix A: </w:t>
      </w:r>
      <w:proofErr w:type="spellStart"/>
      <w:r w:rsidR="00921721" w:rsidRPr="00C754F3">
        <w:rPr>
          <w:rFonts w:asciiTheme="minorHAnsi" w:hAnsiTheme="minorHAnsi"/>
          <w:i/>
          <w:color w:val="0070C0"/>
          <w:lang w:val="pl-PL"/>
        </w:rPr>
        <w:t>Economic</w:t>
      </w:r>
      <w:proofErr w:type="spellEnd"/>
      <w:r w:rsidR="00921721" w:rsidRPr="00C754F3">
        <w:rPr>
          <w:rFonts w:asciiTheme="minorHAnsi" w:hAnsiTheme="minorHAnsi"/>
          <w:i/>
          <w:color w:val="0070C0"/>
          <w:lang w:val="pl-PL"/>
        </w:rPr>
        <w:t xml:space="preserve"> and </w:t>
      </w:r>
      <w:proofErr w:type="spellStart"/>
      <w:r w:rsidR="00921721" w:rsidRPr="00C754F3">
        <w:rPr>
          <w:rFonts w:asciiTheme="minorHAnsi" w:hAnsiTheme="minorHAnsi"/>
          <w:i/>
          <w:color w:val="0070C0"/>
          <w:lang w:val="pl-PL"/>
        </w:rPr>
        <w:t>financial</w:t>
      </w:r>
      <w:proofErr w:type="spellEnd"/>
      <w:r w:rsidR="00921721" w:rsidRPr="00C754F3">
        <w:rPr>
          <w:rFonts w:asciiTheme="minorHAnsi" w:hAnsiTheme="minorHAnsi"/>
          <w:i/>
          <w:color w:val="0070C0"/>
          <w:lang w:val="pl-PL"/>
        </w:rPr>
        <w:t xml:space="preserve"> unit </w:t>
      </w:r>
      <w:proofErr w:type="spellStart"/>
      <w:r w:rsidR="00921721" w:rsidRPr="00C754F3">
        <w:rPr>
          <w:rFonts w:asciiTheme="minorHAnsi" w:hAnsiTheme="minorHAnsi"/>
          <w:i/>
          <w:color w:val="0070C0"/>
          <w:lang w:val="pl-PL"/>
        </w:rPr>
        <w:t>costs</w:t>
      </w:r>
      <w:bookmarkEnd w:id="122"/>
      <w:proofErr w:type="spellEnd"/>
    </w:p>
    <w:tbl>
      <w:tblPr>
        <w:tblW w:w="5000" w:type="pct"/>
        <w:tblLayout w:type="fixed"/>
        <w:tblLook w:val="04A0" w:firstRow="1" w:lastRow="0" w:firstColumn="1" w:lastColumn="0" w:noHBand="0" w:noVBand="1"/>
      </w:tblPr>
      <w:tblGrid>
        <w:gridCol w:w="7230"/>
        <w:gridCol w:w="7340"/>
      </w:tblGrid>
      <w:tr w:rsidR="00921721" w:rsidRPr="007463B9" w14:paraId="577C2657" w14:textId="77777777" w:rsidTr="00880D09">
        <w:tc>
          <w:tcPr>
            <w:tcW w:w="2481" w:type="pct"/>
            <w:tcBorders>
              <w:top w:val="nil"/>
              <w:left w:val="nil"/>
              <w:bottom w:val="nil"/>
              <w:right w:val="single" w:sz="4" w:space="0" w:color="auto"/>
            </w:tcBorders>
            <w:shd w:val="clear" w:color="auto" w:fill="auto"/>
            <w:tcMar>
              <w:left w:w="284" w:type="dxa"/>
              <w:right w:w="284" w:type="dxa"/>
            </w:tcMar>
          </w:tcPr>
          <w:p w14:paraId="5CB2CD7A" w14:textId="77777777" w:rsidR="00921721" w:rsidRPr="00C754F3" w:rsidRDefault="00921721" w:rsidP="00880D09">
            <w:pPr>
              <w:pStyle w:val="anxnormal"/>
              <w:ind w:left="0"/>
              <w:rPr>
                <w:rFonts w:asciiTheme="minorHAnsi" w:hAnsiTheme="minorHAnsi" w:cs="Arial-Narrow,Bold"/>
                <w:b/>
                <w:bCs/>
                <w:color w:val="4F81BD" w:themeColor="accent1"/>
                <w:sz w:val="23"/>
                <w:szCs w:val="23"/>
                <w:lang w:eastAsia="en-GB"/>
              </w:rPr>
            </w:pPr>
            <w:r w:rsidRPr="00C754F3">
              <w:rPr>
                <w:rFonts w:asciiTheme="minorHAnsi" w:hAnsiTheme="minorHAnsi" w:cs="Arial-Narrow,Bold"/>
                <w:b/>
                <w:bCs/>
                <w:color w:val="4F81BD" w:themeColor="accent1"/>
                <w:sz w:val="23"/>
                <w:szCs w:val="23"/>
                <w:lang w:eastAsia="en-GB"/>
              </w:rPr>
              <w:t>1. Uwagi ogólne</w:t>
            </w:r>
          </w:p>
          <w:p w14:paraId="5281A400"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Wszystkie koszty jednostkowe określone</w:t>
            </w:r>
            <w:r>
              <w:rPr>
                <w:rFonts w:asciiTheme="minorHAnsi" w:hAnsiTheme="minorHAnsi"/>
                <w:lang w:eastAsia="en-US"/>
              </w:rPr>
              <w:t xml:space="preserve"> w </w:t>
            </w:r>
            <w:r w:rsidRPr="00731E4E">
              <w:rPr>
                <w:rFonts w:asciiTheme="minorHAnsi" w:hAnsiTheme="minorHAnsi"/>
                <w:lang w:eastAsia="en-US"/>
              </w:rPr>
              <w:t>niniejszym załączniku odnoszą się do cen z</w:t>
            </w:r>
            <w:r>
              <w:rPr>
                <w:rFonts w:asciiTheme="minorHAnsi" w:hAnsiTheme="minorHAnsi"/>
                <w:lang w:eastAsia="en-US"/>
              </w:rPr>
              <w:t xml:space="preserve"> 2021 </w:t>
            </w:r>
            <w:r w:rsidRPr="00731E4E">
              <w:rPr>
                <w:rFonts w:asciiTheme="minorHAnsi" w:hAnsiTheme="minorHAnsi"/>
                <w:lang w:eastAsia="en-US"/>
              </w:rPr>
              <w:t>roku.</w:t>
            </w:r>
          </w:p>
          <w:p w14:paraId="527D764E"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Koszty jednostkowe czasu (</w:t>
            </w:r>
            <w:proofErr w:type="spellStart"/>
            <w:r w:rsidRPr="00731E4E">
              <w:rPr>
                <w:rFonts w:asciiTheme="minorHAnsi" w:hAnsiTheme="minorHAnsi"/>
                <w:lang w:eastAsia="en-US"/>
              </w:rPr>
              <w:t>V</w:t>
            </w:r>
            <w:r>
              <w:rPr>
                <w:rFonts w:asciiTheme="minorHAnsi" w:hAnsiTheme="minorHAnsi"/>
                <w:lang w:eastAsia="en-US"/>
              </w:rPr>
              <w:t>o</w:t>
            </w:r>
            <w:r w:rsidRPr="00731E4E">
              <w:rPr>
                <w:rFonts w:asciiTheme="minorHAnsi" w:hAnsiTheme="minorHAnsi"/>
                <w:lang w:eastAsia="en-US"/>
              </w:rPr>
              <w:t>T</w:t>
            </w:r>
            <w:proofErr w:type="spellEnd"/>
            <w:r w:rsidRPr="00731E4E">
              <w:rPr>
                <w:rFonts w:asciiTheme="minorHAnsi" w:hAnsiTheme="minorHAnsi"/>
                <w:lang w:eastAsia="en-US"/>
              </w:rPr>
              <w:t>), wypadków, zanieczyszczenia powietrza</w:t>
            </w:r>
            <w:r>
              <w:rPr>
                <w:rFonts w:asciiTheme="minorHAnsi" w:hAnsiTheme="minorHAnsi"/>
                <w:lang w:eastAsia="en-US"/>
              </w:rPr>
              <w:t xml:space="preserve"> i </w:t>
            </w:r>
            <w:r w:rsidRPr="00731E4E">
              <w:rPr>
                <w:rFonts w:asciiTheme="minorHAnsi" w:hAnsiTheme="minorHAnsi"/>
                <w:lang w:eastAsia="en-US"/>
              </w:rPr>
              <w:t>hałasu rosną</w:t>
            </w:r>
            <w:r>
              <w:rPr>
                <w:rFonts w:asciiTheme="minorHAnsi" w:hAnsiTheme="minorHAnsi"/>
                <w:lang w:eastAsia="en-US"/>
              </w:rPr>
              <w:t xml:space="preserve"> w </w:t>
            </w:r>
            <w:r w:rsidRPr="00731E4E">
              <w:rPr>
                <w:rFonts w:asciiTheme="minorHAnsi" w:hAnsiTheme="minorHAnsi"/>
                <w:lang w:eastAsia="en-US"/>
              </w:rPr>
              <w:t>czasie</w:t>
            </w:r>
            <w:r>
              <w:rPr>
                <w:rFonts w:asciiTheme="minorHAnsi" w:hAnsiTheme="minorHAnsi"/>
                <w:lang w:eastAsia="en-US"/>
              </w:rPr>
              <w:t xml:space="preserve"> z odpowiednią</w:t>
            </w:r>
            <w:r w:rsidRPr="00731E4E">
              <w:rPr>
                <w:rFonts w:asciiTheme="minorHAnsi" w:hAnsiTheme="minorHAnsi"/>
                <w:lang w:eastAsia="en-US"/>
              </w:rPr>
              <w:t xml:space="preserve"> elastycznością</w:t>
            </w:r>
            <w:r w:rsidRPr="00731E4E">
              <w:rPr>
                <w:rStyle w:val="Odwoanieprzypisudolnego"/>
                <w:rFonts w:asciiTheme="minorHAnsi" w:hAnsiTheme="minorHAnsi"/>
                <w:lang w:eastAsia="en-US"/>
              </w:rPr>
              <w:footnoteReference w:id="17"/>
            </w:r>
            <w:r>
              <w:rPr>
                <w:rFonts w:asciiTheme="minorHAnsi" w:hAnsiTheme="minorHAnsi"/>
                <w:lang w:eastAsia="en-US"/>
              </w:rPr>
              <w:t xml:space="preserve"> w </w:t>
            </w:r>
            <w:r w:rsidRPr="00731E4E">
              <w:rPr>
                <w:rFonts w:asciiTheme="minorHAnsi" w:hAnsiTheme="minorHAnsi"/>
                <w:lang w:eastAsia="en-US"/>
              </w:rPr>
              <w:t>stosunku do wzrostu PKB na 1</w:t>
            </w:r>
            <w:r>
              <w:rPr>
                <w:rFonts w:asciiTheme="minorHAnsi" w:hAnsiTheme="minorHAnsi"/>
                <w:lang w:eastAsia="en-US"/>
              </w:rPr>
              <w:t> </w:t>
            </w:r>
            <w:r w:rsidRPr="00731E4E">
              <w:rPr>
                <w:rFonts w:asciiTheme="minorHAnsi" w:hAnsiTheme="minorHAnsi"/>
                <w:lang w:eastAsia="en-US"/>
              </w:rPr>
              <w:t>mieszkańca (</w:t>
            </w:r>
            <w:r>
              <w:rPr>
                <w:rFonts w:asciiTheme="minorHAnsi" w:hAnsiTheme="minorHAnsi"/>
                <w:lang w:eastAsia="en-US"/>
              </w:rPr>
              <w:t>przyjęte wartości wskaźnika elastyczności dla poszczególnych kategorii kosztów ekonomicznych przedstawiono w kolejnych punktach niniejszego Załącznika A</w:t>
            </w:r>
            <w:r w:rsidRPr="00731E4E">
              <w:rPr>
                <w:rFonts w:asciiTheme="minorHAnsi" w:hAnsiTheme="minorHAnsi"/>
                <w:lang w:eastAsia="en-US"/>
              </w:rPr>
              <w:t xml:space="preserve"> poniżej).</w:t>
            </w:r>
          </w:p>
          <w:p w14:paraId="3230742A" w14:textId="77777777" w:rsidR="00921721" w:rsidRPr="00731E4E" w:rsidRDefault="00921721" w:rsidP="00880D09">
            <w:pPr>
              <w:pStyle w:val="anxnormal"/>
              <w:ind w:left="0"/>
              <w:rPr>
                <w:rFonts w:asciiTheme="minorHAnsi" w:hAnsiTheme="minorHAnsi"/>
                <w:lang w:eastAsia="en-US"/>
              </w:rPr>
            </w:pPr>
            <w:r w:rsidRPr="002C6855">
              <w:rPr>
                <w:rFonts w:asciiTheme="minorHAnsi" w:hAnsiTheme="minorHAnsi"/>
                <w:lang w:eastAsia="en-US"/>
              </w:rPr>
              <w:t xml:space="preserve">Dla </w:t>
            </w:r>
            <w:proofErr w:type="spellStart"/>
            <w:r w:rsidRPr="002C6855">
              <w:rPr>
                <w:rFonts w:asciiTheme="minorHAnsi" w:hAnsiTheme="minorHAnsi"/>
                <w:lang w:eastAsia="en-US"/>
              </w:rPr>
              <w:t>VoT</w:t>
            </w:r>
            <w:proofErr w:type="spellEnd"/>
            <w:r w:rsidRPr="002C6855">
              <w:rPr>
                <w:rFonts w:asciiTheme="minorHAnsi" w:hAnsiTheme="minorHAnsi"/>
                <w:lang w:eastAsia="en-US"/>
              </w:rPr>
              <w:t xml:space="preserve"> i wypadków, poniższe tabele przedstawiają wartości kosztów jednostkowych do 2060 roku.</w:t>
            </w:r>
            <w:r w:rsidRPr="00731E4E">
              <w:rPr>
                <w:rFonts w:asciiTheme="minorHAnsi" w:hAnsiTheme="minorHAnsi"/>
                <w:lang w:eastAsia="en-US"/>
              </w:rPr>
              <w:t xml:space="preserve"> Dla pozostałych kategorii, zasady wzrostu cen są opisane</w:t>
            </w:r>
            <w:r>
              <w:rPr>
                <w:rFonts w:asciiTheme="minorHAnsi" w:hAnsiTheme="minorHAnsi"/>
                <w:lang w:eastAsia="en-US"/>
              </w:rPr>
              <w:t xml:space="preserve"> w </w:t>
            </w:r>
            <w:r w:rsidRPr="00731E4E">
              <w:rPr>
                <w:rFonts w:asciiTheme="minorHAnsi" w:hAnsiTheme="minorHAnsi"/>
                <w:lang w:eastAsia="en-US"/>
              </w:rPr>
              <w:t>niniejszym załączniku.</w:t>
            </w:r>
          </w:p>
          <w:p w14:paraId="07E54355"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Koszty jednostkowe zależne od kategorii pojazdów (tj. VOC, zanieczyszczenie powietrza, zmiany klimatu</w:t>
            </w:r>
            <w:r>
              <w:rPr>
                <w:rFonts w:asciiTheme="minorHAnsi" w:hAnsiTheme="minorHAnsi"/>
                <w:lang w:eastAsia="en-US"/>
              </w:rPr>
              <w:t xml:space="preserve"> i </w:t>
            </w:r>
            <w:r w:rsidRPr="00731E4E">
              <w:rPr>
                <w:rFonts w:asciiTheme="minorHAnsi" w:hAnsiTheme="minorHAnsi"/>
                <w:lang w:eastAsia="en-US"/>
              </w:rPr>
              <w:t>hałasu) zróżnicowano</w:t>
            </w:r>
            <w:r>
              <w:rPr>
                <w:rFonts w:asciiTheme="minorHAnsi" w:hAnsiTheme="minorHAnsi"/>
                <w:lang w:eastAsia="en-US"/>
              </w:rPr>
              <w:t xml:space="preserve"> w </w:t>
            </w:r>
            <w:r w:rsidRPr="00731E4E">
              <w:rPr>
                <w:rFonts w:asciiTheme="minorHAnsi" w:hAnsiTheme="minorHAnsi"/>
                <w:lang w:eastAsia="en-US"/>
              </w:rPr>
              <w:t xml:space="preserve">zależności od </w:t>
            </w:r>
            <w:r w:rsidRPr="00731E4E">
              <w:rPr>
                <w:rStyle w:val="hps"/>
                <w:rFonts w:asciiTheme="minorHAnsi" w:hAnsiTheme="minorHAnsi"/>
                <w:color w:val="222222"/>
              </w:rPr>
              <w:t xml:space="preserve">dwóch kategorii </w:t>
            </w:r>
            <w:r w:rsidRPr="00731E4E">
              <w:rPr>
                <w:rFonts w:asciiTheme="minorHAnsi" w:hAnsiTheme="minorHAnsi"/>
                <w:lang w:eastAsia="en-US"/>
              </w:rPr>
              <w:t>pojazdów (samochody lekkie LV</w:t>
            </w:r>
            <w:r>
              <w:rPr>
                <w:rFonts w:asciiTheme="minorHAnsi" w:hAnsiTheme="minorHAnsi"/>
                <w:lang w:eastAsia="en-US"/>
              </w:rPr>
              <w:t xml:space="preserve"> i </w:t>
            </w:r>
            <w:r w:rsidRPr="00731E4E">
              <w:rPr>
                <w:rFonts w:asciiTheme="minorHAnsi" w:hAnsiTheme="minorHAnsi"/>
                <w:lang w:eastAsia="en-US"/>
              </w:rPr>
              <w:t>samochody ciężarowe HGV)</w:t>
            </w:r>
            <w:r>
              <w:rPr>
                <w:rFonts w:asciiTheme="minorHAnsi" w:hAnsiTheme="minorHAnsi"/>
                <w:lang w:eastAsia="en-US"/>
              </w:rPr>
              <w:t xml:space="preserve"> i </w:t>
            </w:r>
            <w:r w:rsidRPr="00731E4E">
              <w:rPr>
                <w:rFonts w:asciiTheme="minorHAnsi" w:hAnsiTheme="minorHAnsi"/>
                <w:lang w:eastAsia="en-US"/>
              </w:rPr>
              <w:t>przedstawiono w</w:t>
            </w:r>
            <w:r>
              <w:rPr>
                <w:rFonts w:asciiTheme="minorHAnsi" w:hAnsiTheme="minorHAnsi"/>
                <w:lang w:eastAsia="en-US"/>
              </w:rPr>
              <w:t> </w:t>
            </w:r>
            <w:r w:rsidRPr="00731E4E">
              <w:rPr>
                <w:rFonts w:asciiTheme="minorHAnsi" w:hAnsiTheme="minorHAnsi"/>
                <w:lang w:eastAsia="en-US"/>
              </w:rPr>
              <w:t>odpowiednich tabelach</w:t>
            </w:r>
            <w:r>
              <w:rPr>
                <w:rFonts w:asciiTheme="minorHAnsi" w:hAnsiTheme="minorHAnsi"/>
                <w:lang w:eastAsia="en-US"/>
              </w:rPr>
              <w:t xml:space="preserve"> </w:t>
            </w:r>
            <w:r w:rsidRPr="00AD3A1D">
              <w:rPr>
                <w:rFonts w:asciiTheme="minorHAnsi" w:hAnsiTheme="minorHAnsi"/>
                <w:lang w:eastAsia="en-US"/>
              </w:rPr>
              <w:t>(w niektórych przypadkach</w:t>
            </w:r>
            <w:r>
              <w:rPr>
                <w:rFonts w:asciiTheme="minorHAnsi" w:hAnsiTheme="minorHAnsi"/>
                <w:lang w:eastAsia="en-US"/>
              </w:rPr>
              <w:t xml:space="preserve"> podano</w:t>
            </w:r>
            <w:r w:rsidRPr="00AD3A1D">
              <w:rPr>
                <w:rFonts w:asciiTheme="minorHAnsi" w:hAnsiTheme="minorHAnsi"/>
                <w:lang w:eastAsia="en-US"/>
              </w:rPr>
              <w:t xml:space="preserve"> bardziej szczegółow</w:t>
            </w:r>
            <w:r>
              <w:rPr>
                <w:rFonts w:asciiTheme="minorHAnsi" w:hAnsiTheme="minorHAnsi"/>
                <w:lang w:eastAsia="en-US"/>
              </w:rPr>
              <w:t>y</w:t>
            </w:r>
            <w:r w:rsidRPr="00AD3A1D">
              <w:rPr>
                <w:rFonts w:asciiTheme="minorHAnsi" w:hAnsiTheme="minorHAnsi"/>
                <w:lang w:eastAsia="en-US"/>
              </w:rPr>
              <w:t xml:space="preserve"> </w:t>
            </w:r>
            <w:r>
              <w:rPr>
                <w:rFonts w:asciiTheme="minorHAnsi" w:hAnsiTheme="minorHAnsi"/>
                <w:lang w:eastAsia="en-US"/>
              </w:rPr>
              <w:t xml:space="preserve">podział, zalecany </w:t>
            </w:r>
            <w:r w:rsidRPr="00AD3A1D">
              <w:rPr>
                <w:rFonts w:asciiTheme="minorHAnsi" w:hAnsiTheme="minorHAnsi"/>
                <w:lang w:eastAsia="en-US"/>
              </w:rPr>
              <w:t>do wykorzystania jedynie w szczególnych przypadkach).</w:t>
            </w:r>
            <w:r>
              <w:rPr>
                <w:rFonts w:asciiTheme="minorHAnsi" w:hAnsiTheme="minorHAnsi"/>
                <w:lang w:eastAsia="en-US"/>
              </w:rPr>
              <w:t xml:space="preserve"> W </w:t>
            </w:r>
            <w:r w:rsidRPr="00731E4E">
              <w:rPr>
                <w:rFonts w:asciiTheme="minorHAnsi" w:hAnsiTheme="minorHAnsi"/>
                <w:lang w:eastAsia="en-US"/>
              </w:rPr>
              <w:t>przypadku, jeżeli rezultaty prognozy ruchu zostały przedstawione</w:t>
            </w:r>
            <w:r>
              <w:rPr>
                <w:rFonts w:asciiTheme="minorHAnsi" w:hAnsiTheme="minorHAnsi"/>
                <w:lang w:eastAsia="en-US"/>
              </w:rPr>
              <w:t xml:space="preserve"> w </w:t>
            </w:r>
            <w:r w:rsidRPr="00731E4E">
              <w:rPr>
                <w:rFonts w:asciiTheme="minorHAnsi" w:hAnsiTheme="minorHAnsi"/>
                <w:lang w:eastAsia="en-US"/>
              </w:rPr>
              <w:t>podziale na 5 kategorii pojazdów,</w:t>
            </w:r>
            <w:r>
              <w:rPr>
                <w:rFonts w:asciiTheme="minorHAnsi" w:hAnsiTheme="minorHAnsi"/>
                <w:lang w:eastAsia="en-US"/>
              </w:rPr>
              <w:t xml:space="preserve"> o </w:t>
            </w:r>
            <w:r w:rsidRPr="00731E4E">
              <w:rPr>
                <w:rFonts w:asciiTheme="minorHAnsi" w:hAnsiTheme="minorHAnsi"/>
                <w:lang w:eastAsia="en-US"/>
              </w:rPr>
              <w:t>których mowa</w:t>
            </w:r>
            <w:r>
              <w:rPr>
                <w:rFonts w:asciiTheme="minorHAnsi" w:hAnsiTheme="minorHAnsi"/>
                <w:lang w:eastAsia="en-US"/>
              </w:rPr>
              <w:t xml:space="preserve"> w </w:t>
            </w:r>
            <w:r w:rsidRPr="00731E4E">
              <w:rPr>
                <w:rFonts w:asciiTheme="minorHAnsi" w:hAnsiTheme="minorHAnsi"/>
                <w:lang w:eastAsia="en-US"/>
              </w:rPr>
              <w:t>rozdziale 1.8, to powinny zostać potraktowane</w:t>
            </w:r>
            <w:r>
              <w:rPr>
                <w:rFonts w:asciiTheme="minorHAnsi" w:hAnsiTheme="minorHAnsi"/>
                <w:lang w:eastAsia="en-US"/>
              </w:rPr>
              <w:t xml:space="preserve"> w </w:t>
            </w:r>
            <w:r w:rsidRPr="00731E4E">
              <w:rPr>
                <w:rFonts w:asciiTheme="minorHAnsi" w:hAnsiTheme="minorHAnsi"/>
                <w:lang w:eastAsia="en-US"/>
              </w:rPr>
              <w:t>sposób następujący:</w:t>
            </w:r>
          </w:p>
          <w:p w14:paraId="0154BFB7" w14:textId="77777777" w:rsidR="00921721" w:rsidRPr="00731E4E" w:rsidRDefault="00921721" w:rsidP="00D5736B">
            <w:pPr>
              <w:pStyle w:val="anxnormal"/>
              <w:numPr>
                <w:ilvl w:val="0"/>
                <w:numId w:val="88"/>
              </w:numPr>
              <w:snapToGrid w:val="0"/>
              <w:ind w:left="851" w:hanging="851"/>
              <w:rPr>
                <w:rFonts w:asciiTheme="minorHAnsi" w:hAnsiTheme="minorHAnsi"/>
                <w:lang w:eastAsia="en-US"/>
              </w:rPr>
            </w:pPr>
            <w:r w:rsidRPr="00731E4E">
              <w:rPr>
                <w:rFonts w:asciiTheme="minorHAnsi" w:hAnsiTheme="minorHAnsi"/>
                <w:lang w:eastAsia="en-US"/>
              </w:rPr>
              <w:t xml:space="preserve">koszty jednostkowe dla LV należy przyjąć dla samochodów osobowych (SO) </w:t>
            </w:r>
            <w:r>
              <w:rPr>
                <w:rFonts w:asciiTheme="minorHAnsi" w:hAnsiTheme="minorHAnsi"/>
                <w:lang w:eastAsia="en-US"/>
              </w:rPr>
              <w:t>i </w:t>
            </w:r>
            <w:r w:rsidRPr="00731E4E">
              <w:rPr>
                <w:rFonts w:asciiTheme="minorHAnsi" w:hAnsiTheme="minorHAnsi"/>
                <w:lang w:eastAsia="en-US"/>
              </w:rPr>
              <w:t>samochodów dostawczych (SD);</w:t>
            </w:r>
          </w:p>
          <w:p w14:paraId="2B4B8CEC" w14:textId="77777777" w:rsidR="00921721" w:rsidRDefault="00921721" w:rsidP="00D5736B">
            <w:pPr>
              <w:pStyle w:val="anxnormal"/>
              <w:numPr>
                <w:ilvl w:val="0"/>
                <w:numId w:val="88"/>
              </w:numPr>
              <w:snapToGrid w:val="0"/>
              <w:ind w:left="851" w:hanging="851"/>
              <w:rPr>
                <w:rFonts w:asciiTheme="minorHAnsi" w:hAnsiTheme="minorHAnsi"/>
                <w:lang w:eastAsia="en-US"/>
              </w:rPr>
            </w:pPr>
            <w:r w:rsidRPr="00731E4E">
              <w:rPr>
                <w:rFonts w:asciiTheme="minorHAnsi" w:hAnsiTheme="minorHAnsi"/>
                <w:lang w:eastAsia="en-US"/>
              </w:rPr>
              <w:t>koszty jednostkowe dla HGV należy przyjąć dla samochodów ciężarowych bez przyczep (SC), samochodów ciężarowych</w:t>
            </w:r>
            <w:r>
              <w:rPr>
                <w:rFonts w:asciiTheme="minorHAnsi" w:hAnsiTheme="minorHAnsi"/>
                <w:lang w:eastAsia="en-US"/>
              </w:rPr>
              <w:t xml:space="preserve"> z </w:t>
            </w:r>
            <w:r w:rsidRPr="00731E4E">
              <w:rPr>
                <w:rFonts w:asciiTheme="minorHAnsi" w:hAnsiTheme="minorHAnsi"/>
                <w:lang w:eastAsia="en-US"/>
              </w:rPr>
              <w:t>przyczepami (</w:t>
            </w:r>
            <w:proofErr w:type="spellStart"/>
            <w:r w:rsidRPr="00731E4E">
              <w:rPr>
                <w:rFonts w:asciiTheme="minorHAnsi" w:hAnsiTheme="minorHAnsi"/>
                <w:lang w:eastAsia="en-US"/>
              </w:rPr>
              <w:t>SCp</w:t>
            </w:r>
            <w:proofErr w:type="spellEnd"/>
            <w:r w:rsidRPr="00731E4E">
              <w:rPr>
                <w:rFonts w:asciiTheme="minorHAnsi" w:hAnsiTheme="minorHAnsi"/>
                <w:lang w:eastAsia="en-US"/>
              </w:rPr>
              <w:t>) oraz autobusów (A).</w:t>
            </w:r>
          </w:p>
          <w:p w14:paraId="0C6A117B" w14:textId="77777777" w:rsidR="00921721" w:rsidRPr="003708F5" w:rsidRDefault="00921721" w:rsidP="00880D09">
            <w:pPr>
              <w:pStyle w:val="anxnormal"/>
              <w:ind w:left="0"/>
              <w:rPr>
                <w:rFonts w:asciiTheme="minorHAnsi" w:hAnsiTheme="minorHAnsi"/>
                <w:lang w:eastAsia="en-US"/>
              </w:rPr>
            </w:pPr>
          </w:p>
          <w:p w14:paraId="5C2D4F32" w14:textId="77777777" w:rsidR="00921721" w:rsidRPr="00AA7E38" w:rsidRDefault="00921721" w:rsidP="00880D09">
            <w:pPr>
              <w:pStyle w:val="anxnormal"/>
              <w:ind w:left="0"/>
              <w:rPr>
                <w:rFonts w:asciiTheme="minorHAnsi" w:hAnsiTheme="minorHAnsi"/>
                <w:lang w:eastAsia="en-US"/>
              </w:rPr>
            </w:pPr>
            <w:r w:rsidRPr="00983DF9">
              <w:rPr>
                <w:rFonts w:asciiTheme="minorHAnsi" w:hAnsiTheme="minorHAnsi" w:cstheme="minorHAnsi"/>
              </w:rPr>
              <w:t xml:space="preserve">Przedstawione poniżej koszty jednostkowe oraz związane z nimi zasady i założenia do prognozowania odpowiadają tym zawartym w </w:t>
            </w:r>
            <w:r w:rsidRPr="00B92BFA">
              <w:rPr>
                <w:rFonts w:asciiTheme="minorHAnsi" w:hAnsiTheme="minorHAnsi" w:cstheme="minorHAnsi"/>
                <w:b/>
                <w:i/>
                <w:highlight w:val="yellow"/>
              </w:rPr>
              <w:t>pliku Excel</w:t>
            </w:r>
            <w:r w:rsidRPr="00467842">
              <w:rPr>
                <w:rFonts w:asciiTheme="minorHAnsi" w:hAnsiTheme="minorHAnsi" w:cstheme="minorHAnsi"/>
                <w:highlight w:val="yellow"/>
              </w:rPr>
              <w:t xml:space="preserve">, który został </w:t>
            </w:r>
            <w:r w:rsidRPr="00467842">
              <w:rPr>
                <w:rFonts w:asciiTheme="minorHAnsi" w:hAnsiTheme="minorHAnsi"/>
                <w:highlight w:val="yellow"/>
              </w:rPr>
              <w:t>opracowany w związku z Niebieskimi Księgami</w:t>
            </w:r>
            <w:r w:rsidRPr="00467842">
              <w:rPr>
                <w:rFonts w:asciiTheme="minorHAnsi" w:hAnsiTheme="minorHAnsi" w:cstheme="minorHAnsi"/>
                <w:highlight w:val="yellow"/>
              </w:rPr>
              <w:t>.</w:t>
            </w:r>
            <w:r w:rsidRPr="00467842">
              <w:rPr>
                <w:rFonts w:asciiTheme="minorHAnsi" w:hAnsiTheme="minorHAnsi"/>
                <w:highlight w:val="yellow"/>
                <w:lang w:eastAsia="en-US"/>
              </w:rPr>
              <w:t xml:space="preserve"> CUPT PUBLICATION REFERENCE</w:t>
            </w:r>
          </w:p>
          <w:p w14:paraId="51441980" w14:textId="77777777" w:rsidR="00921721" w:rsidRPr="00F04E31" w:rsidRDefault="00921721" w:rsidP="00880D09">
            <w:pPr>
              <w:pStyle w:val="anxnormal"/>
              <w:ind w:left="0"/>
              <w:rPr>
                <w:rFonts w:asciiTheme="minorHAnsi" w:hAnsiTheme="minorHAnsi"/>
                <w:lang w:eastAsia="en-US"/>
              </w:rPr>
            </w:pPr>
          </w:p>
          <w:p w14:paraId="3C932E0C" w14:textId="77777777" w:rsidR="00921721" w:rsidRPr="00F23E44" w:rsidRDefault="00921721" w:rsidP="00880D09">
            <w:pPr>
              <w:pStyle w:val="anxnormal"/>
              <w:ind w:left="0"/>
              <w:rPr>
                <w:rFonts w:asciiTheme="minorHAnsi" w:hAnsiTheme="minorHAnsi" w:cs="Arial-Narrow,Bold"/>
                <w:b/>
                <w:bCs/>
                <w:color w:val="4F81BD" w:themeColor="accent1"/>
                <w:sz w:val="23"/>
                <w:szCs w:val="23"/>
                <w:lang w:eastAsia="en-GB"/>
              </w:rPr>
            </w:pPr>
            <w:r w:rsidRPr="00F23E44">
              <w:rPr>
                <w:rFonts w:asciiTheme="minorHAnsi" w:hAnsiTheme="minorHAnsi" w:cs="Arial-Narrow,Bold"/>
                <w:b/>
                <w:bCs/>
                <w:color w:val="4F81BD" w:themeColor="accent1"/>
                <w:sz w:val="23"/>
                <w:szCs w:val="23"/>
                <w:lang w:eastAsia="en-GB"/>
              </w:rPr>
              <w:t>2. Trendy wzrostu PKB</w:t>
            </w:r>
          </w:p>
          <w:p w14:paraId="755A676F"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 xml:space="preserve">Trendy wzrostu PKB do wykorzystania </w:t>
            </w:r>
            <w:r>
              <w:rPr>
                <w:rFonts w:asciiTheme="minorHAnsi" w:hAnsiTheme="minorHAnsi"/>
                <w:lang w:eastAsia="en-US"/>
              </w:rPr>
              <w:t>w </w:t>
            </w:r>
            <w:r w:rsidRPr="00CD7B3F">
              <w:rPr>
                <w:rFonts w:asciiTheme="minorHAnsi" w:hAnsiTheme="minorHAnsi"/>
                <w:lang w:eastAsia="en-US"/>
              </w:rPr>
              <w:t>prognozie ruchu</w:t>
            </w:r>
            <w:r>
              <w:rPr>
                <w:rFonts w:asciiTheme="minorHAnsi" w:hAnsiTheme="minorHAnsi"/>
                <w:lang w:eastAsia="en-US"/>
              </w:rPr>
              <w:t xml:space="preserve"> GDDKiA</w:t>
            </w:r>
            <w:r w:rsidRPr="00CD7B3F">
              <w:rPr>
                <w:rFonts w:asciiTheme="minorHAnsi" w:hAnsiTheme="minorHAnsi"/>
                <w:lang w:eastAsia="en-US"/>
              </w:rPr>
              <w:t xml:space="preserve"> </w:t>
            </w:r>
          </w:p>
          <w:tbl>
            <w:tblPr>
              <w:tblW w:w="6795" w:type="dxa"/>
              <w:tblLayout w:type="fixed"/>
              <w:tblLook w:val="04A0" w:firstRow="1" w:lastRow="0" w:firstColumn="1" w:lastColumn="0" w:noHBand="0" w:noVBand="1"/>
            </w:tblPr>
            <w:tblGrid>
              <w:gridCol w:w="1244"/>
              <w:gridCol w:w="944"/>
              <w:gridCol w:w="752"/>
              <w:gridCol w:w="752"/>
              <w:gridCol w:w="752"/>
              <w:gridCol w:w="752"/>
              <w:gridCol w:w="847"/>
              <w:gridCol w:w="752"/>
            </w:tblGrid>
            <w:tr w:rsidR="00921721" w:rsidRPr="00731E4E" w14:paraId="1C3670E4" w14:textId="77777777" w:rsidTr="00880D09">
              <w:trPr>
                <w:trHeight w:hRule="exact" w:val="479"/>
              </w:trPr>
              <w:tc>
                <w:tcPr>
                  <w:tcW w:w="1244"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283F0ECD"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cs="Arial"/>
                      <w:b/>
                      <w:bCs/>
                      <w:color w:val="FFFFFF"/>
                      <w:sz w:val="18"/>
                      <w:szCs w:val="18"/>
                    </w:rPr>
                    <w:t>Lata</w:t>
                  </w:r>
                </w:p>
              </w:tc>
              <w:tc>
                <w:tcPr>
                  <w:tcW w:w="944"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627A385"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09B8DF04"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4504AB0"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674DF82F"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35371065" w14:textId="77777777" w:rsidR="00921721" w:rsidRPr="00731E4E" w:rsidRDefault="00921721" w:rsidP="00880D09">
                  <w:pPr>
                    <w:jc w:val="center"/>
                    <w:rPr>
                      <w:rFonts w:asciiTheme="minorHAnsi" w:hAnsiTheme="minorHAnsi"/>
                      <w:b/>
                      <w:bCs/>
                      <w:color w:val="FFFFFF"/>
                      <w:sz w:val="18"/>
                      <w:szCs w:val="18"/>
                      <w:lang w:eastAsia="en-GB"/>
                    </w:rPr>
                  </w:pPr>
                </w:p>
              </w:tc>
              <w:tc>
                <w:tcPr>
                  <w:tcW w:w="847"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1C7CCD0F" w14:textId="77777777" w:rsidR="00921721" w:rsidRPr="00CD7B3F" w:rsidRDefault="00921721" w:rsidP="00880D09">
                  <w:pPr>
                    <w:jc w:val="center"/>
                    <w:rPr>
                      <w:rFonts w:asciiTheme="minorHAnsi" w:hAnsiTheme="minorHAnsi"/>
                      <w:b/>
                      <w:bCs/>
                      <w:color w:val="FFFFFF"/>
                      <w:sz w:val="18"/>
                      <w:szCs w:val="18"/>
                      <w:lang w:eastAsia="en-GB"/>
                    </w:rPr>
                  </w:pPr>
                  <w:r w:rsidRPr="00CD7B3F">
                    <w:rPr>
                      <w:rFonts w:asciiTheme="minorHAnsi" w:hAnsiTheme="minorHAnsi"/>
                      <w:b/>
                      <w:bCs/>
                      <w:color w:val="FFFFFF"/>
                      <w:sz w:val="18"/>
                      <w:szCs w:val="18"/>
                      <w:lang w:eastAsia="en-GB"/>
                    </w:rPr>
                    <w:t>2020</w:t>
                  </w: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7AD36E2B" w14:textId="77777777" w:rsidR="00921721" w:rsidRPr="00CD7B3F" w:rsidRDefault="00921721" w:rsidP="00880D09">
                  <w:pPr>
                    <w:jc w:val="center"/>
                    <w:rPr>
                      <w:rFonts w:asciiTheme="minorHAnsi" w:hAnsiTheme="minorHAnsi"/>
                      <w:b/>
                      <w:bCs/>
                      <w:color w:val="FFFFFF"/>
                      <w:sz w:val="18"/>
                      <w:szCs w:val="18"/>
                      <w:lang w:eastAsia="en-GB"/>
                    </w:rPr>
                  </w:pPr>
                  <w:r w:rsidRPr="00CD7B3F">
                    <w:rPr>
                      <w:rFonts w:asciiTheme="minorHAnsi" w:hAnsiTheme="minorHAnsi"/>
                      <w:b/>
                      <w:bCs/>
                      <w:color w:val="FFFFFF"/>
                      <w:sz w:val="18"/>
                      <w:szCs w:val="18"/>
                      <w:lang w:eastAsia="en-GB"/>
                    </w:rPr>
                    <w:t>2021</w:t>
                  </w:r>
                </w:p>
              </w:tc>
            </w:tr>
            <w:tr w:rsidR="00921721" w:rsidRPr="00731E4E" w14:paraId="7AB27489" w14:textId="77777777" w:rsidTr="00880D09">
              <w:trPr>
                <w:trHeight w:val="396"/>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6F95ABAC"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tcPr>
                <w:p w14:paraId="5BE7E550"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6A550367"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5A708259"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29457ACF"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69850EF2"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309B3926" w14:textId="77777777" w:rsidR="00921721" w:rsidRPr="00CD7B3F" w:rsidRDefault="00921721" w:rsidP="00880D09">
                  <w:pPr>
                    <w:jc w:val="center"/>
                    <w:rPr>
                      <w:rFonts w:asciiTheme="minorHAnsi" w:hAnsiTheme="minorHAnsi"/>
                      <w:color w:val="4F81BD" w:themeColor="accent1"/>
                      <w:sz w:val="18"/>
                      <w:szCs w:val="18"/>
                      <w:lang w:eastAsia="en-GB"/>
                    </w:rPr>
                  </w:pPr>
                  <w:r w:rsidRPr="00CD7B3F">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CD7B3F">
                    <w:rPr>
                      <w:rFonts w:asciiTheme="minorHAnsi" w:hAnsiTheme="minorHAnsi"/>
                      <w:color w:val="4F81BD" w:themeColor="accent1"/>
                      <w:sz w:val="18"/>
                      <w:szCs w:val="18"/>
                      <w:lang w:eastAsia="en-GB"/>
                    </w:rPr>
                    <w:t>30%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4DEC3B79" w14:textId="77777777" w:rsidR="00921721" w:rsidRPr="00CD7B3F" w:rsidRDefault="00921721" w:rsidP="00880D09">
                  <w:pPr>
                    <w:jc w:val="center"/>
                    <w:rPr>
                      <w:rFonts w:asciiTheme="minorHAnsi" w:hAnsiTheme="minorHAnsi"/>
                      <w:color w:val="4F81BD" w:themeColor="accent1"/>
                      <w:sz w:val="18"/>
                      <w:szCs w:val="18"/>
                      <w:lang w:eastAsia="en-GB"/>
                    </w:rPr>
                  </w:pPr>
                  <w:r w:rsidRPr="00CD7B3F">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CD7B3F">
                    <w:rPr>
                      <w:rFonts w:asciiTheme="minorHAnsi" w:hAnsiTheme="minorHAnsi"/>
                      <w:color w:val="4F81BD" w:themeColor="accent1"/>
                      <w:sz w:val="18"/>
                      <w:szCs w:val="18"/>
                      <w:lang w:eastAsia="en-GB"/>
                    </w:rPr>
                    <w:t>20%</w:t>
                  </w:r>
                </w:p>
              </w:tc>
            </w:tr>
            <w:tr w:rsidR="00921721" w:rsidRPr="00731E4E" w14:paraId="58077016" w14:textId="77777777" w:rsidTr="00880D09">
              <w:trPr>
                <w:trHeight w:hRule="exact" w:val="490"/>
              </w:trPr>
              <w:tc>
                <w:tcPr>
                  <w:tcW w:w="1244" w:type="dxa"/>
                  <w:tcBorders>
                    <w:top w:val="nil"/>
                    <w:left w:val="single" w:sz="8" w:space="0" w:color="FFFFFF"/>
                    <w:bottom w:val="single" w:sz="8" w:space="0" w:color="FFFFFF"/>
                    <w:right w:val="single" w:sz="8" w:space="0" w:color="FFFFFF"/>
                  </w:tcBorders>
                  <w:shd w:val="clear" w:color="auto" w:fill="A6A6A6" w:themeFill="background1" w:themeFillShade="A6"/>
                  <w:vAlign w:val="center"/>
                  <w:hideMark/>
                </w:tcPr>
                <w:p w14:paraId="2B2D94F8"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cs="Arial"/>
                      <w:b/>
                      <w:bCs/>
                      <w:color w:val="FFFFFF"/>
                      <w:sz w:val="18"/>
                      <w:szCs w:val="18"/>
                    </w:rPr>
                    <w:t>Lata</w:t>
                  </w:r>
                </w:p>
              </w:tc>
              <w:tc>
                <w:tcPr>
                  <w:tcW w:w="944" w:type="dxa"/>
                  <w:tcBorders>
                    <w:top w:val="nil"/>
                    <w:left w:val="nil"/>
                    <w:bottom w:val="single" w:sz="8" w:space="0" w:color="FFFFFF"/>
                    <w:right w:val="single" w:sz="8" w:space="0" w:color="FFFFFF"/>
                  </w:tcBorders>
                  <w:shd w:val="clear" w:color="auto" w:fill="A6A6A6" w:themeFill="background1" w:themeFillShade="A6"/>
                  <w:vAlign w:val="center"/>
                  <w:hideMark/>
                </w:tcPr>
                <w:p w14:paraId="0EB8C8D6"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2022</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61FD6BF1"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2023</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5222F137"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2024</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218C9DB4"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2025</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2A8ACA40"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2026</w:t>
                  </w:r>
                </w:p>
              </w:tc>
              <w:tc>
                <w:tcPr>
                  <w:tcW w:w="847" w:type="dxa"/>
                  <w:tcBorders>
                    <w:top w:val="nil"/>
                    <w:left w:val="nil"/>
                    <w:bottom w:val="single" w:sz="8" w:space="0" w:color="FFFFFF"/>
                    <w:right w:val="single" w:sz="8" w:space="0" w:color="FFFFFF"/>
                  </w:tcBorders>
                  <w:shd w:val="clear" w:color="auto" w:fill="A6A6A6" w:themeFill="background1" w:themeFillShade="A6"/>
                  <w:vAlign w:val="center"/>
                  <w:hideMark/>
                </w:tcPr>
                <w:p w14:paraId="297DB425"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2027</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5674C070"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2028</w:t>
                  </w:r>
                </w:p>
              </w:tc>
            </w:tr>
            <w:tr w:rsidR="00921721" w:rsidRPr="00731E4E" w14:paraId="16AE2AA5" w14:textId="77777777" w:rsidTr="00880D09">
              <w:trPr>
                <w:trHeight w:val="386"/>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3063EF4F"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hideMark/>
                </w:tcPr>
                <w:p w14:paraId="04E07215"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10%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318554F0"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00%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631855B3"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90%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379C9E0D"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80%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0E683364"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80%</w:t>
                  </w: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4E882E90"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80%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596F1CBB"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70%</w:t>
                  </w:r>
                </w:p>
              </w:tc>
            </w:tr>
            <w:tr w:rsidR="00921721" w:rsidRPr="00731E4E" w14:paraId="281D221E" w14:textId="77777777" w:rsidTr="00880D09">
              <w:trPr>
                <w:trHeight w:hRule="exact" w:val="503"/>
              </w:trPr>
              <w:tc>
                <w:tcPr>
                  <w:tcW w:w="1244" w:type="dxa"/>
                  <w:tcBorders>
                    <w:top w:val="nil"/>
                    <w:left w:val="single" w:sz="8" w:space="0" w:color="FFFFFF"/>
                    <w:bottom w:val="single" w:sz="8" w:space="0" w:color="FFFFFF"/>
                    <w:right w:val="single" w:sz="8" w:space="0" w:color="FFFFFF"/>
                  </w:tcBorders>
                  <w:shd w:val="clear" w:color="auto" w:fill="BFBFBF" w:themeFill="background1" w:themeFillShade="BF"/>
                  <w:vAlign w:val="center"/>
                  <w:hideMark/>
                </w:tcPr>
                <w:p w14:paraId="32A6C752"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cs="Arial"/>
                      <w:b/>
                      <w:bCs/>
                      <w:color w:val="FFFFFF"/>
                      <w:sz w:val="18"/>
                      <w:szCs w:val="18"/>
                    </w:rPr>
                    <w:t>Lata</w:t>
                  </w:r>
                </w:p>
              </w:tc>
              <w:tc>
                <w:tcPr>
                  <w:tcW w:w="944" w:type="dxa"/>
                  <w:tcBorders>
                    <w:top w:val="nil"/>
                    <w:left w:val="nil"/>
                    <w:bottom w:val="single" w:sz="8" w:space="0" w:color="FFFFFF"/>
                    <w:right w:val="single" w:sz="8" w:space="0" w:color="FFFFFF"/>
                  </w:tcBorders>
                  <w:shd w:val="clear" w:color="auto" w:fill="BFBFBF" w:themeFill="background1" w:themeFillShade="BF"/>
                  <w:vAlign w:val="center"/>
                  <w:hideMark/>
                </w:tcPr>
                <w:p w14:paraId="4339644A"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2029</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0BC93A03"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2030</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41C3315F"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2031</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7849F0C3"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2032</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47A64E38"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2033</w:t>
                  </w:r>
                </w:p>
              </w:tc>
              <w:tc>
                <w:tcPr>
                  <w:tcW w:w="847" w:type="dxa"/>
                  <w:tcBorders>
                    <w:top w:val="nil"/>
                    <w:left w:val="nil"/>
                    <w:bottom w:val="single" w:sz="8" w:space="0" w:color="FFFFFF"/>
                    <w:right w:val="single" w:sz="8" w:space="0" w:color="FFFFFF"/>
                  </w:tcBorders>
                  <w:shd w:val="clear" w:color="auto" w:fill="BFBFBF" w:themeFill="background1" w:themeFillShade="BF"/>
                  <w:vAlign w:val="center"/>
                  <w:hideMark/>
                </w:tcPr>
                <w:p w14:paraId="52138B0A"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2034</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52C9F086"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2035</w:t>
                  </w:r>
                </w:p>
              </w:tc>
            </w:tr>
            <w:tr w:rsidR="00921721" w:rsidRPr="00731E4E" w14:paraId="39CD5AE8" w14:textId="77777777" w:rsidTr="00880D09">
              <w:trPr>
                <w:trHeight w:val="422"/>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0B29FC9"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hideMark/>
                </w:tcPr>
                <w:p w14:paraId="5FA88F0D"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70%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6084C5EE"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70%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60AA2974"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60%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7B0539DA"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60%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128963EC"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60%</w:t>
                  </w: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3BCB14CC"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50%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78E9BB8F"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50%</w:t>
                  </w:r>
                </w:p>
              </w:tc>
            </w:tr>
            <w:tr w:rsidR="00921721" w:rsidRPr="00731E4E" w14:paraId="483BFF55" w14:textId="77777777" w:rsidTr="00880D09">
              <w:trPr>
                <w:trHeight w:hRule="exact" w:val="493"/>
              </w:trPr>
              <w:tc>
                <w:tcPr>
                  <w:tcW w:w="1244"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162536CC"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cs="Arial"/>
                      <w:b/>
                      <w:bCs/>
                      <w:color w:val="808080" w:themeColor="background1" w:themeShade="80"/>
                      <w:sz w:val="18"/>
                      <w:szCs w:val="18"/>
                    </w:rPr>
                    <w:t>Lata</w:t>
                  </w:r>
                </w:p>
              </w:tc>
              <w:tc>
                <w:tcPr>
                  <w:tcW w:w="944" w:type="dxa"/>
                  <w:tcBorders>
                    <w:top w:val="nil"/>
                    <w:left w:val="nil"/>
                    <w:bottom w:val="single" w:sz="8" w:space="0" w:color="FFFFFF"/>
                    <w:right w:val="single" w:sz="8" w:space="0" w:color="FFFFFF"/>
                  </w:tcBorders>
                  <w:shd w:val="clear" w:color="auto" w:fill="D9D9D9" w:themeFill="background1" w:themeFillShade="D9"/>
                  <w:vAlign w:val="center"/>
                  <w:hideMark/>
                </w:tcPr>
                <w:p w14:paraId="2CB3F2A6"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2036</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0E70892C"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2037</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0E4B1FAD"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2038</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730AD648"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2039</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01CB8F55"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2040</w:t>
                  </w:r>
                </w:p>
              </w:tc>
              <w:tc>
                <w:tcPr>
                  <w:tcW w:w="847" w:type="dxa"/>
                  <w:tcBorders>
                    <w:top w:val="nil"/>
                    <w:left w:val="nil"/>
                    <w:bottom w:val="single" w:sz="8" w:space="0" w:color="FFFFFF"/>
                    <w:right w:val="single" w:sz="8" w:space="0" w:color="FFFFFF"/>
                  </w:tcBorders>
                  <w:shd w:val="clear" w:color="auto" w:fill="D9D9D9" w:themeFill="background1" w:themeFillShade="D9"/>
                  <w:vAlign w:val="center"/>
                  <w:hideMark/>
                </w:tcPr>
                <w:p w14:paraId="79465710"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2041</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1A8700F2"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2042</w:t>
                  </w:r>
                </w:p>
              </w:tc>
            </w:tr>
            <w:tr w:rsidR="00921721" w:rsidRPr="00731E4E" w14:paraId="4DC6C162" w14:textId="77777777" w:rsidTr="00880D09">
              <w:trPr>
                <w:trHeight w:val="519"/>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0BF3B4B"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hideMark/>
                </w:tcPr>
                <w:p w14:paraId="035276CE"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40%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0DA4660D"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40%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76EBB074"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30%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4ADD37AB"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20%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23AD79C2"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10%</w:t>
                  </w: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5124CAC3"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00%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0B837907"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00%</w:t>
                  </w:r>
                </w:p>
              </w:tc>
            </w:tr>
          </w:tbl>
          <w:p w14:paraId="5CF59D26" w14:textId="77777777" w:rsidR="00921721" w:rsidRDefault="00921721" w:rsidP="00880D09">
            <w:pPr>
              <w:pStyle w:val="anxnormal"/>
              <w:ind w:left="0"/>
              <w:rPr>
                <w:rFonts w:asciiTheme="minorHAnsi" w:hAnsiTheme="minorHAnsi"/>
                <w:color w:val="222222"/>
                <w:sz w:val="16"/>
                <w:szCs w:val="16"/>
              </w:rPr>
            </w:pPr>
            <w:r w:rsidRPr="00731E4E">
              <w:rPr>
                <w:rStyle w:val="hps"/>
                <w:rFonts w:asciiTheme="minorHAnsi" w:hAnsiTheme="minorHAnsi"/>
                <w:b/>
                <w:i/>
                <w:color w:val="222222"/>
                <w:sz w:val="16"/>
                <w:szCs w:val="16"/>
              </w:rPr>
              <w:t>Źródło:</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Prognozy</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wskaźnika wzrostu</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PKB</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na Okres</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2008-2040</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GDDKiA</w:t>
            </w:r>
            <w:r w:rsidRPr="00731E4E">
              <w:rPr>
                <w:rStyle w:val="shorttext"/>
                <w:rFonts w:asciiTheme="minorHAnsi" w:eastAsia="MS Mincho" w:hAnsiTheme="minorHAnsi"/>
                <w:b/>
                <w:i/>
                <w:color w:val="222222"/>
                <w:sz w:val="16"/>
                <w:szCs w:val="16"/>
              </w:rPr>
              <w:t>,</w:t>
            </w:r>
            <w:r w:rsidRPr="00731E4E">
              <w:rPr>
                <w:rStyle w:val="shorttext"/>
                <w:rFonts w:asciiTheme="minorHAnsi" w:eastAsia="MS Mincho" w:hAnsiTheme="minorHAnsi"/>
                <w:color w:val="222222"/>
                <w:sz w:val="16"/>
                <w:szCs w:val="16"/>
              </w:rPr>
              <w:t xml:space="preserve"> </w:t>
            </w:r>
            <w:hyperlink r:id="rId141" w:history="1">
              <w:r w:rsidRPr="00731E4E">
                <w:rPr>
                  <w:rStyle w:val="Hipercze"/>
                  <w:rFonts w:asciiTheme="minorHAnsi" w:hAnsiTheme="minorHAnsi"/>
                  <w:sz w:val="16"/>
                  <w:szCs w:val="16"/>
                </w:rPr>
                <w:t>http://www.gddkia.gov.pl/pl/992/zalozenia-do-prognoz-ruchu</w:t>
              </w:r>
            </w:hyperlink>
            <w:r w:rsidRPr="00731E4E">
              <w:rPr>
                <w:rStyle w:val="shorttext"/>
                <w:rFonts w:asciiTheme="minorHAnsi" w:eastAsia="MS Mincho" w:hAnsiTheme="minorHAnsi"/>
                <w:color w:val="222222"/>
                <w:sz w:val="16"/>
                <w:szCs w:val="16"/>
              </w:rPr>
              <w:t xml:space="preserve">. </w:t>
            </w:r>
            <w:r w:rsidRPr="00731E4E">
              <w:rPr>
                <w:rFonts w:asciiTheme="minorHAnsi" w:hAnsiTheme="minorHAnsi"/>
                <w:color w:val="222222"/>
                <w:sz w:val="16"/>
                <w:szCs w:val="16"/>
              </w:rPr>
              <w:br/>
            </w:r>
            <w:r w:rsidRPr="00731E4E">
              <w:rPr>
                <w:rStyle w:val="hps"/>
                <w:rFonts w:asciiTheme="minorHAnsi" w:hAnsiTheme="minorHAnsi"/>
                <w:color w:val="222222"/>
                <w:sz w:val="16"/>
                <w:szCs w:val="16"/>
              </w:rPr>
              <w:t>Od</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2041-2042</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 xml:space="preserve">przyjęto </w:t>
            </w:r>
            <w:r w:rsidRPr="00731E4E">
              <w:rPr>
                <w:rStyle w:val="shorttext"/>
                <w:rFonts w:asciiTheme="minorHAnsi" w:eastAsia="MS Mincho" w:hAnsiTheme="minorHAnsi"/>
                <w:color w:val="222222"/>
                <w:sz w:val="16"/>
                <w:szCs w:val="16"/>
              </w:rPr>
              <w:t xml:space="preserve">konserwatywne </w:t>
            </w:r>
            <w:r w:rsidRPr="00731E4E">
              <w:rPr>
                <w:rStyle w:val="hps"/>
                <w:rFonts w:asciiTheme="minorHAnsi" w:hAnsiTheme="minorHAnsi"/>
                <w:color w:val="222222"/>
                <w:sz w:val="16"/>
                <w:szCs w:val="16"/>
              </w:rPr>
              <w:t>założenie,</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1</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wzrostu PKB</w:t>
            </w:r>
            <w:r w:rsidRPr="00731E4E">
              <w:rPr>
                <w:rStyle w:val="shorttext"/>
                <w:rFonts w:asciiTheme="minorHAnsi" w:eastAsia="MS Mincho" w:hAnsiTheme="minorHAnsi"/>
                <w:color w:val="222222"/>
                <w:sz w:val="16"/>
                <w:szCs w:val="16"/>
              </w:rPr>
              <w:t>.</w:t>
            </w:r>
          </w:p>
          <w:p w14:paraId="559A9EC2" w14:textId="77777777" w:rsidR="00921721" w:rsidRPr="006321BC" w:rsidRDefault="00921721" w:rsidP="00880D09">
            <w:pPr>
              <w:pStyle w:val="anxnormal"/>
              <w:ind w:left="0"/>
              <w:rPr>
                <w:rFonts w:asciiTheme="minorHAnsi" w:hAnsiTheme="minorHAnsi"/>
                <w:lang w:eastAsia="en-US"/>
              </w:rPr>
            </w:pPr>
            <w:r w:rsidRPr="00296507">
              <w:rPr>
                <w:rFonts w:asciiTheme="minorHAnsi" w:hAnsiTheme="minorHAnsi"/>
                <w:lang w:eastAsia="en-US"/>
              </w:rPr>
              <w:t>Dla uzyskania wartości regionalnych stóp wzrostu PKB (na poziomie aglomeracji lub województwa), rekomenduje się to samo źródło: “</w:t>
            </w:r>
            <w:r w:rsidRPr="00296507">
              <w:rPr>
                <w:rFonts w:asciiTheme="minorHAnsi" w:hAnsiTheme="minorHAnsi"/>
                <w:iCs/>
              </w:rPr>
              <w:t>Analiza prognozy wzrostu PKB do 2040 roku dla potrzeb prognozy wzrostu ruchu</w:t>
            </w:r>
            <w:r w:rsidRPr="00296507">
              <w:rPr>
                <w:rFonts w:asciiTheme="minorHAnsi" w:hAnsiTheme="minorHAnsi"/>
                <w:lang w:eastAsia="en-US"/>
              </w:rPr>
              <w:t>”, opracowane</w:t>
            </w:r>
            <w:r>
              <w:rPr>
                <w:rFonts w:asciiTheme="minorHAnsi" w:hAnsiTheme="minorHAnsi"/>
                <w:lang w:eastAsia="en-US"/>
              </w:rPr>
              <w:t xml:space="preserve"> w </w:t>
            </w:r>
            <w:r w:rsidRPr="00296507">
              <w:rPr>
                <w:rFonts w:asciiTheme="minorHAnsi" w:hAnsiTheme="minorHAnsi"/>
                <w:lang w:eastAsia="en-US"/>
              </w:rPr>
              <w:t xml:space="preserve">2012 dla GDDKiA, </w:t>
            </w:r>
            <w:hyperlink r:id="rId142" w:history="1">
              <w:r w:rsidRPr="00296507">
                <w:rPr>
                  <w:rStyle w:val="Hipercze"/>
                  <w:rFonts w:asciiTheme="minorHAnsi" w:hAnsiTheme="minorHAnsi"/>
                  <w:lang w:eastAsia="en-GB"/>
                </w:rPr>
                <w:t>http://www.gddkia.gov.pl/pl/992/zalozenia-do-prognoz-ruchu</w:t>
              </w:r>
            </w:hyperlink>
            <w:r w:rsidRPr="006321BC">
              <w:rPr>
                <w:rFonts w:asciiTheme="minorHAnsi" w:hAnsiTheme="minorHAnsi"/>
                <w:lang w:eastAsia="en-US"/>
              </w:rPr>
              <w:t>.</w:t>
            </w:r>
          </w:p>
          <w:p w14:paraId="27C95E28" w14:textId="77777777" w:rsidR="00921721" w:rsidRPr="006321BC" w:rsidRDefault="00921721" w:rsidP="00880D09">
            <w:pPr>
              <w:pStyle w:val="anxnormal"/>
              <w:spacing w:after="120"/>
              <w:ind w:left="0"/>
              <w:rPr>
                <w:rFonts w:asciiTheme="minorHAnsi" w:hAnsiTheme="minorHAnsi"/>
                <w:lang w:eastAsia="en-US"/>
              </w:rPr>
            </w:pPr>
          </w:p>
          <w:p w14:paraId="732DEAA9" w14:textId="77777777" w:rsidR="00921721" w:rsidRPr="006321BC" w:rsidRDefault="00921721" w:rsidP="00880D09">
            <w:pPr>
              <w:pStyle w:val="anxnormal"/>
              <w:spacing w:after="120"/>
              <w:ind w:left="0"/>
              <w:rPr>
                <w:rFonts w:asciiTheme="minorHAnsi" w:hAnsiTheme="minorHAnsi"/>
                <w:lang w:eastAsia="en-US"/>
              </w:rPr>
            </w:pPr>
          </w:p>
          <w:p w14:paraId="43905632" w14:textId="77777777" w:rsidR="00921721" w:rsidRPr="006321BC" w:rsidRDefault="00921721" w:rsidP="00880D09">
            <w:pPr>
              <w:pStyle w:val="anxnormal"/>
              <w:spacing w:after="120"/>
              <w:ind w:left="0"/>
              <w:rPr>
                <w:rFonts w:asciiTheme="minorHAnsi" w:hAnsiTheme="minorHAnsi"/>
                <w:lang w:eastAsia="en-US"/>
              </w:rPr>
            </w:pPr>
          </w:p>
          <w:p w14:paraId="13479F4C" w14:textId="77777777" w:rsidR="00921721" w:rsidRDefault="00921721" w:rsidP="00880D09">
            <w:pPr>
              <w:pStyle w:val="anxnormal"/>
              <w:spacing w:after="120"/>
              <w:ind w:left="0"/>
              <w:rPr>
                <w:rFonts w:asciiTheme="minorHAnsi" w:hAnsiTheme="minorHAnsi"/>
                <w:lang w:eastAsia="en-US"/>
              </w:rPr>
            </w:pPr>
            <w:r w:rsidRPr="002C6855">
              <w:rPr>
                <w:rFonts w:asciiTheme="minorHAnsi" w:hAnsiTheme="minorHAnsi"/>
                <w:lang w:eastAsia="en-US"/>
              </w:rPr>
              <w:lastRenderedPageBreak/>
              <w:t>Wzrost PKB per capita do wykorzystania przy indeksacji kosztów jednostkowych, przedstawiono poniżej.</w:t>
            </w:r>
            <w:r w:rsidRPr="00731E4E" w:rsidDel="003D4863">
              <w:rPr>
                <w:rFonts w:asciiTheme="minorHAnsi" w:hAnsiTheme="minorHAnsi"/>
                <w:lang w:eastAsia="en-US"/>
              </w:rPr>
              <w:t xml:space="preserve"> </w:t>
            </w:r>
          </w:p>
          <w:tbl>
            <w:tblPr>
              <w:tblW w:w="6484" w:type="dxa"/>
              <w:tblLayout w:type="fixed"/>
              <w:tblLook w:val="04A0" w:firstRow="1" w:lastRow="0" w:firstColumn="1" w:lastColumn="0" w:noHBand="0" w:noVBand="1"/>
            </w:tblPr>
            <w:tblGrid>
              <w:gridCol w:w="755"/>
              <w:gridCol w:w="819"/>
              <w:gridCol w:w="818"/>
              <w:gridCol w:w="818"/>
              <w:gridCol w:w="819"/>
              <w:gridCol w:w="818"/>
              <w:gridCol w:w="818"/>
              <w:gridCol w:w="819"/>
            </w:tblGrid>
            <w:tr w:rsidR="00921721" w:rsidRPr="007B305C" w14:paraId="2A060D7C" w14:textId="77777777" w:rsidTr="00880D09">
              <w:trPr>
                <w:trHeight w:val="247"/>
              </w:trPr>
              <w:tc>
                <w:tcPr>
                  <w:tcW w:w="755"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3DB6E600" w14:textId="77777777" w:rsidR="00921721" w:rsidRPr="007B305C" w:rsidRDefault="00921721" w:rsidP="00880D09">
                  <w:pPr>
                    <w:jc w:val="center"/>
                    <w:rPr>
                      <w:rFonts w:asciiTheme="minorHAnsi" w:hAnsiTheme="minorHAnsi"/>
                      <w:b/>
                      <w:bCs/>
                      <w:color w:val="FFFFFF"/>
                      <w:sz w:val="18"/>
                      <w:szCs w:val="18"/>
                      <w:lang w:eastAsia="en-GB"/>
                    </w:rPr>
                  </w:pPr>
                  <w:r>
                    <w:rPr>
                      <w:rFonts w:asciiTheme="minorHAnsi" w:hAnsiTheme="minorHAnsi"/>
                      <w:b/>
                      <w:bCs/>
                      <w:color w:val="FFFFFF"/>
                      <w:sz w:val="18"/>
                      <w:szCs w:val="18"/>
                      <w:lang w:eastAsia="en-GB"/>
                    </w:rPr>
                    <w:t>Lata</w:t>
                  </w:r>
                </w:p>
              </w:tc>
              <w:tc>
                <w:tcPr>
                  <w:tcW w:w="819"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2CA25B1A"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2021</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6B8DCAC3"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2022</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39A87E45"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2023</w:t>
                  </w:r>
                </w:p>
              </w:tc>
              <w:tc>
                <w:tcPr>
                  <w:tcW w:w="819"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000F868"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2024</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046715F"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2025</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7977F6D7"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2026</w:t>
                  </w:r>
                </w:p>
              </w:tc>
              <w:tc>
                <w:tcPr>
                  <w:tcW w:w="819"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0A459231"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2027</w:t>
                  </w:r>
                </w:p>
              </w:tc>
            </w:tr>
            <w:tr w:rsidR="00921721" w:rsidRPr="007B305C" w14:paraId="735BA644"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54023EA"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tcPr>
                <w:p w14:paraId="48AEA7FE"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051</w:t>
                  </w:r>
                </w:p>
              </w:tc>
              <w:tc>
                <w:tcPr>
                  <w:tcW w:w="818" w:type="dxa"/>
                  <w:tcBorders>
                    <w:top w:val="nil"/>
                    <w:left w:val="nil"/>
                    <w:bottom w:val="single" w:sz="8" w:space="0" w:color="FFFFFF"/>
                    <w:right w:val="single" w:sz="8" w:space="0" w:color="FFFFFF"/>
                  </w:tcBorders>
                  <w:shd w:val="clear" w:color="auto" w:fill="DBE5F1" w:themeFill="accent1" w:themeFillTint="33"/>
                </w:tcPr>
                <w:p w14:paraId="6F6F88E6"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048</w:t>
                  </w:r>
                </w:p>
              </w:tc>
              <w:tc>
                <w:tcPr>
                  <w:tcW w:w="818" w:type="dxa"/>
                  <w:tcBorders>
                    <w:top w:val="nil"/>
                    <w:left w:val="nil"/>
                    <w:bottom w:val="single" w:sz="8" w:space="0" w:color="FFFFFF"/>
                    <w:right w:val="single" w:sz="8" w:space="0" w:color="FFFFFF"/>
                  </w:tcBorders>
                  <w:shd w:val="clear" w:color="auto" w:fill="DBE5F1" w:themeFill="accent1" w:themeFillTint="33"/>
                </w:tcPr>
                <w:p w14:paraId="24E3C04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039</w:t>
                  </w:r>
                </w:p>
              </w:tc>
              <w:tc>
                <w:tcPr>
                  <w:tcW w:w="819" w:type="dxa"/>
                  <w:tcBorders>
                    <w:top w:val="nil"/>
                    <w:left w:val="nil"/>
                    <w:bottom w:val="single" w:sz="8" w:space="0" w:color="FFFFFF"/>
                    <w:right w:val="single" w:sz="8" w:space="0" w:color="FFFFFF"/>
                  </w:tcBorders>
                  <w:shd w:val="clear" w:color="auto" w:fill="DBE5F1" w:themeFill="accent1" w:themeFillTint="33"/>
                </w:tcPr>
                <w:p w14:paraId="50549D8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037</w:t>
                  </w:r>
                </w:p>
              </w:tc>
              <w:tc>
                <w:tcPr>
                  <w:tcW w:w="818" w:type="dxa"/>
                  <w:tcBorders>
                    <w:top w:val="nil"/>
                    <w:left w:val="nil"/>
                    <w:bottom w:val="single" w:sz="8" w:space="0" w:color="FFFFFF"/>
                    <w:right w:val="single" w:sz="8" w:space="0" w:color="FFFFFF"/>
                  </w:tcBorders>
                  <w:shd w:val="clear" w:color="auto" w:fill="DBE5F1" w:themeFill="accent1" w:themeFillTint="33"/>
                </w:tcPr>
                <w:p w14:paraId="592C9BF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038</w:t>
                  </w:r>
                </w:p>
              </w:tc>
              <w:tc>
                <w:tcPr>
                  <w:tcW w:w="818" w:type="dxa"/>
                  <w:tcBorders>
                    <w:top w:val="nil"/>
                    <w:left w:val="nil"/>
                    <w:bottom w:val="single" w:sz="8" w:space="0" w:color="FFFFFF"/>
                    <w:right w:val="single" w:sz="8" w:space="0" w:color="FFFFFF"/>
                  </w:tcBorders>
                  <w:shd w:val="clear" w:color="auto" w:fill="DBE5F1" w:themeFill="accent1" w:themeFillTint="33"/>
                  <w:hideMark/>
                </w:tcPr>
                <w:p w14:paraId="1F68FF1F"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038</w:t>
                  </w:r>
                </w:p>
              </w:tc>
              <w:tc>
                <w:tcPr>
                  <w:tcW w:w="819" w:type="dxa"/>
                  <w:tcBorders>
                    <w:top w:val="nil"/>
                    <w:left w:val="nil"/>
                    <w:bottom w:val="single" w:sz="8" w:space="0" w:color="FFFFFF"/>
                    <w:right w:val="single" w:sz="8" w:space="0" w:color="FFFFFF"/>
                  </w:tcBorders>
                  <w:shd w:val="clear" w:color="auto" w:fill="DBE5F1" w:themeFill="accent1" w:themeFillTint="33"/>
                  <w:hideMark/>
                </w:tcPr>
                <w:p w14:paraId="1A10034F"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037</w:t>
                  </w:r>
                </w:p>
              </w:tc>
            </w:tr>
            <w:tr w:rsidR="00921721" w:rsidRPr="007B305C" w14:paraId="6327DEA8"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1E06843A" w14:textId="77777777" w:rsidR="00921721" w:rsidRPr="007B305C" w:rsidRDefault="00921721" w:rsidP="00880D09">
                  <w:pPr>
                    <w:jc w:val="center"/>
                    <w:rPr>
                      <w:rFonts w:asciiTheme="minorHAnsi" w:hAnsiTheme="minorHAnsi"/>
                      <w:b/>
                      <w:bCs/>
                      <w:color w:val="FFFFFF"/>
                      <w:sz w:val="18"/>
                      <w:szCs w:val="18"/>
                      <w:lang w:eastAsia="en-GB"/>
                    </w:rPr>
                  </w:pPr>
                  <w:r>
                    <w:rPr>
                      <w:rFonts w:asciiTheme="minorHAnsi" w:hAnsiTheme="minorHAnsi"/>
                      <w:b/>
                      <w:bCs/>
                      <w:color w:val="FFFFFF"/>
                      <w:sz w:val="18"/>
                      <w:szCs w:val="18"/>
                      <w:lang w:eastAsia="en-GB"/>
                    </w:rPr>
                    <w:t>Lata</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7B0B72EB"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2028</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01449703"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2029</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3F620876"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2030</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2EEB5D74"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2031</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166CEE21"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2032</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6BF82A4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2033</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2A7B9C4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2034</w:t>
                  </w:r>
                </w:p>
              </w:tc>
            </w:tr>
            <w:tr w:rsidR="00921721" w:rsidRPr="007B305C" w14:paraId="58C5955E" w14:textId="77777777" w:rsidTr="00880D09">
              <w:trPr>
                <w:trHeight w:val="268"/>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B95C513"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0BB62EE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036</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673285A5"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034</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183E0574"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032</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1E63E5F2"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032</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79792E3B"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031</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38EF8BE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030</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58D75AD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029</w:t>
                  </w:r>
                </w:p>
              </w:tc>
            </w:tr>
            <w:tr w:rsidR="00921721" w:rsidRPr="007B305C" w14:paraId="1E31269D"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2F00231F" w14:textId="77777777" w:rsidR="00921721" w:rsidRPr="007B305C" w:rsidRDefault="00921721" w:rsidP="00880D09">
                  <w:pPr>
                    <w:jc w:val="center"/>
                    <w:rPr>
                      <w:rFonts w:asciiTheme="minorHAnsi" w:hAnsiTheme="minorHAnsi"/>
                      <w:b/>
                      <w:bCs/>
                      <w:color w:val="FFFFFF"/>
                      <w:sz w:val="18"/>
                      <w:szCs w:val="18"/>
                      <w:lang w:eastAsia="en-GB"/>
                    </w:rPr>
                  </w:pPr>
                  <w:r>
                    <w:rPr>
                      <w:rFonts w:asciiTheme="minorHAnsi" w:hAnsiTheme="minorHAnsi"/>
                      <w:b/>
                      <w:bCs/>
                      <w:color w:val="FFFFFF"/>
                      <w:sz w:val="18"/>
                      <w:szCs w:val="18"/>
                      <w:lang w:eastAsia="en-GB"/>
                    </w:rPr>
                    <w:t>Lata</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33502C49"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2035</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25BFC610"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2036</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491E099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2037</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20638F8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2038</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2686BA96"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2039</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19B0E655"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2040</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32811C8D"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2041</w:t>
                  </w:r>
                </w:p>
              </w:tc>
            </w:tr>
            <w:tr w:rsidR="00921721" w:rsidRPr="007B305C" w14:paraId="4DD91CA3"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5EA32342"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338C8D18"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029</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320D9DB2"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028</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4F67968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028</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54074D61"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027</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373057E2"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026</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54A8442E"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025</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564C72B3"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024</w:t>
                  </w:r>
                </w:p>
              </w:tc>
            </w:tr>
            <w:tr w:rsidR="00921721" w:rsidRPr="007B305C" w14:paraId="6FDBAF8D"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1D2C6A5D"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300B32">
                    <w:rPr>
                      <w:rFonts w:asciiTheme="minorHAnsi" w:hAnsiTheme="minorHAnsi"/>
                      <w:b/>
                      <w:bCs/>
                      <w:color w:val="FFFFFF" w:themeColor="background1"/>
                      <w:sz w:val="18"/>
                      <w:szCs w:val="18"/>
                      <w:lang w:eastAsia="en-GB"/>
                    </w:rPr>
                    <w:t>Lata</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4BF940C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2042</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34363D8D"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2043</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1FE4135B"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2044</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0BC74854"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2045</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772E6FD1"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2046</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4B8492B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2047</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37FC948D"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2048</w:t>
                  </w:r>
                </w:p>
              </w:tc>
            </w:tr>
            <w:tr w:rsidR="00921721" w:rsidRPr="007B305C" w14:paraId="23E17601" w14:textId="77777777" w:rsidTr="00880D09">
              <w:trPr>
                <w:trHeight w:val="247"/>
              </w:trPr>
              <w:tc>
                <w:tcPr>
                  <w:tcW w:w="755" w:type="dxa"/>
                  <w:tcBorders>
                    <w:top w:val="nil"/>
                    <w:left w:val="single" w:sz="8" w:space="0" w:color="FFFFFF"/>
                    <w:bottom w:val="nil"/>
                    <w:right w:val="single" w:sz="8" w:space="0" w:color="FFFFFF"/>
                  </w:tcBorders>
                  <w:shd w:val="clear" w:color="auto" w:fill="DBE5F1" w:themeFill="accent1" w:themeFillTint="33"/>
                  <w:vAlign w:val="center"/>
                  <w:hideMark/>
                </w:tcPr>
                <w:p w14:paraId="59EA9541"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nil"/>
                    <w:right w:val="single" w:sz="8" w:space="0" w:color="FFFFFF"/>
                  </w:tcBorders>
                  <w:shd w:val="clear" w:color="auto" w:fill="DBE5F1" w:themeFill="accent1" w:themeFillTint="33"/>
                  <w:vAlign w:val="bottom"/>
                  <w:hideMark/>
                </w:tcPr>
                <w:p w14:paraId="176CC126"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023</w:t>
                  </w:r>
                </w:p>
              </w:tc>
              <w:tc>
                <w:tcPr>
                  <w:tcW w:w="818" w:type="dxa"/>
                  <w:tcBorders>
                    <w:top w:val="nil"/>
                    <w:left w:val="nil"/>
                    <w:bottom w:val="nil"/>
                    <w:right w:val="single" w:sz="8" w:space="0" w:color="FFFFFF"/>
                  </w:tcBorders>
                  <w:shd w:val="clear" w:color="auto" w:fill="DBE5F1" w:themeFill="accent1" w:themeFillTint="33"/>
                  <w:vAlign w:val="bottom"/>
                  <w:hideMark/>
                </w:tcPr>
                <w:p w14:paraId="423A7CD0"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023</w:t>
                  </w:r>
                </w:p>
              </w:tc>
              <w:tc>
                <w:tcPr>
                  <w:tcW w:w="818" w:type="dxa"/>
                  <w:tcBorders>
                    <w:top w:val="nil"/>
                    <w:left w:val="nil"/>
                    <w:bottom w:val="nil"/>
                    <w:right w:val="single" w:sz="8" w:space="0" w:color="FFFFFF"/>
                  </w:tcBorders>
                  <w:shd w:val="clear" w:color="auto" w:fill="DBE5F1" w:themeFill="accent1" w:themeFillTint="33"/>
                  <w:vAlign w:val="bottom"/>
                  <w:hideMark/>
                </w:tcPr>
                <w:p w14:paraId="58D2FF45"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022</w:t>
                  </w:r>
                </w:p>
              </w:tc>
              <w:tc>
                <w:tcPr>
                  <w:tcW w:w="819" w:type="dxa"/>
                  <w:tcBorders>
                    <w:top w:val="nil"/>
                    <w:left w:val="nil"/>
                    <w:bottom w:val="nil"/>
                    <w:right w:val="single" w:sz="8" w:space="0" w:color="FFFFFF"/>
                  </w:tcBorders>
                  <w:shd w:val="clear" w:color="auto" w:fill="DBE5F1" w:themeFill="accent1" w:themeFillTint="33"/>
                  <w:vAlign w:val="bottom"/>
                  <w:hideMark/>
                </w:tcPr>
                <w:p w14:paraId="3197CD63"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021</w:t>
                  </w:r>
                </w:p>
              </w:tc>
              <w:tc>
                <w:tcPr>
                  <w:tcW w:w="818" w:type="dxa"/>
                  <w:tcBorders>
                    <w:top w:val="nil"/>
                    <w:left w:val="nil"/>
                    <w:bottom w:val="nil"/>
                    <w:right w:val="single" w:sz="8" w:space="0" w:color="FFFFFF"/>
                  </w:tcBorders>
                  <w:shd w:val="clear" w:color="auto" w:fill="DBE5F1" w:themeFill="accent1" w:themeFillTint="33"/>
                  <w:vAlign w:val="bottom"/>
                  <w:hideMark/>
                </w:tcPr>
                <w:p w14:paraId="27AF2835"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021</w:t>
                  </w:r>
                </w:p>
              </w:tc>
              <w:tc>
                <w:tcPr>
                  <w:tcW w:w="818" w:type="dxa"/>
                  <w:tcBorders>
                    <w:top w:val="nil"/>
                    <w:left w:val="nil"/>
                    <w:bottom w:val="nil"/>
                    <w:right w:val="single" w:sz="8" w:space="0" w:color="FFFFFF"/>
                  </w:tcBorders>
                  <w:shd w:val="clear" w:color="auto" w:fill="DBE5F1" w:themeFill="accent1" w:themeFillTint="33"/>
                  <w:vAlign w:val="bottom"/>
                  <w:hideMark/>
                </w:tcPr>
                <w:p w14:paraId="05A6398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9" w:type="dxa"/>
                  <w:tcBorders>
                    <w:top w:val="nil"/>
                    <w:left w:val="nil"/>
                    <w:bottom w:val="nil"/>
                    <w:right w:val="single" w:sz="8" w:space="0" w:color="FFFFFF"/>
                  </w:tcBorders>
                  <w:shd w:val="clear" w:color="auto" w:fill="DBE5F1" w:themeFill="accent1" w:themeFillTint="33"/>
                  <w:vAlign w:val="bottom"/>
                  <w:hideMark/>
                </w:tcPr>
                <w:p w14:paraId="54FA5D7D"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r>
            <w:tr w:rsidR="00921721" w:rsidRPr="007B305C" w14:paraId="59EDD2E9" w14:textId="77777777" w:rsidTr="00880D09">
              <w:trPr>
                <w:trHeight w:val="247"/>
              </w:trPr>
              <w:tc>
                <w:tcPr>
                  <w:tcW w:w="755" w:type="dxa"/>
                  <w:tcBorders>
                    <w:top w:val="nil"/>
                    <w:left w:val="single" w:sz="8" w:space="0" w:color="FFFFFF"/>
                    <w:bottom w:val="nil"/>
                    <w:right w:val="single" w:sz="8" w:space="0" w:color="FFFFFF"/>
                  </w:tcBorders>
                  <w:shd w:val="clear" w:color="auto" w:fill="808080" w:themeFill="background1" w:themeFillShade="80"/>
                  <w:vAlign w:val="center"/>
                </w:tcPr>
                <w:p w14:paraId="1B78C5EE"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300B32">
                    <w:rPr>
                      <w:rFonts w:asciiTheme="minorHAnsi" w:hAnsiTheme="minorHAnsi"/>
                      <w:b/>
                      <w:bCs/>
                      <w:color w:val="FFFFFF" w:themeColor="background1"/>
                      <w:sz w:val="18"/>
                      <w:szCs w:val="18"/>
                      <w:lang w:eastAsia="en-GB"/>
                    </w:rPr>
                    <w:t>Lata</w:t>
                  </w:r>
                </w:p>
              </w:tc>
              <w:tc>
                <w:tcPr>
                  <w:tcW w:w="819" w:type="dxa"/>
                  <w:tcBorders>
                    <w:top w:val="nil"/>
                    <w:left w:val="nil"/>
                    <w:bottom w:val="nil"/>
                    <w:right w:val="single" w:sz="8" w:space="0" w:color="FFFFFF"/>
                  </w:tcBorders>
                  <w:shd w:val="clear" w:color="auto" w:fill="808080" w:themeFill="background1" w:themeFillShade="80"/>
                  <w:vAlign w:val="bottom"/>
                </w:tcPr>
                <w:p w14:paraId="034DEC78"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2049</w:t>
                  </w:r>
                </w:p>
              </w:tc>
              <w:tc>
                <w:tcPr>
                  <w:tcW w:w="818" w:type="dxa"/>
                  <w:tcBorders>
                    <w:top w:val="nil"/>
                    <w:left w:val="nil"/>
                    <w:bottom w:val="nil"/>
                    <w:right w:val="single" w:sz="8" w:space="0" w:color="FFFFFF"/>
                  </w:tcBorders>
                  <w:shd w:val="clear" w:color="auto" w:fill="808080" w:themeFill="background1" w:themeFillShade="80"/>
                  <w:vAlign w:val="bottom"/>
                </w:tcPr>
                <w:p w14:paraId="5F756320"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2050</w:t>
                  </w:r>
                </w:p>
              </w:tc>
              <w:tc>
                <w:tcPr>
                  <w:tcW w:w="818" w:type="dxa"/>
                  <w:tcBorders>
                    <w:top w:val="nil"/>
                    <w:left w:val="nil"/>
                    <w:bottom w:val="nil"/>
                    <w:right w:val="single" w:sz="8" w:space="0" w:color="FFFFFF"/>
                  </w:tcBorders>
                  <w:shd w:val="clear" w:color="auto" w:fill="808080" w:themeFill="background1" w:themeFillShade="80"/>
                  <w:vAlign w:val="bottom"/>
                </w:tcPr>
                <w:p w14:paraId="3568B0EC"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2051</w:t>
                  </w:r>
                </w:p>
              </w:tc>
              <w:tc>
                <w:tcPr>
                  <w:tcW w:w="819" w:type="dxa"/>
                  <w:tcBorders>
                    <w:top w:val="nil"/>
                    <w:left w:val="nil"/>
                    <w:bottom w:val="nil"/>
                    <w:right w:val="single" w:sz="8" w:space="0" w:color="FFFFFF"/>
                  </w:tcBorders>
                  <w:shd w:val="clear" w:color="auto" w:fill="808080" w:themeFill="background1" w:themeFillShade="80"/>
                  <w:vAlign w:val="bottom"/>
                </w:tcPr>
                <w:p w14:paraId="0C58269A"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2052</w:t>
                  </w:r>
                </w:p>
              </w:tc>
              <w:tc>
                <w:tcPr>
                  <w:tcW w:w="818" w:type="dxa"/>
                  <w:tcBorders>
                    <w:top w:val="nil"/>
                    <w:left w:val="nil"/>
                    <w:bottom w:val="nil"/>
                    <w:right w:val="single" w:sz="8" w:space="0" w:color="FFFFFF"/>
                  </w:tcBorders>
                  <w:shd w:val="clear" w:color="auto" w:fill="808080" w:themeFill="background1" w:themeFillShade="80"/>
                  <w:vAlign w:val="bottom"/>
                </w:tcPr>
                <w:p w14:paraId="2CCDA5C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2053</w:t>
                  </w:r>
                </w:p>
              </w:tc>
              <w:tc>
                <w:tcPr>
                  <w:tcW w:w="818" w:type="dxa"/>
                  <w:tcBorders>
                    <w:top w:val="nil"/>
                    <w:left w:val="nil"/>
                    <w:bottom w:val="nil"/>
                    <w:right w:val="single" w:sz="8" w:space="0" w:color="FFFFFF"/>
                  </w:tcBorders>
                  <w:shd w:val="clear" w:color="auto" w:fill="808080" w:themeFill="background1" w:themeFillShade="80"/>
                  <w:vAlign w:val="bottom"/>
                </w:tcPr>
                <w:p w14:paraId="685CC5B6"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2054</w:t>
                  </w:r>
                </w:p>
              </w:tc>
              <w:tc>
                <w:tcPr>
                  <w:tcW w:w="819" w:type="dxa"/>
                  <w:tcBorders>
                    <w:top w:val="nil"/>
                    <w:left w:val="nil"/>
                    <w:bottom w:val="nil"/>
                    <w:right w:val="single" w:sz="8" w:space="0" w:color="FFFFFF"/>
                  </w:tcBorders>
                  <w:shd w:val="clear" w:color="auto" w:fill="808080" w:themeFill="background1" w:themeFillShade="80"/>
                  <w:vAlign w:val="bottom"/>
                </w:tcPr>
                <w:p w14:paraId="4A19C6D6"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2055</w:t>
                  </w:r>
                </w:p>
              </w:tc>
            </w:tr>
            <w:tr w:rsidR="00921721" w:rsidRPr="007B305C" w14:paraId="57953706" w14:textId="77777777" w:rsidTr="00880D09">
              <w:trPr>
                <w:trHeight w:val="247"/>
              </w:trPr>
              <w:tc>
                <w:tcPr>
                  <w:tcW w:w="755" w:type="dxa"/>
                  <w:tcBorders>
                    <w:top w:val="nil"/>
                    <w:left w:val="single" w:sz="8" w:space="0" w:color="FFFFFF"/>
                    <w:bottom w:val="nil"/>
                    <w:right w:val="single" w:sz="8" w:space="0" w:color="FFFFFF"/>
                  </w:tcBorders>
                  <w:shd w:val="clear" w:color="auto" w:fill="DBE5F1" w:themeFill="accent1" w:themeFillTint="33"/>
                  <w:vAlign w:val="center"/>
                </w:tcPr>
                <w:p w14:paraId="13C12650" w14:textId="77777777" w:rsidR="00921721" w:rsidRPr="003E7EB2" w:rsidRDefault="00921721" w:rsidP="00880D09">
                  <w:pPr>
                    <w:jc w:val="center"/>
                    <w:rPr>
                      <w:rFonts w:asciiTheme="minorHAnsi" w:hAnsiTheme="minorHAnsi"/>
                      <w:b/>
                      <w:bCs/>
                      <w:color w:val="808080" w:themeColor="background1" w:themeShade="80"/>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nil"/>
                    <w:right w:val="single" w:sz="8" w:space="0" w:color="FFFFFF"/>
                  </w:tcBorders>
                  <w:shd w:val="clear" w:color="auto" w:fill="DBE5F1" w:themeFill="accent1" w:themeFillTint="33"/>
                  <w:vAlign w:val="bottom"/>
                </w:tcPr>
                <w:p w14:paraId="73E79397"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8" w:type="dxa"/>
                  <w:tcBorders>
                    <w:top w:val="nil"/>
                    <w:left w:val="nil"/>
                    <w:bottom w:val="nil"/>
                    <w:right w:val="single" w:sz="8" w:space="0" w:color="FFFFFF"/>
                  </w:tcBorders>
                  <w:shd w:val="clear" w:color="auto" w:fill="DBE5F1" w:themeFill="accent1" w:themeFillTint="33"/>
                  <w:vAlign w:val="bottom"/>
                </w:tcPr>
                <w:p w14:paraId="16160178"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nil"/>
                    <w:right w:val="single" w:sz="8" w:space="0" w:color="FFFFFF"/>
                  </w:tcBorders>
                  <w:shd w:val="clear" w:color="auto" w:fill="DBE5F1" w:themeFill="accent1" w:themeFillTint="33"/>
                  <w:vAlign w:val="bottom"/>
                </w:tcPr>
                <w:p w14:paraId="65430493"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9" w:type="dxa"/>
                  <w:tcBorders>
                    <w:top w:val="nil"/>
                    <w:left w:val="nil"/>
                    <w:bottom w:val="nil"/>
                    <w:right w:val="single" w:sz="8" w:space="0" w:color="FFFFFF"/>
                  </w:tcBorders>
                  <w:shd w:val="clear" w:color="auto" w:fill="DBE5F1" w:themeFill="accent1" w:themeFillTint="33"/>
                  <w:vAlign w:val="bottom"/>
                </w:tcPr>
                <w:p w14:paraId="57136D24"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nil"/>
                    <w:right w:val="single" w:sz="8" w:space="0" w:color="FFFFFF"/>
                  </w:tcBorders>
                  <w:shd w:val="clear" w:color="auto" w:fill="DBE5F1" w:themeFill="accent1" w:themeFillTint="33"/>
                  <w:vAlign w:val="bottom"/>
                </w:tcPr>
                <w:p w14:paraId="1F4EF3F1"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nil"/>
                    <w:right w:val="single" w:sz="8" w:space="0" w:color="FFFFFF"/>
                  </w:tcBorders>
                  <w:shd w:val="clear" w:color="auto" w:fill="DBE5F1" w:themeFill="accent1" w:themeFillTint="33"/>
                  <w:vAlign w:val="bottom"/>
                </w:tcPr>
                <w:p w14:paraId="32F133AD"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9" w:type="dxa"/>
                  <w:tcBorders>
                    <w:top w:val="nil"/>
                    <w:left w:val="nil"/>
                    <w:bottom w:val="nil"/>
                    <w:right w:val="single" w:sz="8" w:space="0" w:color="FFFFFF"/>
                  </w:tcBorders>
                  <w:shd w:val="clear" w:color="auto" w:fill="DBE5F1" w:themeFill="accent1" w:themeFillTint="33"/>
                  <w:vAlign w:val="bottom"/>
                </w:tcPr>
                <w:p w14:paraId="6A58467E"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r>
            <w:tr w:rsidR="00921721" w:rsidRPr="007B305C" w14:paraId="3A53639D" w14:textId="77777777" w:rsidTr="00880D09">
              <w:trPr>
                <w:trHeight w:val="247"/>
              </w:trPr>
              <w:tc>
                <w:tcPr>
                  <w:tcW w:w="755" w:type="dxa"/>
                  <w:tcBorders>
                    <w:top w:val="nil"/>
                    <w:left w:val="single" w:sz="8" w:space="0" w:color="FFFFFF"/>
                    <w:bottom w:val="nil"/>
                    <w:right w:val="single" w:sz="8" w:space="0" w:color="FFFFFF"/>
                  </w:tcBorders>
                  <w:shd w:val="clear" w:color="auto" w:fill="808080" w:themeFill="background1" w:themeFillShade="80"/>
                  <w:vAlign w:val="center"/>
                </w:tcPr>
                <w:p w14:paraId="126CC690"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300B32">
                    <w:rPr>
                      <w:rFonts w:asciiTheme="minorHAnsi" w:hAnsiTheme="minorHAnsi"/>
                      <w:b/>
                      <w:bCs/>
                      <w:color w:val="FFFFFF" w:themeColor="background1"/>
                      <w:sz w:val="18"/>
                      <w:szCs w:val="18"/>
                      <w:lang w:eastAsia="en-GB"/>
                    </w:rPr>
                    <w:t>Lata</w:t>
                  </w:r>
                </w:p>
              </w:tc>
              <w:tc>
                <w:tcPr>
                  <w:tcW w:w="819" w:type="dxa"/>
                  <w:tcBorders>
                    <w:top w:val="nil"/>
                    <w:left w:val="nil"/>
                    <w:bottom w:val="nil"/>
                    <w:right w:val="single" w:sz="8" w:space="0" w:color="FFFFFF"/>
                  </w:tcBorders>
                  <w:shd w:val="clear" w:color="auto" w:fill="808080" w:themeFill="background1" w:themeFillShade="80"/>
                  <w:vAlign w:val="bottom"/>
                </w:tcPr>
                <w:p w14:paraId="720A2C9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2056</w:t>
                  </w:r>
                </w:p>
              </w:tc>
              <w:tc>
                <w:tcPr>
                  <w:tcW w:w="818" w:type="dxa"/>
                  <w:tcBorders>
                    <w:top w:val="nil"/>
                    <w:left w:val="nil"/>
                    <w:bottom w:val="nil"/>
                    <w:right w:val="single" w:sz="8" w:space="0" w:color="FFFFFF"/>
                  </w:tcBorders>
                  <w:shd w:val="clear" w:color="auto" w:fill="808080" w:themeFill="background1" w:themeFillShade="80"/>
                  <w:vAlign w:val="bottom"/>
                </w:tcPr>
                <w:p w14:paraId="0B5CC7F7"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2057</w:t>
                  </w:r>
                </w:p>
              </w:tc>
              <w:tc>
                <w:tcPr>
                  <w:tcW w:w="818" w:type="dxa"/>
                  <w:tcBorders>
                    <w:top w:val="nil"/>
                    <w:left w:val="nil"/>
                    <w:bottom w:val="nil"/>
                    <w:right w:val="single" w:sz="8" w:space="0" w:color="FFFFFF"/>
                  </w:tcBorders>
                  <w:shd w:val="clear" w:color="auto" w:fill="808080" w:themeFill="background1" w:themeFillShade="80"/>
                  <w:vAlign w:val="bottom"/>
                </w:tcPr>
                <w:p w14:paraId="01700A01"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2058</w:t>
                  </w:r>
                </w:p>
              </w:tc>
              <w:tc>
                <w:tcPr>
                  <w:tcW w:w="819" w:type="dxa"/>
                  <w:tcBorders>
                    <w:top w:val="nil"/>
                    <w:left w:val="nil"/>
                    <w:bottom w:val="nil"/>
                    <w:right w:val="single" w:sz="8" w:space="0" w:color="FFFFFF"/>
                  </w:tcBorders>
                  <w:shd w:val="clear" w:color="auto" w:fill="808080" w:themeFill="background1" w:themeFillShade="80"/>
                  <w:vAlign w:val="bottom"/>
                </w:tcPr>
                <w:p w14:paraId="423C6F7A"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2059</w:t>
                  </w:r>
                </w:p>
              </w:tc>
              <w:tc>
                <w:tcPr>
                  <w:tcW w:w="818" w:type="dxa"/>
                  <w:tcBorders>
                    <w:top w:val="nil"/>
                    <w:left w:val="nil"/>
                    <w:bottom w:val="nil"/>
                    <w:right w:val="single" w:sz="8" w:space="0" w:color="FFFFFF"/>
                  </w:tcBorders>
                  <w:shd w:val="clear" w:color="auto" w:fill="808080" w:themeFill="background1" w:themeFillShade="80"/>
                  <w:vAlign w:val="bottom"/>
                </w:tcPr>
                <w:p w14:paraId="238D6E1F"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2060</w:t>
                  </w:r>
                </w:p>
              </w:tc>
              <w:tc>
                <w:tcPr>
                  <w:tcW w:w="818" w:type="dxa"/>
                  <w:tcBorders>
                    <w:top w:val="nil"/>
                    <w:left w:val="nil"/>
                    <w:bottom w:val="nil"/>
                    <w:right w:val="single" w:sz="8" w:space="0" w:color="FFFFFF"/>
                  </w:tcBorders>
                  <w:shd w:val="clear" w:color="auto" w:fill="808080" w:themeFill="background1" w:themeFillShade="80"/>
                  <w:vAlign w:val="bottom"/>
                </w:tcPr>
                <w:p w14:paraId="03C64F31" w14:textId="77777777" w:rsidR="00921721" w:rsidRPr="00300B32" w:rsidRDefault="00921721" w:rsidP="00880D09">
                  <w:pPr>
                    <w:jc w:val="center"/>
                    <w:rPr>
                      <w:rFonts w:asciiTheme="minorHAnsi" w:hAnsiTheme="minorHAnsi"/>
                      <w:b/>
                      <w:bCs/>
                      <w:color w:val="FFFFFF" w:themeColor="background1"/>
                      <w:sz w:val="18"/>
                      <w:szCs w:val="18"/>
                      <w:lang w:eastAsia="en-GB"/>
                    </w:rPr>
                  </w:pPr>
                </w:p>
              </w:tc>
              <w:tc>
                <w:tcPr>
                  <w:tcW w:w="819" w:type="dxa"/>
                  <w:tcBorders>
                    <w:top w:val="nil"/>
                    <w:left w:val="nil"/>
                    <w:bottom w:val="nil"/>
                    <w:right w:val="single" w:sz="8" w:space="0" w:color="FFFFFF"/>
                  </w:tcBorders>
                  <w:shd w:val="clear" w:color="auto" w:fill="808080" w:themeFill="background1" w:themeFillShade="80"/>
                  <w:vAlign w:val="bottom"/>
                </w:tcPr>
                <w:p w14:paraId="69D8B98E" w14:textId="77777777" w:rsidR="00921721" w:rsidRPr="00300B32" w:rsidRDefault="00921721" w:rsidP="00880D09">
                  <w:pPr>
                    <w:jc w:val="center"/>
                    <w:rPr>
                      <w:rFonts w:asciiTheme="minorHAnsi" w:hAnsiTheme="minorHAnsi"/>
                      <w:b/>
                      <w:bCs/>
                      <w:color w:val="FFFFFF" w:themeColor="background1"/>
                      <w:sz w:val="18"/>
                      <w:szCs w:val="18"/>
                      <w:lang w:eastAsia="en-GB"/>
                    </w:rPr>
                  </w:pPr>
                </w:p>
              </w:tc>
            </w:tr>
            <w:tr w:rsidR="00921721" w:rsidRPr="007B305C" w14:paraId="18ABD393"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2C214E82"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vAlign w:val="bottom"/>
                </w:tcPr>
                <w:p w14:paraId="14CDAE37"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31A1376B"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10D7C9A2"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9" w:type="dxa"/>
                  <w:tcBorders>
                    <w:top w:val="nil"/>
                    <w:left w:val="nil"/>
                    <w:bottom w:val="single" w:sz="8" w:space="0" w:color="FFFFFF"/>
                    <w:right w:val="single" w:sz="8" w:space="0" w:color="FFFFFF"/>
                  </w:tcBorders>
                  <w:shd w:val="clear" w:color="auto" w:fill="DBE5F1" w:themeFill="accent1" w:themeFillTint="33"/>
                  <w:vAlign w:val="bottom"/>
                </w:tcPr>
                <w:p w14:paraId="415F0373"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75142412"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021</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20B8C9D1" w14:textId="77777777" w:rsidR="00921721" w:rsidRPr="008672E3" w:rsidRDefault="00921721" w:rsidP="00880D09">
                  <w:pPr>
                    <w:jc w:val="center"/>
                    <w:rPr>
                      <w:rFonts w:asciiTheme="minorHAnsi" w:hAnsiTheme="minorHAnsi"/>
                      <w:color w:val="4F81BD" w:themeColor="accent1"/>
                      <w:sz w:val="18"/>
                      <w:szCs w:val="18"/>
                      <w:lang w:eastAsia="en-GB"/>
                    </w:rPr>
                  </w:pPr>
                </w:p>
              </w:tc>
              <w:tc>
                <w:tcPr>
                  <w:tcW w:w="819" w:type="dxa"/>
                  <w:tcBorders>
                    <w:top w:val="nil"/>
                    <w:left w:val="nil"/>
                    <w:bottom w:val="single" w:sz="8" w:space="0" w:color="FFFFFF"/>
                    <w:right w:val="single" w:sz="8" w:space="0" w:color="FFFFFF"/>
                  </w:tcBorders>
                  <w:shd w:val="clear" w:color="auto" w:fill="DBE5F1" w:themeFill="accent1" w:themeFillTint="33"/>
                  <w:vAlign w:val="bottom"/>
                </w:tcPr>
                <w:p w14:paraId="6C231364" w14:textId="77777777" w:rsidR="00921721" w:rsidRPr="008672E3" w:rsidRDefault="00921721" w:rsidP="00880D09">
                  <w:pPr>
                    <w:jc w:val="center"/>
                    <w:rPr>
                      <w:rFonts w:asciiTheme="minorHAnsi" w:hAnsiTheme="minorHAnsi"/>
                      <w:color w:val="4F81BD" w:themeColor="accent1"/>
                      <w:sz w:val="18"/>
                      <w:szCs w:val="18"/>
                      <w:lang w:eastAsia="en-GB"/>
                    </w:rPr>
                  </w:pPr>
                </w:p>
              </w:tc>
            </w:tr>
          </w:tbl>
          <w:p w14:paraId="12E065C7" w14:textId="77777777" w:rsidR="00921721" w:rsidRDefault="00921721" w:rsidP="00880D09">
            <w:pPr>
              <w:pStyle w:val="anxnormal"/>
              <w:spacing w:after="120"/>
              <w:ind w:left="0"/>
              <w:rPr>
                <w:rFonts w:asciiTheme="minorHAnsi" w:hAnsiTheme="minorHAnsi"/>
                <w:b/>
                <w:sz w:val="16"/>
                <w:szCs w:val="16"/>
              </w:rPr>
            </w:pPr>
            <w:proofErr w:type="spellStart"/>
            <w:r w:rsidRPr="00731E4E">
              <w:rPr>
                <w:rFonts w:asciiTheme="minorHAnsi" w:hAnsiTheme="minorHAnsi"/>
                <w:b/>
                <w:i/>
                <w:sz w:val="16"/>
                <w:szCs w:val="16"/>
              </w:rPr>
              <w:t>Żródło</w:t>
            </w:r>
            <w:proofErr w:type="spellEnd"/>
            <w:r>
              <w:rPr>
                <w:rFonts w:asciiTheme="minorHAnsi" w:hAnsiTheme="minorHAnsi"/>
                <w:b/>
                <w:i/>
                <w:sz w:val="16"/>
                <w:szCs w:val="16"/>
              </w:rPr>
              <w:t>:</w:t>
            </w:r>
            <w:r w:rsidRPr="00731E4E">
              <w:rPr>
                <w:rFonts w:asciiTheme="minorHAnsi" w:hAnsiTheme="minorHAnsi"/>
                <w:b/>
                <w:i/>
                <w:sz w:val="16"/>
                <w:szCs w:val="16"/>
              </w:rPr>
              <w:t xml:space="preserve"> </w:t>
            </w:r>
            <w:r w:rsidRPr="003D4863">
              <w:rPr>
                <w:rFonts w:asciiTheme="minorHAnsi" w:hAnsiTheme="minorHAnsi"/>
                <w:b/>
                <w:i/>
                <w:sz w:val="16"/>
                <w:szCs w:val="16"/>
              </w:rPr>
              <w:t>Opracowanie własne CUPT</w:t>
            </w:r>
            <w:r w:rsidRPr="008C2AED">
              <w:rPr>
                <w:rFonts w:asciiTheme="minorHAnsi" w:hAnsiTheme="minorHAnsi"/>
                <w:b/>
                <w:i/>
                <w:sz w:val="16"/>
                <w:szCs w:val="16"/>
              </w:rPr>
              <w:t xml:space="preserve"> </w:t>
            </w:r>
            <w:r>
              <w:rPr>
                <w:rFonts w:asciiTheme="minorHAnsi" w:hAnsiTheme="minorHAnsi"/>
                <w:b/>
                <w:i/>
                <w:sz w:val="16"/>
                <w:szCs w:val="16"/>
              </w:rPr>
              <w:t xml:space="preserve">na podstawie </w:t>
            </w:r>
            <w:r w:rsidRPr="008C2AED">
              <w:rPr>
                <w:rFonts w:asciiTheme="minorHAnsi" w:hAnsiTheme="minorHAnsi"/>
                <w:b/>
                <w:i/>
                <w:sz w:val="16"/>
                <w:szCs w:val="16"/>
              </w:rPr>
              <w:t xml:space="preserve">Wytyczne dotyczące stosowania jednolitych wskaźników makroekonomicznych będących podstawą oszacowania skutków finansowych projektowanych ustaw, Minister Finansów, </w:t>
            </w:r>
            <w:r>
              <w:rPr>
                <w:rFonts w:asciiTheme="minorHAnsi" w:hAnsiTheme="minorHAnsi"/>
                <w:b/>
                <w:i/>
                <w:sz w:val="16"/>
                <w:szCs w:val="16"/>
              </w:rPr>
              <w:t>31 sierpnia 2021 </w:t>
            </w:r>
            <w:r w:rsidRPr="00D22C56">
              <w:rPr>
                <w:rFonts w:asciiTheme="minorHAnsi" w:hAnsiTheme="minorHAnsi"/>
                <w:b/>
                <w:i/>
                <w:sz w:val="16"/>
                <w:szCs w:val="16"/>
              </w:rPr>
              <w:t>r.</w:t>
            </w:r>
            <w:r>
              <w:rPr>
                <w:rFonts w:asciiTheme="minorHAnsi" w:hAnsiTheme="minorHAnsi"/>
                <w:b/>
                <w:i/>
                <w:sz w:val="16"/>
                <w:szCs w:val="16"/>
              </w:rPr>
              <w:t xml:space="preserve"> </w:t>
            </w:r>
            <w:r w:rsidRPr="008C2AED">
              <w:rPr>
                <w:rFonts w:asciiTheme="minorHAnsi" w:hAnsiTheme="minorHAnsi"/>
                <w:b/>
                <w:i/>
                <w:sz w:val="16"/>
                <w:szCs w:val="16"/>
              </w:rPr>
              <w:t>https://www.gov.pl/web/finanse/wytyczne-sytuacja-makroekonomiczna</w:t>
            </w:r>
            <w:r w:rsidRPr="003D4863" w:rsidDel="003D4863">
              <w:rPr>
                <w:rFonts w:asciiTheme="minorHAnsi" w:hAnsiTheme="minorHAnsi"/>
                <w:b/>
                <w:i/>
                <w:sz w:val="16"/>
                <w:szCs w:val="16"/>
              </w:rPr>
              <w:t xml:space="preserve"> </w:t>
            </w:r>
          </w:p>
          <w:p w14:paraId="45AD3FAF" w14:textId="77777777" w:rsidR="00921721" w:rsidRDefault="00921721" w:rsidP="00880D09">
            <w:pPr>
              <w:ind w:right="170"/>
              <w:jc w:val="both"/>
              <w:rPr>
                <w:rFonts w:asciiTheme="minorHAnsi" w:hAnsiTheme="minorHAnsi" w:cs="Arial"/>
                <w:b/>
                <w:sz w:val="16"/>
                <w:szCs w:val="16"/>
              </w:rPr>
            </w:pPr>
          </w:p>
          <w:p w14:paraId="227105DA" w14:textId="77777777" w:rsidR="00921721" w:rsidRDefault="00921721" w:rsidP="00880D09">
            <w:pPr>
              <w:ind w:right="170"/>
              <w:jc w:val="both"/>
              <w:rPr>
                <w:rFonts w:asciiTheme="minorHAnsi" w:hAnsiTheme="minorHAnsi" w:cs="Arial"/>
                <w:b/>
                <w:sz w:val="16"/>
                <w:szCs w:val="16"/>
              </w:rPr>
            </w:pPr>
          </w:p>
          <w:p w14:paraId="64FA3789" w14:textId="77777777" w:rsidR="00921721" w:rsidRDefault="00921721" w:rsidP="00880D09">
            <w:pPr>
              <w:ind w:right="170"/>
              <w:jc w:val="both"/>
              <w:rPr>
                <w:rFonts w:asciiTheme="minorHAnsi" w:hAnsiTheme="minorHAnsi" w:cs="Arial"/>
                <w:b/>
                <w:sz w:val="16"/>
                <w:szCs w:val="16"/>
              </w:rPr>
            </w:pPr>
          </w:p>
          <w:p w14:paraId="6E317D93" w14:textId="77777777" w:rsidR="00921721" w:rsidRDefault="00921721" w:rsidP="00880D09">
            <w:pPr>
              <w:ind w:right="170"/>
              <w:jc w:val="both"/>
              <w:rPr>
                <w:rFonts w:asciiTheme="minorHAnsi" w:hAnsiTheme="minorHAnsi" w:cs="Arial"/>
                <w:b/>
                <w:sz w:val="16"/>
                <w:szCs w:val="16"/>
              </w:rPr>
            </w:pPr>
          </w:p>
          <w:p w14:paraId="7BAB6570" w14:textId="77777777" w:rsidR="00921721" w:rsidRDefault="00921721" w:rsidP="00880D09">
            <w:pPr>
              <w:ind w:right="170"/>
              <w:jc w:val="both"/>
              <w:rPr>
                <w:rFonts w:asciiTheme="minorHAnsi" w:hAnsiTheme="minorHAnsi" w:cs="Arial"/>
                <w:b/>
                <w:sz w:val="16"/>
                <w:szCs w:val="16"/>
              </w:rPr>
            </w:pPr>
          </w:p>
          <w:p w14:paraId="795F6F66" w14:textId="77777777" w:rsidR="00921721" w:rsidRDefault="00921721" w:rsidP="00880D09">
            <w:pPr>
              <w:ind w:right="170"/>
              <w:jc w:val="both"/>
              <w:rPr>
                <w:rFonts w:asciiTheme="minorHAnsi" w:hAnsiTheme="minorHAnsi" w:cs="Arial"/>
                <w:b/>
                <w:sz w:val="16"/>
                <w:szCs w:val="16"/>
              </w:rPr>
            </w:pPr>
          </w:p>
          <w:p w14:paraId="5D4183AE" w14:textId="77777777" w:rsidR="00921721" w:rsidRDefault="00921721" w:rsidP="00880D09">
            <w:pPr>
              <w:ind w:right="170"/>
              <w:jc w:val="both"/>
              <w:rPr>
                <w:rFonts w:asciiTheme="minorHAnsi" w:hAnsiTheme="minorHAnsi" w:cs="Arial"/>
                <w:b/>
                <w:sz w:val="16"/>
                <w:szCs w:val="16"/>
              </w:rPr>
            </w:pPr>
          </w:p>
          <w:p w14:paraId="35658C25" w14:textId="77777777" w:rsidR="00921721" w:rsidRDefault="00921721" w:rsidP="00880D09">
            <w:pPr>
              <w:ind w:right="170"/>
              <w:jc w:val="both"/>
              <w:rPr>
                <w:rFonts w:asciiTheme="minorHAnsi" w:hAnsiTheme="minorHAnsi" w:cs="Arial"/>
                <w:b/>
                <w:sz w:val="16"/>
                <w:szCs w:val="16"/>
              </w:rPr>
            </w:pPr>
          </w:p>
          <w:p w14:paraId="13BE2A6E" w14:textId="77777777" w:rsidR="00921721" w:rsidRDefault="00921721" w:rsidP="00880D09">
            <w:pPr>
              <w:ind w:right="170"/>
              <w:jc w:val="both"/>
              <w:rPr>
                <w:rFonts w:asciiTheme="minorHAnsi" w:hAnsiTheme="minorHAnsi" w:cs="Arial"/>
                <w:b/>
                <w:sz w:val="16"/>
                <w:szCs w:val="16"/>
              </w:rPr>
            </w:pPr>
          </w:p>
          <w:p w14:paraId="016E8047" w14:textId="77777777" w:rsidR="00921721" w:rsidRDefault="00921721" w:rsidP="00880D09">
            <w:pPr>
              <w:ind w:right="170"/>
              <w:jc w:val="both"/>
              <w:rPr>
                <w:rFonts w:asciiTheme="minorHAnsi" w:hAnsiTheme="minorHAnsi" w:cs="Arial"/>
                <w:b/>
                <w:sz w:val="16"/>
                <w:szCs w:val="16"/>
              </w:rPr>
            </w:pPr>
          </w:p>
          <w:p w14:paraId="073BCDC2" w14:textId="77777777" w:rsidR="00921721" w:rsidRDefault="00921721" w:rsidP="00880D09">
            <w:pPr>
              <w:ind w:right="170"/>
              <w:jc w:val="both"/>
              <w:rPr>
                <w:rFonts w:asciiTheme="minorHAnsi" w:hAnsiTheme="minorHAnsi" w:cs="Arial"/>
                <w:b/>
                <w:sz w:val="16"/>
                <w:szCs w:val="16"/>
              </w:rPr>
            </w:pPr>
          </w:p>
          <w:p w14:paraId="1C51342B" w14:textId="77777777" w:rsidR="00921721" w:rsidRPr="00296507" w:rsidRDefault="00921721" w:rsidP="00880D09">
            <w:pPr>
              <w:pStyle w:val="anxnormal"/>
              <w:spacing w:before="0"/>
              <w:ind w:left="0"/>
              <w:rPr>
                <w:rFonts w:asciiTheme="minorHAnsi" w:hAnsiTheme="minorHAnsi" w:cs="Arial-Narrow,Bold"/>
                <w:b/>
                <w:bCs/>
                <w:color w:val="4F81BD" w:themeColor="accent1"/>
                <w:sz w:val="23"/>
                <w:szCs w:val="23"/>
                <w:lang w:eastAsia="en-GB"/>
              </w:rPr>
            </w:pPr>
            <w:r w:rsidRPr="00296507">
              <w:rPr>
                <w:rFonts w:asciiTheme="minorHAnsi" w:hAnsiTheme="minorHAnsi" w:cs="Arial-Narrow,Bold"/>
                <w:b/>
                <w:bCs/>
                <w:color w:val="4F81BD" w:themeColor="accent1"/>
                <w:sz w:val="23"/>
                <w:szCs w:val="23"/>
                <w:lang w:eastAsia="en-GB"/>
              </w:rPr>
              <w:lastRenderedPageBreak/>
              <w:t>3. Koszty czasu użytkowników infrastruktury</w:t>
            </w:r>
            <w:r>
              <w:rPr>
                <w:rFonts w:asciiTheme="minorHAnsi" w:hAnsiTheme="minorHAnsi" w:cs="Arial-Narrow,Bold"/>
                <w:b/>
                <w:bCs/>
                <w:color w:val="4F81BD" w:themeColor="accent1"/>
                <w:sz w:val="23"/>
                <w:szCs w:val="23"/>
                <w:lang w:eastAsia="en-GB"/>
              </w:rPr>
              <w:t xml:space="preserve"> transportowej</w:t>
            </w:r>
          </w:p>
          <w:p w14:paraId="724B066F" w14:textId="77777777" w:rsidR="00921721" w:rsidRDefault="00921721" w:rsidP="00880D09">
            <w:pPr>
              <w:pStyle w:val="anxnormal"/>
              <w:spacing w:before="60" w:after="60"/>
              <w:ind w:left="0"/>
              <w:rPr>
                <w:rFonts w:asciiTheme="minorHAnsi" w:hAnsiTheme="minorHAnsi"/>
                <w:lang w:eastAsia="en-US"/>
              </w:rPr>
            </w:pPr>
            <w:r w:rsidRPr="00F13EAB">
              <w:rPr>
                <w:rFonts w:asciiTheme="minorHAnsi" w:hAnsiTheme="minorHAnsi"/>
                <w:lang w:eastAsia="en-US"/>
              </w:rPr>
              <w:t xml:space="preserve">Jednostkowe koszty czasu (PLN/h), ceny 2021 </w:t>
            </w:r>
          </w:p>
          <w:tbl>
            <w:tblPr>
              <w:tblW w:w="6892" w:type="dxa"/>
              <w:tblLayout w:type="fixed"/>
              <w:tblLook w:val="04A0" w:firstRow="1" w:lastRow="0" w:firstColumn="1" w:lastColumn="0" w:noHBand="0" w:noVBand="1"/>
            </w:tblPr>
            <w:tblGrid>
              <w:gridCol w:w="640"/>
              <w:gridCol w:w="1366"/>
              <w:gridCol w:w="1378"/>
              <w:gridCol w:w="1356"/>
              <w:gridCol w:w="2152"/>
            </w:tblGrid>
            <w:tr w:rsidR="00921721" w:rsidRPr="00FF1EB0" w14:paraId="61FB8C7E" w14:textId="77777777" w:rsidTr="00880D09">
              <w:trPr>
                <w:trHeight w:val="334"/>
              </w:trPr>
              <w:tc>
                <w:tcPr>
                  <w:tcW w:w="640"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342CA58" w14:textId="77777777" w:rsidR="00921721" w:rsidRPr="00F13EAB" w:rsidRDefault="00921721" w:rsidP="00880D09">
                  <w:pPr>
                    <w:snapToGrid w:val="0"/>
                    <w:jc w:val="center"/>
                    <w:rPr>
                      <w:rFonts w:asciiTheme="minorHAnsi" w:hAnsiTheme="minorHAnsi" w:cs="Arial"/>
                      <w:b/>
                      <w:bCs/>
                      <w:color w:val="FFFFFF"/>
                      <w:sz w:val="15"/>
                      <w:szCs w:val="15"/>
                    </w:rPr>
                  </w:pPr>
                </w:p>
              </w:tc>
              <w:tc>
                <w:tcPr>
                  <w:tcW w:w="4100" w:type="dxa"/>
                  <w:gridSpan w:val="3"/>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459777E" w14:textId="77777777" w:rsidR="00921721" w:rsidRPr="0099148C" w:rsidRDefault="00921721" w:rsidP="00880D09">
                  <w:pPr>
                    <w:snapToGrid w:val="0"/>
                    <w:jc w:val="center"/>
                    <w:rPr>
                      <w:rFonts w:asciiTheme="minorHAnsi" w:hAnsiTheme="minorHAnsi" w:cs="Arial"/>
                      <w:b/>
                      <w:bCs/>
                      <w:color w:val="FFFFFF"/>
                      <w:sz w:val="15"/>
                      <w:szCs w:val="15"/>
                    </w:rPr>
                  </w:pPr>
                  <w:r w:rsidRPr="00F13EAB">
                    <w:rPr>
                      <w:rFonts w:asciiTheme="minorHAnsi" w:hAnsiTheme="minorHAnsi" w:cs="Arial"/>
                      <w:b/>
                      <w:bCs/>
                      <w:color w:val="FFFFFF"/>
                      <w:sz w:val="15"/>
                      <w:szCs w:val="15"/>
                    </w:rPr>
                    <w:t>Stawka godzinowa dla pasażerów oraz kierowców (PLN/h)</w:t>
                  </w:r>
                </w:p>
              </w:tc>
              <w:tc>
                <w:tcPr>
                  <w:tcW w:w="2152"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4A21B3" w14:textId="77777777" w:rsidR="00921721" w:rsidRPr="0099148C" w:rsidRDefault="00921721" w:rsidP="00880D09">
                  <w:pPr>
                    <w:snapToGrid w:val="0"/>
                    <w:jc w:val="center"/>
                    <w:rPr>
                      <w:rFonts w:asciiTheme="minorHAnsi" w:hAnsiTheme="minorHAnsi" w:cs="Arial"/>
                      <w:b/>
                      <w:bCs/>
                      <w:color w:val="FFFFFF"/>
                      <w:sz w:val="15"/>
                      <w:szCs w:val="15"/>
                    </w:rPr>
                  </w:pPr>
                  <w:r w:rsidRPr="00F13EAB">
                    <w:rPr>
                      <w:rFonts w:asciiTheme="minorHAnsi" w:hAnsiTheme="minorHAnsi" w:cs="Arial"/>
                      <w:b/>
                      <w:bCs/>
                      <w:color w:val="FFFFFF"/>
                      <w:sz w:val="15"/>
                      <w:szCs w:val="15"/>
                    </w:rPr>
                    <w:t>Stawka godzinow</w:t>
                  </w:r>
                  <w:r>
                    <w:rPr>
                      <w:rFonts w:asciiTheme="minorHAnsi" w:hAnsiTheme="minorHAnsi" w:cs="Arial"/>
                      <w:b/>
                      <w:bCs/>
                      <w:color w:val="FFFFFF"/>
                      <w:sz w:val="15"/>
                      <w:szCs w:val="15"/>
                    </w:rPr>
                    <w:t xml:space="preserve">a przewozów </w:t>
                  </w:r>
                  <w:r w:rsidRPr="006B4A27">
                    <w:rPr>
                      <w:rFonts w:asciiTheme="minorHAnsi" w:hAnsiTheme="minorHAnsi" w:cs="Arial"/>
                      <w:b/>
                      <w:bCs/>
                      <w:color w:val="FFFFFF"/>
                      <w:sz w:val="15"/>
                      <w:szCs w:val="15"/>
                    </w:rPr>
                    <w:t xml:space="preserve">towarowych </w:t>
                  </w:r>
                  <w:r w:rsidRPr="00E51109">
                    <w:rPr>
                      <w:rFonts w:asciiTheme="minorHAnsi" w:hAnsiTheme="minorHAnsi" w:cs="Arial"/>
                      <w:b/>
                      <w:bCs/>
                      <w:color w:val="FFFFFF"/>
                      <w:sz w:val="15"/>
                      <w:szCs w:val="15"/>
                    </w:rPr>
                    <w:t>drogowych</w:t>
                  </w:r>
                  <w:r>
                    <w:rPr>
                      <w:rFonts w:asciiTheme="minorHAnsi" w:hAnsiTheme="minorHAnsi" w:cs="Arial"/>
                      <w:b/>
                      <w:bCs/>
                      <w:color w:val="FFFFFF"/>
                      <w:sz w:val="15"/>
                      <w:szCs w:val="15"/>
                    </w:rPr>
                    <w:t xml:space="preserve"> (PLN </w:t>
                  </w:r>
                  <w:r w:rsidRPr="00F13EAB">
                    <w:rPr>
                      <w:rFonts w:asciiTheme="minorHAnsi" w:hAnsiTheme="minorHAnsi" w:cs="Arial"/>
                      <w:b/>
                      <w:bCs/>
                      <w:color w:val="FFFFFF"/>
                      <w:sz w:val="15"/>
                      <w:szCs w:val="15"/>
                    </w:rPr>
                    <w:t>/h)</w:t>
                  </w:r>
                </w:p>
              </w:tc>
            </w:tr>
            <w:tr w:rsidR="00921721" w:rsidRPr="00FF1EB0" w14:paraId="67FAC260" w14:textId="77777777" w:rsidTr="00880D09">
              <w:trPr>
                <w:trHeight w:hRule="exact" w:val="377"/>
              </w:trPr>
              <w:tc>
                <w:tcPr>
                  <w:tcW w:w="640"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A49AE05" w14:textId="77777777" w:rsidR="00921721" w:rsidRPr="0099148C" w:rsidRDefault="00921721" w:rsidP="00880D09">
                  <w:pPr>
                    <w:jc w:val="center"/>
                    <w:rPr>
                      <w:rFonts w:asciiTheme="minorHAnsi" w:hAnsiTheme="minorHAnsi" w:cs="Arial"/>
                      <w:b/>
                      <w:bCs/>
                      <w:color w:val="FFFFFF"/>
                      <w:sz w:val="15"/>
                      <w:szCs w:val="15"/>
                    </w:rPr>
                  </w:pPr>
                </w:p>
              </w:tc>
              <w:tc>
                <w:tcPr>
                  <w:tcW w:w="136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7A5AD0A" w14:textId="77777777" w:rsidR="00921721" w:rsidRPr="0099148C" w:rsidRDefault="00921721" w:rsidP="00880D09">
                  <w:pPr>
                    <w:snapToGrid w:val="0"/>
                    <w:jc w:val="center"/>
                    <w:rPr>
                      <w:rFonts w:asciiTheme="minorHAnsi" w:hAnsiTheme="minorHAnsi" w:cs="Arial"/>
                      <w:b/>
                      <w:bCs/>
                      <w:color w:val="FFFFFF"/>
                      <w:sz w:val="15"/>
                      <w:szCs w:val="15"/>
                    </w:rPr>
                  </w:pPr>
                  <w:r w:rsidRPr="00E51109">
                    <w:rPr>
                      <w:rFonts w:asciiTheme="minorHAnsi" w:hAnsiTheme="minorHAnsi" w:cs="Arial"/>
                      <w:b/>
                      <w:bCs/>
                      <w:color w:val="FFFFFF"/>
                      <w:sz w:val="15"/>
                      <w:szCs w:val="15"/>
                    </w:rPr>
                    <w:t xml:space="preserve">Podróży </w:t>
                  </w:r>
                  <w:r w:rsidRPr="00E51109">
                    <w:rPr>
                      <w:rFonts w:asciiTheme="minorHAnsi" w:hAnsiTheme="minorHAnsi" w:cs="Arial"/>
                      <w:b/>
                      <w:bCs/>
                      <w:color w:val="FFFFFF"/>
                      <w:sz w:val="15"/>
                      <w:szCs w:val="15"/>
                    </w:rPr>
                    <w:br/>
                    <w:t>służbowych</w:t>
                  </w:r>
                </w:p>
              </w:tc>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9EC2D74" w14:textId="77777777" w:rsidR="00921721" w:rsidRPr="0099148C" w:rsidRDefault="00921721" w:rsidP="00880D09">
                  <w:pPr>
                    <w:snapToGrid w:val="0"/>
                    <w:jc w:val="center"/>
                    <w:rPr>
                      <w:rFonts w:asciiTheme="minorHAnsi" w:hAnsiTheme="minorHAnsi" w:cs="Arial"/>
                      <w:b/>
                      <w:bCs/>
                      <w:color w:val="FFFFFF"/>
                      <w:sz w:val="15"/>
                      <w:szCs w:val="15"/>
                    </w:rPr>
                  </w:pPr>
                  <w:r w:rsidRPr="00E51109">
                    <w:rPr>
                      <w:rFonts w:asciiTheme="minorHAnsi" w:hAnsiTheme="minorHAnsi" w:cs="Arial"/>
                      <w:b/>
                      <w:bCs/>
                      <w:color w:val="FFFFFF"/>
                      <w:sz w:val="15"/>
                      <w:szCs w:val="15"/>
                    </w:rPr>
                    <w:t>Dojazdów do/z pracy</w:t>
                  </w:r>
                </w:p>
              </w:tc>
              <w:tc>
                <w:tcPr>
                  <w:tcW w:w="135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498864B" w14:textId="77777777" w:rsidR="00921721" w:rsidRPr="0099148C" w:rsidRDefault="00921721" w:rsidP="00880D09">
                  <w:pPr>
                    <w:snapToGrid w:val="0"/>
                    <w:jc w:val="center"/>
                    <w:rPr>
                      <w:rFonts w:asciiTheme="minorHAnsi" w:hAnsiTheme="minorHAnsi" w:cs="Arial"/>
                      <w:b/>
                      <w:bCs/>
                      <w:color w:val="FFFFFF"/>
                      <w:sz w:val="15"/>
                      <w:szCs w:val="15"/>
                    </w:rPr>
                  </w:pPr>
                  <w:r w:rsidRPr="00E51109">
                    <w:rPr>
                      <w:rFonts w:asciiTheme="minorHAnsi" w:hAnsiTheme="minorHAnsi" w:cs="Arial"/>
                      <w:b/>
                      <w:bCs/>
                      <w:color w:val="FFFFFF"/>
                      <w:sz w:val="15"/>
                      <w:szCs w:val="15"/>
                    </w:rPr>
                    <w:t xml:space="preserve">Podróży </w:t>
                  </w:r>
                  <w:r w:rsidRPr="00E51109">
                    <w:rPr>
                      <w:rFonts w:asciiTheme="minorHAnsi" w:hAnsiTheme="minorHAnsi" w:cs="Arial"/>
                      <w:b/>
                      <w:bCs/>
                      <w:color w:val="FFFFFF"/>
                      <w:sz w:val="15"/>
                      <w:szCs w:val="15"/>
                    </w:rPr>
                    <w:br/>
                  </w:r>
                  <w:r>
                    <w:rPr>
                      <w:rFonts w:asciiTheme="minorHAnsi" w:hAnsiTheme="minorHAnsi" w:cs="Arial"/>
                      <w:b/>
                      <w:bCs/>
                      <w:color w:val="FFFFFF"/>
                      <w:sz w:val="15"/>
                      <w:szCs w:val="15"/>
                    </w:rPr>
                    <w:t xml:space="preserve">pozostałych </w:t>
                  </w:r>
                </w:p>
              </w:tc>
              <w:tc>
                <w:tcPr>
                  <w:tcW w:w="2152"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A64CC34" w14:textId="77777777" w:rsidR="00921721" w:rsidRPr="0099148C" w:rsidRDefault="00921721" w:rsidP="00880D09">
                  <w:pPr>
                    <w:jc w:val="center"/>
                    <w:rPr>
                      <w:rFonts w:asciiTheme="minorHAnsi" w:hAnsiTheme="minorHAnsi" w:cs="Arial"/>
                      <w:b/>
                      <w:bCs/>
                      <w:color w:val="FFFFFF"/>
                      <w:sz w:val="15"/>
                      <w:szCs w:val="15"/>
                    </w:rPr>
                  </w:pPr>
                </w:p>
              </w:tc>
            </w:tr>
            <w:tr w:rsidR="00921721" w:rsidRPr="00FF1EB0" w14:paraId="48D74DE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FFD4C3"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92084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103,10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54FBB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52,27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49667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46,51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ED761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103,10</w:t>
                  </w:r>
                </w:p>
              </w:tc>
            </w:tr>
            <w:tr w:rsidR="00921721" w:rsidRPr="00FF1EB0" w14:paraId="754943EE"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D48E22"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5D617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105,73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70745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53,60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2BCEE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47,69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AC33B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105,73</w:t>
                  </w:r>
                </w:p>
              </w:tc>
            </w:tr>
            <w:tr w:rsidR="00921721" w:rsidRPr="00FF1EB0" w14:paraId="771946F0"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BFE7E4"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2FD4F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108,26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0AF2D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54,88</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12B81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48,84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2BF9C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108,26</w:t>
                  </w:r>
                </w:p>
              </w:tc>
            </w:tr>
            <w:tr w:rsidR="00921721" w:rsidRPr="00FF1EB0" w14:paraId="5830B16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C35F9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38291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110,38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8DE28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55,96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390AB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49,79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5D2A6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110,38</w:t>
                  </w:r>
                </w:p>
              </w:tc>
            </w:tr>
            <w:tr w:rsidR="00921721" w:rsidRPr="00FF1EB0" w14:paraId="6342504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1252D2"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00280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112,44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0CFB1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57,00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09C46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50,72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C0607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112,44</w:t>
                  </w:r>
                </w:p>
              </w:tc>
            </w:tr>
            <w:tr w:rsidR="00921721" w:rsidRPr="00FF1EB0" w14:paraId="7E524BB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0FC9A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B8F00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114,55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DD11E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58,07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041E0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0120C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114,55</w:t>
                  </w:r>
                </w:p>
              </w:tc>
            </w:tr>
            <w:tr w:rsidR="00921721" w:rsidRPr="00FF1EB0" w14:paraId="161A870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6300094"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92F7B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36326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59,17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3843C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52,65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8C0EA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116,71</w:t>
                  </w:r>
                </w:p>
              </w:tc>
            </w:tr>
            <w:tr w:rsidR="00921721" w:rsidRPr="00FF1EB0" w14:paraId="7DAEB4F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2BA6B5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B495A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118,87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DD6E6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60,26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E207C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53,62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50BEA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118,87</w:t>
                  </w:r>
                </w:p>
              </w:tc>
            </w:tr>
            <w:tr w:rsidR="00921721" w:rsidRPr="00FF1EB0" w14:paraId="20CABC1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61D062"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84194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121,01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CB15F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61,34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171FD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54,59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2C627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121,01</w:t>
                  </w:r>
                </w:p>
              </w:tc>
            </w:tr>
            <w:tr w:rsidR="00921721" w:rsidRPr="00FF1EB0" w14:paraId="1EF7F63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9E62D9"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42E3E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123,08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2E73F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62,39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924343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55,52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F3C5C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123,08</w:t>
                  </w:r>
                </w:p>
              </w:tc>
            </w:tr>
            <w:tr w:rsidR="00921721" w:rsidRPr="00FF1EB0" w14:paraId="551071D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AD139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D5548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125,08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17D21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63,41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E3DF0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56,42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EFD02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125,08</w:t>
                  </w:r>
                </w:p>
              </w:tc>
            </w:tr>
            <w:tr w:rsidR="00921721" w:rsidRPr="00FF1EB0" w14:paraId="3593A77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ECBFAA"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81C62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127,06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9CC26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64,41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DBC93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57,31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C2C88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127,06</w:t>
                  </w:r>
                </w:p>
              </w:tc>
            </w:tr>
            <w:tr w:rsidR="00921721" w:rsidRPr="00FF1EB0" w14:paraId="7159B10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8BE0D5"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D3D477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129,01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EB4BE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65,40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CC25E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58,19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D5E25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129,01</w:t>
                  </w:r>
                </w:p>
              </w:tc>
            </w:tr>
            <w:tr w:rsidR="00921721" w:rsidRPr="00FF1EB0" w14:paraId="079671FC"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E9FA1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2C316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130,95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6F14B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66,38</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D7B102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59,07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27167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130,95</w:t>
                  </w:r>
                </w:p>
              </w:tc>
            </w:tr>
            <w:tr w:rsidR="00921721" w:rsidRPr="00FF1EB0" w14:paraId="496E251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9F895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64C2A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132,85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8D01D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67,35</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8BBE1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59,93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093CC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132,85</w:t>
                  </w:r>
                </w:p>
              </w:tc>
            </w:tr>
            <w:tr w:rsidR="00921721" w:rsidRPr="00FF1EB0" w14:paraId="71DDC80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90D78B"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A9A53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134,80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34384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68,33</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5EC01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60,80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FC588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134,80</w:t>
                  </w:r>
                </w:p>
              </w:tc>
            </w:tr>
            <w:tr w:rsidR="00921721" w:rsidRPr="00FF1EB0" w14:paraId="307F285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5088B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099C73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67BA68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69,30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B048F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EBC20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136,71</w:t>
                  </w:r>
                </w:p>
              </w:tc>
            </w:tr>
            <w:tr w:rsidR="00921721" w:rsidRPr="00FF1EB0" w14:paraId="70DB9E4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3B4203"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602D9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C255D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70,26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6424B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62,51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E0A9B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138,59</w:t>
                  </w:r>
                </w:p>
              </w:tc>
            </w:tr>
            <w:tr w:rsidR="00921721" w:rsidRPr="00FF1EB0" w14:paraId="5DFBA83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5410F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1BA14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140,43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0720E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71,19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86C87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63,35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C44E4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140,43</w:t>
                  </w:r>
                </w:p>
              </w:tc>
            </w:tr>
            <w:tr w:rsidR="00921721" w:rsidRPr="00FF1EB0" w14:paraId="2099B9A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A726A6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68D26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142,24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5B885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72,10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48B294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64,16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BC872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142,24</w:t>
                  </w:r>
                </w:p>
              </w:tc>
            </w:tr>
            <w:tr w:rsidR="00921721" w:rsidRPr="00FF1EB0" w14:paraId="6BCC567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736D3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31D05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144,00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13638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73,00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DD8FB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64,96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DFA51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144,00</w:t>
                  </w:r>
                </w:p>
              </w:tc>
            </w:tr>
            <w:tr w:rsidR="00921721" w:rsidRPr="00FF1EB0" w14:paraId="479E5DE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1EE70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91EDD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145,71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5EBD2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73,87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8A7B4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65,73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A7EF9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145,71</w:t>
                  </w:r>
                </w:p>
              </w:tc>
            </w:tr>
            <w:tr w:rsidR="00921721" w:rsidRPr="00FF1EB0" w14:paraId="4B9A505E"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86152E"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E7558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147,38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C8473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74,71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613E3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66,48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9D462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147,38</w:t>
                  </w:r>
                </w:p>
              </w:tc>
            </w:tr>
            <w:tr w:rsidR="00921721" w:rsidRPr="00FF1EB0" w14:paraId="27600C0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09F113"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72585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149,07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B3035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75,57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946B1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67,24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DC16B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149,07</w:t>
                  </w:r>
                </w:p>
              </w:tc>
            </w:tr>
            <w:tr w:rsidR="00921721" w:rsidRPr="00FF1EB0" w14:paraId="0076A05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BB1096"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78175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150,71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2558E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76,40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D1458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65262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150,71</w:t>
                  </w:r>
                </w:p>
              </w:tc>
            </w:tr>
            <w:tr w:rsidR="00921721" w:rsidRPr="00FF1EB0" w14:paraId="50DC69D0"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F1ACC0"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7D33B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152,29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35E35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77,20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5FAE7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68,70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B3E81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152,29</w:t>
                  </w:r>
                </w:p>
              </w:tc>
            </w:tr>
            <w:tr w:rsidR="00921721" w:rsidRPr="00FF1EB0" w14:paraId="07BF197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D4432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20186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153,90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5562A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78,01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B6EA8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69,42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4FFD8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153,90</w:t>
                  </w:r>
                </w:p>
              </w:tc>
            </w:tr>
            <w:tr w:rsidR="00921721" w:rsidRPr="00FF1EB0" w14:paraId="7E25E5D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418F46"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22597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155,44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CF907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78,80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E6C5EE"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70,12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440FF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155,44</w:t>
                  </w:r>
                </w:p>
              </w:tc>
            </w:tr>
            <w:tr w:rsidR="00921721" w:rsidRPr="00FF1EB0" w14:paraId="67D3A83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EEC12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756FA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157,01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493C2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79,59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94652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70,82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FA491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157,01</w:t>
                  </w:r>
                </w:p>
              </w:tc>
            </w:tr>
            <w:tr w:rsidR="00921721" w:rsidRPr="00FF1EB0" w14:paraId="7AFE516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EA09A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81D95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7B878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80,39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0AB38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71,54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966DC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158,59</w:t>
                  </w:r>
                </w:p>
              </w:tc>
            </w:tr>
            <w:tr w:rsidR="00921721" w:rsidRPr="00FF1EB0" w14:paraId="300A30A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8665D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lastRenderedPageBreak/>
                    <w:t>2051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FCC4C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160,11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16464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81,17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9239C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72,22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BE6A8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160,11</w:t>
                  </w:r>
                </w:p>
              </w:tc>
            </w:tr>
            <w:tr w:rsidR="00921721" w:rsidRPr="00FF1EB0" w14:paraId="7D7EE42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F8A47A"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CA85D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161,63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7D07F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81,94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A80C9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72,91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AF7BF9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161,63</w:t>
                  </w:r>
                </w:p>
              </w:tc>
            </w:tr>
            <w:tr w:rsidR="00921721" w:rsidRPr="00FF1EB0" w14:paraId="6E4A830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042250"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A4FEB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163,17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CBF63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82,72</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B25A8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73,60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46C04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163,17</w:t>
                  </w:r>
                </w:p>
              </w:tc>
            </w:tr>
            <w:tr w:rsidR="00921721" w:rsidRPr="00FF1EB0" w14:paraId="0894AC7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92C38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64975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164,72</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0DE6E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83,50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5F012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74,30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BC36F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164,72</w:t>
                  </w:r>
                </w:p>
              </w:tc>
            </w:tr>
            <w:tr w:rsidR="00921721" w:rsidRPr="00FF1EB0" w14:paraId="1DA20E9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A9472B"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1C12B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166,29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06C50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84,30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C09EF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75,01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A031C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166,29</w:t>
                  </w:r>
                </w:p>
              </w:tc>
            </w:tr>
            <w:tr w:rsidR="00921721" w:rsidRPr="00FF1EB0" w14:paraId="594ADB37"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1656F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1471E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167,87</w:t>
                  </w:r>
                </w:p>
                <w:p w14:paraId="646312D2" w14:textId="77777777" w:rsidR="00921721" w:rsidRPr="0099148C" w:rsidRDefault="00921721" w:rsidP="00880D09">
                  <w:pPr>
                    <w:spacing w:before="20"/>
                    <w:jc w:val="center"/>
                    <w:rPr>
                      <w:rFonts w:asciiTheme="minorHAnsi" w:hAnsiTheme="minorHAnsi"/>
                      <w:color w:val="4F81BD" w:themeColor="accent1"/>
                      <w:sz w:val="15"/>
                      <w:szCs w:val="15"/>
                    </w:rPr>
                  </w:pP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D5E2F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85,10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7043E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75,72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E963D6"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167,87</w:t>
                  </w:r>
                </w:p>
                <w:p w14:paraId="78A7D2B1" w14:textId="77777777" w:rsidR="00921721" w:rsidRPr="0099148C" w:rsidRDefault="00921721" w:rsidP="00880D09">
                  <w:pPr>
                    <w:spacing w:before="20"/>
                    <w:jc w:val="center"/>
                    <w:rPr>
                      <w:rFonts w:asciiTheme="minorHAnsi" w:hAnsiTheme="minorHAnsi" w:cs="Arial"/>
                      <w:color w:val="4F81BD" w:themeColor="accent1"/>
                      <w:sz w:val="15"/>
                      <w:szCs w:val="15"/>
                    </w:rPr>
                  </w:pPr>
                </w:p>
              </w:tc>
            </w:tr>
            <w:tr w:rsidR="00921721" w:rsidRPr="00FF1EB0" w14:paraId="1DF310B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C8C43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1B654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169,47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08B6E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85,91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5D5D3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76,44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CCC6C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169,47</w:t>
                  </w:r>
                </w:p>
              </w:tc>
            </w:tr>
            <w:tr w:rsidR="00921721" w:rsidRPr="00FF1EB0" w14:paraId="07866FE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D62F74"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E7343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171,16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CB930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86,77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D433F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77,21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DB061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171,16</w:t>
                  </w:r>
                </w:p>
              </w:tc>
            </w:tr>
            <w:tr w:rsidR="00921721" w:rsidRPr="00FF1EB0" w14:paraId="2DE7D1A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7F19C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0CB79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172,88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ECF77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87,64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DDC27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79C78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172,88</w:t>
                  </w:r>
                </w:p>
              </w:tc>
            </w:tr>
            <w:tr w:rsidR="00921721" w:rsidRPr="00FF1EB0" w14:paraId="1E63A31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63684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2060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A57AB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174,61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61740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88,51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AE120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78,76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F77C2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174,61</w:t>
                  </w:r>
                </w:p>
              </w:tc>
            </w:tr>
          </w:tbl>
          <w:p w14:paraId="6F73790C" w14:textId="77777777" w:rsidR="00921721" w:rsidRPr="00B13338" w:rsidRDefault="00921721" w:rsidP="00880D09">
            <w:pPr>
              <w:spacing w:before="60"/>
              <w:ind w:right="170"/>
              <w:jc w:val="both"/>
              <w:rPr>
                <w:rFonts w:asciiTheme="minorHAnsi" w:hAnsiTheme="minorHAnsi"/>
                <w:b/>
                <w:bCs/>
                <w:i/>
                <w:iCs/>
                <w:sz w:val="16"/>
                <w:szCs w:val="16"/>
              </w:rPr>
            </w:pPr>
            <w:r w:rsidRPr="00B13338">
              <w:rPr>
                <w:rFonts w:asciiTheme="minorHAnsi" w:hAnsiTheme="minorHAnsi" w:cs="Arial"/>
                <w:b/>
                <w:i/>
                <w:sz w:val="16"/>
                <w:szCs w:val="16"/>
              </w:rPr>
              <w:t>Źródło: Studium zlecone przez JASPERS “</w:t>
            </w:r>
            <w:proofErr w:type="spellStart"/>
            <w:r w:rsidRPr="00B13338">
              <w:rPr>
                <w:rFonts w:asciiTheme="minorHAnsi" w:hAnsiTheme="minorHAnsi" w:cs="Arial"/>
                <w:b/>
                <w:i/>
                <w:sz w:val="16"/>
                <w:szCs w:val="16"/>
              </w:rPr>
              <w:t>Determination</w:t>
            </w:r>
            <w:proofErr w:type="spellEnd"/>
            <w:r w:rsidRPr="00B13338">
              <w:rPr>
                <w:rFonts w:asciiTheme="minorHAnsi" w:hAnsiTheme="minorHAnsi" w:cs="Arial"/>
                <w:b/>
                <w:i/>
                <w:sz w:val="16"/>
                <w:szCs w:val="16"/>
              </w:rPr>
              <w:t xml:space="preserve"> of the Value of Time (VOT) for </w:t>
            </w:r>
            <w:proofErr w:type="spellStart"/>
            <w:r w:rsidRPr="00B13338">
              <w:rPr>
                <w:rFonts w:asciiTheme="minorHAnsi" w:hAnsiTheme="minorHAnsi" w:cs="Arial"/>
                <w:b/>
                <w:i/>
                <w:sz w:val="16"/>
                <w:szCs w:val="16"/>
              </w:rPr>
              <w:t>passenge</w:t>
            </w:r>
            <w:r>
              <w:rPr>
                <w:rFonts w:asciiTheme="minorHAnsi" w:hAnsiTheme="minorHAnsi" w:cs="Arial"/>
                <w:b/>
                <w:i/>
                <w:sz w:val="16"/>
                <w:szCs w:val="16"/>
              </w:rPr>
              <w:t>rs</w:t>
            </w:r>
            <w:proofErr w:type="spellEnd"/>
            <w:r>
              <w:rPr>
                <w:rFonts w:asciiTheme="minorHAnsi" w:hAnsiTheme="minorHAnsi" w:cs="Arial"/>
                <w:b/>
                <w:i/>
                <w:sz w:val="16"/>
                <w:szCs w:val="16"/>
              </w:rPr>
              <w:t xml:space="preserve"> (in PLN/h)“, Deloitte, 2021 w oparciu o wyniki badania ankietowego zleconego przez </w:t>
            </w:r>
            <w:r w:rsidRPr="00B13338">
              <w:rPr>
                <w:rFonts w:asciiTheme="minorHAnsi" w:hAnsiTheme="minorHAnsi" w:cs="Arial"/>
                <w:b/>
                <w:i/>
                <w:sz w:val="16"/>
                <w:szCs w:val="16"/>
              </w:rPr>
              <w:t>CUPT.</w:t>
            </w:r>
          </w:p>
          <w:p w14:paraId="3BF7B234"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287C3DA6" w14:textId="77777777" w:rsidR="00921721" w:rsidRPr="00296507" w:rsidRDefault="00921721" w:rsidP="00880D09">
            <w:pPr>
              <w:pStyle w:val="anxnormal"/>
              <w:ind w:left="0"/>
              <w:rPr>
                <w:rFonts w:asciiTheme="minorHAnsi" w:hAnsiTheme="minorHAnsi"/>
                <w:lang w:eastAsia="en-US"/>
              </w:rPr>
            </w:pPr>
            <w:r w:rsidRPr="00731E4E">
              <w:rPr>
                <w:rFonts w:asciiTheme="minorHAnsi" w:hAnsiTheme="minorHAnsi"/>
                <w:lang w:eastAsia="en-US"/>
              </w:rPr>
              <w:t>Prognoza zmiany jednostkowych kosztów czasu</w:t>
            </w:r>
            <w:r>
              <w:rPr>
                <w:rFonts w:asciiTheme="minorHAnsi" w:hAnsiTheme="minorHAnsi"/>
                <w:lang w:eastAsia="en-US"/>
              </w:rPr>
              <w:t xml:space="preserve"> w czasie (w </w:t>
            </w:r>
            <w:r w:rsidRPr="00731E4E">
              <w:rPr>
                <w:rFonts w:asciiTheme="minorHAnsi" w:hAnsiTheme="minorHAnsi"/>
                <w:lang w:eastAsia="en-US"/>
              </w:rPr>
              <w:t>tabeli powyżej) jest oparta</w:t>
            </w:r>
            <w:r>
              <w:rPr>
                <w:rFonts w:asciiTheme="minorHAnsi" w:hAnsiTheme="minorHAnsi"/>
                <w:lang w:eastAsia="en-US"/>
              </w:rPr>
              <w:t xml:space="preserve"> o </w:t>
            </w:r>
            <w:r w:rsidRPr="00731E4E">
              <w:rPr>
                <w:rFonts w:asciiTheme="minorHAnsi" w:hAnsiTheme="minorHAnsi"/>
                <w:lang w:eastAsia="en-US"/>
              </w:rPr>
              <w:t>prognozowany wzrost PKB per capita (wartości podane</w:t>
            </w:r>
            <w:r>
              <w:rPr>
                <w:rFonts w:asciiTheme="minorHAnsi" w:hAnsiTheme="minorHAnsi"/>
                <w:lang w:eastAsia="en-US"/>
              </w:rPr>
              <w:t xml:space="preserve"> w punkcie </w:t>
            </w:r>
            <w:r w:rsidRPr="00731E4E">
              <w:rPr>
                <w:rFonts w:asciiTheme="minorHAnsi" w:hAnsiTheme="minorHAnsi"/>
                <w:lang w:eastAsia="en-US"/>
              </w:rPr>
              <w:t xml:space="preserve">2) przy zastosowaniu współczynnika elastyczności </w:t>
            </w:r>
            <w:r>
              <w:rPr>
                <w:rFonts w:asciiTheme="minorHAnsi" w:hAnsiTheme="minorHAnsi"/>
                <w:lang w:eastAsia="en-US"/>
              </w:rPr>
              <w:t>0,5 (</w:t>
            </w:r>
            <w:r w:rsidRPr="00E739EF">
              <w:rPr>
                <w:rFonts w:asciiTheme="minorHAnsi" w:hAnsiTheme="minorHAnsi"/>
              </w:rPr>
              <w:t>zgodnie</w:t>
            </w:r>
            <w:r>
              <w:rPr>
                <w:rFonts w:asciiTheme="minorHAnsi" w:hAnsiTheme="minorHAnsi"/>
              </w:rPr>
              <w:t xml:space="preserve"> z wytycznymi do AKK DG </w:t>
            </w:r>
            <w:proofErr w:type="spellStart"/>
            <w:r w:rsidRPr="00E739EF">
              <w:rPr>
                <w:rFonts w:asciiTheme="minorHAnsi" w:hAnsiTheme="minorHAnsi"/>
              </w:rPr>
              <w:t>Regio</w:t>
            </w:r>
            <w:proofErr w:type="spellEnd"/>
            <w:r w:rsidRPr="00E739EF">
              <w:rPr>
                <w:rFonts w:asciiTheme="minorHAnsi" w:hAnsiTheme="minorHAnsi"/>
              </w:rPr>
              <w:t>)</w:t>
            </w:r>
            <w:r w:rsidRPr="00731E4E">
              <w:rPr>
                <w:rFonts w:asciiTheme="minorHAnsi" w:hAnsiTheme="minorHAnsi"/>
                <w:lang w:eastAsia="en-US"/>
              </w:rPr>
              <w:t>.</w:t>
            </w:r>
          </w:p>
          <w:p w14:paraId="4155CB18" w14:textId="77777777" w:rsidR="00921721" w:rsidRPr="00521591" w:rsidRDefault="00921721" w:rsidP="00880D09">
            <w:pPr>
              <w:pStyle w:val="anxnormal"/>
              <w:ind w:left="0"/>
              <w:rPr>
                <w:rFonts w:asciiTheme="minorHAnsi" w:hAnsiTheme="minorHAnsi" w:cs="Arial-Narrow,Bold"/>
                <w:b/>
                <w:bCs/>
                <w:color w:val="4F81BD" w:themeColor="accent1"/>
                <w:sz w:val="23"/>
                <w:szCs w:val="23"/>
                <w:lang w:eastAsia="en-GB"/>
              </w:rPr>
            </w:pPr>
            <w:r w:rsidRPr="00521591">
              <w:rPr>
                <w:rFonts w:asciiTheme="minorHAnsi" w:hAnsiTheme="minorHAnsi" w:cs="Arial-Narrow,Bold"/>
                <w:b/>
                <w:bCs/>
                <w:color w:val="4F81BD" w:themeColor="accent1"/>
                <w:sz w:val="23"/>
                <w:szCs w:val="23"/>
                <w:lang w:eastAsia="en-GB"/>
              </w:rPr>
              <w:t>4. Koszty eksploatacji pojazdów</w:t>
            </w:r>
          </w:p>
          <w:p w14:paraId="135D1DA1" w14:textId="77777777" w:rsidR="00921721" w:rsidRPr="004E4661" w:rsidRDefault="00921721" w:rsidP="00880D09">
            <w:pPr>
              <w:pStyle w:val="anxnormal"/>
              <w:spacing w:after="120"/>
              <w:ind w:left="0"/>
              <w:rPr>
                <w:rFonts w:asciiTheme="minorHAnsi" w:hAnsiTheme="minorHAnsi" w:cstheme="minorHAnsi"/>
                <w:lang w:eastAsia="en-US"/>
              </w:rPr>
            </w:pPr>
            <w:bookmarkStart w:id="123" w:name="_Hlk69473056"/>
            <w:r w:rsidRPr="00C232F1">
              <w:rPr>
                <w:rFonts w:asciiTheme="minorHAnsi" w:hAnsiTheme="minorHAnsi" w:cstheme="minorHAnsi"/>
                <w:lang w:eastAsia="en-US"/>
              </w:rPr>
              <w:t>W poniższych tabelach przedstawiono jednostkowe koszty eksploatacj</w:t>
            </w:r>
            <w:r>
              <w:rPr>
                <w:rFonts w:asciiTheme="minorHAnsi" w:hAnsiTheme="minorHAnsi" w:cstheme="minorHAnsi"/>
                <w:lang w:eastAsia="en-US"/>
              </w:rPr>
              <w:t>i pojazdów kategorii LV i HGV w obecnie przyjętym roku bazowym (2021).</w:t>
            </w:r>
            <w:r w:rsidRPr="00B14EF6">
              <w:rPr>
                <w:rFonts w:asciiTheme="minorHAnsi" w:hAnsiTheme="minorHAnsi" w:cstheme="minorHAnsi"/>
                <w:lang w:eastAsia="en-US"/>
              </w:rPr>
              <w:t xml:space="preserve"> Zakłada się, że aktualna struktura floty pojazdów drogowych pod względem </w:t>
            </w:r>
            <w:r w:rsidRPr="0011069B">
              <w:rPr>
                <w:rFonts w:asciiTheme="minorHAnsi" w:hAnsiTheme="minorHAnsi" w:cstheme="minorHAnsi"/>
              </w:rPr>
              <w:t>rodzajów stosowanego paliwa</w:t>
            </w:r>
            <w:r w:rsidRPr="004E4661">
              <w:rPr>
                <w:rFonts w:asciiTheme="minorHAnsi" w:hAnsiTheme="minorHAnsi" w:cstheme="minorHAnsi"/>
                <w:lang w:eastAsia="en-US"/>
              </w:rPr>
              <w:t xml:space="preserve"> obejmuje głównie: pojazdy benzynowe</w:t>
            </w:r>
            <w:r>
              <w:rPr>
                <w:rFonts w:asciiTheme="minorHAnsi" w:hAnsiTheme="minorHAnsi" w:cstheme="minorHAnsi"/>
                <w:lang w:eastAsia="en-US"/>
              </w:rPr>
              <w:t xml:space="preserve"> i napędzane olejem napędowym w </w:t>
            </w:r>
            <w:r w:rsidRPr="004E4661">
              <w:rPr>
                <w:rFonts w:asciiTheme="minorHAnsi" w:hAnsiTheme="minorHAnsi" w:cstheme="minorHAnsi"/>
                <w:lang w:eastAsia="en-US"/>
              </w:rPr>
              <w:t>przypadku LV; oraz wyłączn</w:t>
            </w:r>
            <w:r>
              <w:rPr>
                <w:rFonts w:asciiTheme="minorHAnsi" w:hAnsiTheme="minorHAnsi" w:cstheme="minorHAnsi"/>
                <w:lang w:eastAsia="en-US"/>
              </w:rPr>
              <w:t>ie napędzane olejem napędowym w </w:t>
            </w:r>
            <w:r w:rsidRPr="004E4661">
              <w:rPr>
                <w:rFonts w:asciiTheme="minorHAnsi" w:hAnsiTheme="minorHAnsi" w:cstheme="minorHAnsi"/>
                <w:lang w:eastAsia="en-US"/>
              </w:rPr>
              <w:t>przypadku HGV.</w:t>
            </w:r>
          </w:p>
          <w:p w14:paraId="76466F05" w14:textId="77777777" w:rsidR="00921721" w:rsidRPr="0099148C" w:rsidRDefault="00921721" w:rsidP="00880D09">
            <w:pPr>
              <w:jc w:val="both"/>
              <w:rPr>
                <w:rFonts w:asciiTheme="minorHAnsi" w:hAnsiTheme="minorHAnsi" w:cstheme="minorHAnsi"/>
                <w:snapToGrid w:val="0"/>
                <w:sz w:val="20"/>
                <w:szCs w:val="20"/>
                <w:lang w:eastAsia="en-US"/>
              </w:rPr>
            </w:pPr>
            <w:r w:rsidRPr="0099148C">
              <w:rPr>
                <w:rFonts w:asciiTheme="minorHAnsi" w:hAnsiTheme="minorHAnsi" w:cstheme="minorHAnsi"/>
                <w:snapToGrid w:val="0"/>
                <w:sz w:val="20"/>
                <w:szCs w:val="20"/>
                <w:lang w:eastAsia="en-US"/>
              </w:rPr>
              <w:t>Te jednost</w:t>
            </w:r>
            <w:r>
              <w:rPr>
                <w:rFonts w:asciiTheme="minorHAnsi" w:hAnsiTheme="minorHAnsi" w:cstheme="minorHAnsi"/>
                <w:snapToGrid w:val="0"/>
                <w:sz w:val="20"/>
                <w:szCs w:val="20"/>
                <w:lang w:eastAsia="en-US"/>
              </w:rPr>
              <w:t>kowe koszty zostały obliczone z </w:t>
            </w:r>
            <w:r w:rsidRPr="0099148C">
              <w:rPr>
                <w:rFonts w:asciiTheme="minorHAnsi" w:hAnsiTheme="minorHAnsi" w:cstheme="minorHAnsi"/>
                <w:snapToGrid w:val="0"/>
                <w:sz w:val="20"/>
                <w:szCs w:val="20"/>
                <w:lang w:eastAsia="en-US"/>
              </w:rPr>
              <w:t>uwzglę</w:t>
            </w:r>
            <w:r>
              <w:rPr>
                <w:rFonts w:asciiTheme="minorHAnsi" w:hAnsiTheme="minorHAnsi" w:cstheme="minorHAnsi"/>
                <w:snapToGrid w:val="0"/>
                <w:sz w:val="20"/>
                <w:szCs w:val="20"/>
                <w:lang w:eastAsia="en-US"/>
              </w:rPr>
              <w:t>dnieniem pojazdów benzynowych i diesla: kosztów zużycia i </w:t>
            </w:r>
            <w:r w:rsidRPr="0099148C">
              <w:rPr>
                <w:rFonts w:asciiTheme="minorHAnsi" w:hAnsiTheme="minorHAnsi" w:cstheme="minorHAnsi"/>
                <w:snapToGrid w:val="0"/>
                <w:sz w:val="20"/>
                <w:szCs w:val="20"/>
                <w:lang w:eastAsia="en-US"/>
              </w:rPr>
              <w:t>innych kosztów tych pojazdów oraz odpowiednich danych dotyczących floty pojazdów drogowych (szc</w:t>
            </w:r>
            <w:r>
              <w:rPr>
                <w:rFonts w:asciiTheme="minorHAnsi" w:hAnsiTheme="minorHAnsi" w:cstheme="minorHAnsi"/>
                <w:snapToGrid w:val="0"/>
                <w:sz w:val="20"/>
                <w:szCs w:val="20"/>
                <w:lang w:eastAsia="en-US"/>
              </w:rPr>
              <w:t>zegóły dotyczące obliczeń VOC i związane z </w:t>
            </w:r>
            <w:r w:rsidRPr="0099148C">
              <w:rPr>
                <w:rFonts w:asciiTheme="minorHAnsi" w:hAnsiTheme="minorHAnsi" w:cstheme="minorHAnsi"/>
                <w:snapToGrid w:val="0"/>
                <w:sz w:val="20"/>
                <w:szCs w:val="20"/>
                <w:lang w:eastAsia="en-US"/>
              </w:rPr>
              <w:t>nimi założ</w:t>
            </w:r>
            <w:r>
              <w:rPr>
                <w:rFonts w:asciiTheme="minorHAnsi" w:hAnsiTheme="minorHAnsi" w:cstheme="minorHAnsi"/>
                <w:snapToGrid w:val="0"/>
                <w:sz w:val="20"/>
                <w:szCs w:val="20"/>
                <w:lang w:eastAsia="en-US"/>
              </w:rPr>
              <w:t>enia przedstawiono w załączniku </w:t>
            </w:r>
            <w:r w:rsidRPr="0099148C">
              <w:rPr>
                <w:rFonts w:asciiTheme="minorHAnsi" w:hAnsiTheme="minorHAnsi" w:cstheme="minorHAnsi"/>
                <w:snapToGrid w:val="0"/>
                <w:sz w:val="20"/>
                <w:szCs w:val="20"/>
                <w:lang w:eastAsia="en-US"/>
              </w:rPr>
              <w:t>D). Jednostkowe koszty eksploatacji pojazdów podane w poniższej tabeli odnoszą się do</w:t>
            </w:r>
            <w:r>
              <w:rPr>
                <w:rFonts w:asciiTheme="minorHAnsi" w:hAnsiTheme="minorHAnsi" w:cstheme="minorHAnsi"/>
                <w:snapToGrid w:val="0"/>
                <w:sz w:val="20"/>
                <w:szCs w:val="20"/>
                <w:lang w:eastAsia="en-US"/>
              </w:rPr>
              <w:t xml:space="preserve"> płaskiego terenu i </w:t>
            </w:r>
            <w:r w:rsidRPr="0099148C">
              <w:rPr>
                <w:rFonts w:asciiTheme="minorHAnsi" w:hAnsiTheme="minorHAnsi" w:cstheme="minorHAnsi"/>
                <w:snapToGrid w:val="0"/>
                <w:sz w:val="20"/>
                <w:szCs w:val="20"/>
                <w:lang w:eastAsia="en-US"/>
              </w:rPr>
              <w:t>dobrej jakości nawierzchni</w:t>
            </w:r>
            <w:r>
              <w:rPr>
                <w:rFonts w:asciiTheme="minorHAnsi" w:hAnsiTheme="minorHAnsi" w:cstheme="minorHAnsi"/>
                <w:snapToGrid w:val="0"/>
                <w:sz w:val="20"/>
                <w:szCs w:val="20"/>
                <w:lang w:eastAsia="en-US"/>
              </w:rPr>
              <w:t xml:space="preserve"> (tzn. po budowie/ remoncie) a w </w:t>
            </w:r>
            <w:r w:rsidRPr="0099148C">
              <w:rPr>
                <w:rFonts w:asciiTheme="minorHAnsi" w:hAnsiTheme="minorHAnsi" w:cstheme="minorHAnsi"/>
                <w:snapToGrid w:val="0"/>
                <w:sz w:val="20"/>
                <w:szCs w:val="20"/>
                <w:lang w:eastAsia="en-US"/>
              </w:rPr>
              <w:t>kolejnej tabeli także do nawierzchni zdegradowanej. Podano również współczynniki wpływu nachylenia podłużnego drogi.</w:t>
            </w:r>
          </w:p>
          <w:bookmarkEnd w:id="123"/>
          <w:p w14:paraId="071E023D" w14:textId="77777777" w:rsidR="00921721" w:rsidRPr="0077080B" w:rsidRDefault="00921721" w:rsidP="00880D09">
            <w:pPr>
              <w:pStyle w:val="anxnormal"/>
              <w:spacing w:after="120"/>
              <w:ind w:left="0"/>
              <w:rPr>
                <w:rStyle w:val="jlqj4b"/>
                <w:rFonts w:asciiTheme="minorHAnsi" w:hAnsiTheme="minorHAnsi" w:cstheme="minorHAnsi"/>
              </w:rPr>
            </w:pPr>
            <w:r w:rsidRPr="0099148C">
              <w:rPr>
                <w:rStyle w:val="jlqj4b"/>
                <w:rFonts w:asciiTheme="minorHAnsi" w:hAnsiTheme="minorHAnsi" w:cstheme="minorHAnsi"/>
              </w:rPr>
              <w:lastRenderedPageBreak/>
              <w:t>Podane poniżej wartości jednostkowe dotyczą wyłącznie pojazdó</w:t>
            </w:r>
            <w:r>
              <w:rPr>
                <w:rStyle w:val="jlqj4b"/>
                <w:rFonts w:asciiTheme="minorHAnsi" w:hAnsiTheme="minorHAnsi" w:cstheme="minorHAnsi"/>
              </w:rPr>
              <w:t>w z </w:t>
            </w:r>
            <w:r w:rsidRPr="0099148C">
              <w:rPr>
                <w:rStyle w:val="jlqj4b"/>
                <w:rFonts w:asciiTheme="minorHAnsi" w:hAnsiTheme="minorHAnsi" w:cstheme="minorHAnsi"/>
              </w:rPr>
              <w:t>silnikiem spalinowym.</w:t>
            </w:r>
            <w:r w:rsidRPr="0099148C">
              <w:rPr>
                <w:rFonts w:asciiTheme="minorHAnsi" w:hAnsiTheme="minorHAnsi" w:cstheme="minorHAnsi"/>
              </w:rPr>
              <w:t xml:space="preserve"> </w:t>
            </w:r>
            <w:r w:rsidRPr="0099148C">
              <w:rPr>
                <w:rStyle w:val="jlqj4b"/>
                <w:rFonts w:asciiTheme="minorHAnsi" w:hAnsiTheme="minorHAnsi" w:cstheme="minorHAnsi"/>
              </w:rPr>
              <w:t>Wartości dla pojazd</w:t>
            </w:r>
            <w:r>
              <w:rPr>
                <w:rStyle w:val="jlqj4b"/>
                <w:rFonts w:asciiTheme="minorHAnsi" w:hAnsiTheme="minorHAnsi" w:cstheme="minorHAnsi"/>
              </w:rPr>
              <w:t>ów elektrycznych znajdują się w jednej z </w:t>
            </w:r>
            <w:r w:rsidRPr="0099148C">
              <w:rPr>
                <w:rStyle w:val="jlqj4b"/>
                <w:rFonts w:asciiTheme="minorHAnsi" w:hAnsiTheme="minorHAnsi" w:cstheme="minorHAnsi"/>
              </w:rPr>
              <w:t>poniższych tabel.</w:t>
            </w:r>
          </w:p>
          <w:p w14:paraId="25489589" w14:textId="77777777" w:rsidR="00921721" w:rsidRDefault="00921721" w:rsidP="00880D09">
            <w:pPr>
              <w:spacing w:before="240" w:after="120"/>
              <w:jc w:val="both"/>
              <w:rPr>
                <w:rFonts w:asciiTheme="minorHAnsi" w:hAnsiTheme="minorHAnsi"/>
                <w:sz w:val="20"/>
                <w:lang w:eastAsia="en-US"/>
              </w:rPr>
            </w:pPr>
            <w:r w:rsidRPr="0077080B">
              <w:rPr>
                <w:rFonts w:asciiTheme="minorHAnsi" w:hAnsiTheme="minorHAnsi"/>
                <w:sz w:val="20"/>
                <w:lang w:eastAsia="en-US"/>
              </w:rPr>
              <w:t>Jednostkowe koszty eksploatacji pojazdów spalinowych (PLN/</w:t>
            </w:r>
            <w:proofErr w:type="spellStart"/>
            <w:r w:rsidRPr="0077080B">
              <w:rPr>
                <w:rFonts w:asciiTheme="minorHAnsi" w:hAnsiTheme="minorHAnsi"/>
                <w:sz w:val="20"/>
                <w:lang w:eastAsia="en-US"/>
              </w:rPr>
              <w:t>poj</w:t>
            </w:r>
            <w:proofErr w:type="spellEnd"/>
            <w:r w:rsidRPr="0077080B">
              <w:rPr>
                <w:rFonts w:asciiTheme="minorHAnsi" w:hAnsiTheme="minorHAnsi"/>
                <w:sz w:val="20"/>
                <w:lang w:eastAsia="en-US"/>
              </w:rPr>
              <w:t>-km), ceny 2021</w:t>
            </w:r>
          </w:p>
          <w:p w14:paraId="6C9D6529" w14:textId="77777777" w:rsidR="00921721" w:rsidRPr="0077080B" w:rsidRDefault="00921721" w:rsidP="00880D09">
            <w:pPr>
              <w:spacing w:before="240"/>
              <w:jc w:val="both"/>
              <w:rPr>
                <w:rFonts w:asciiTheme="minorHAnsi" w:hAnsiTheme="minorHAnsi"/>
                <w:sz w:val="20"/>
                <w:lang w:eastAsia="en-US"/>
              </w:rPr>
            </w:pPr>
          </w:p>
          <w:tbl>
            <w:tblPr>
              <w:tblW w:w="5784" w:type="dxa"/>
              <w:tblLayout w:type="fixed"/>
              <w:tblLook w:val="04A0" w:firstRow="1" w:lastRow="0" w:firstColumn="1" w:lastColumn="0" w:noHBand="0" w:noVBand="1"/>
            </w:tblPr>
            <w:tblGrid>
              <w:gridCol w:w="1137"/>
              <w:gridCol w:w="2331"/>
              <w:gridCol w:w="2316"/>
            </w:tblGrid>
            <w:tr w:rsidR="00921721" w:rsidRPr="00731E4E" w14:paraId="45B6734A" w14:textId="77777777" w:rsidTr="00880D09">
              <w:trPr>
                <w:trHeight w:hRule="exact" w:val="754"/>
              </w:trPr>
              <w:tc>
                <w:tcPr>
                  <w:tcW w:w="1137"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D3EBF2B"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Prędkość</w:t>
                  </w:r>
                </w:p>
                <w:p w14:paraId="1B38B668"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69BA68E7"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647"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F575DCE"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Jednostkowe koszty eksploatacji pojazdów – PLN/</w:t>
                  </w:r>
                  <w:proofErr w:type="spellStart"/>
                  <w:r w:rsidRPr="00731E4E">
                    <w:rPr>
                      <w:rFonts w:asciiTheme="minorHAnsi" w:hAnsiTheme="minorHAnsi" w:cs="Arial"/>
                      <w:b/>
                      <w:bCs/>
                      <w:color w:val="FFFFFF"/>
                      <w:sz w:val="18"/>
                      <w:szCs w:val="18"/>
                    </w:rPr>
                    <w:t>poj</w:t>
                  </w:r>
                  <w:proofErr w:type="spellEnd"/>
                  <w:r w:rsidRPr="00731E4E">
                    <w:rPr>
                      <w:rFonts w:asciiTheme="minorHAnsi" w:hAnsiTheme="minorHAnsi" w:cs="Arial"/>
                      <w:b/>
                      <w:bCs/>
                      <w:color w:val="FFFFFF"/>
                      <w:sz w:val="18"/>
                      <w:szCs w:val="18"/>
                    </w:rPr>
                    <w:t>-km – teren płaski (nawierzchnia po remoncie/</w:t>
                  </w:r>
                  <w:r>
                    <w:rPr>
                      <w:rFonts w:asciiTheme="minorHAnsi" w:hAnsiTheme="minorHAnsi" w:cs="Arial"/>
                      <w:b/>
                      <w:bCs/>
                      <w:color w:val="FFFFFF"/>
                      <w:sz w:val="18"/>
                      <w:szCs w:val="18"/>
                    </w:rPr>
                    <w:t xml:space="preserve"> </w:t>
                  </w:r>
                  <w:r w:rsidRPr="00731E4E">
                    <w:rPr>
                      <w:rFonts w:asciiTheme="minorHAnsi" w:hAnsiTheme="minorHAnsi" w:cs="Arial"/>
                      <w:b/>
                      <w:bCs/>
                      <w:color w:val="FFFFFF"/>
                      <w:sz w:val="18"/>
                      <w:szCs w:val="18"/>
                    </w:rPr>
                    <w:t>budowie)</w:t>
                  </w:r>
                </w:p>
              </w:tc>
            </w:tr>
            <w:tr w:rsidR="00921721" w:rsidRPr="00731E4E" w14:paraId="43FF4117" w14:textId="77777777" w:rsidTr="00880D09">
              <w:trPr>
                <w:trHeight w:hRule="exact" w:val="544"/>
              </w:trPr>
              <w:tc>
                <w:tcPr>
                  <w:tcW w:w="1137"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371B45B" w14:textId="77777777" w:rsidR="00921721" w:rsidRPr="00731E4E" w:rsidRDefault="00921721" w:rsidP="00880D09">
                  <w:pPr>
                    <w:jc w:val="center"/>
                    <w:rPr>
                      <w:rFonts w:asciiTheme="minorHAnsi" w:hAnsiTheme="minorHAnsi" w:cs="Arial"/>
                      <w:b/>
                      <w:bCs/>
                      <w:color w:val="FFFFFF"/>
                      <w:sz w:val="18"/>
                      <w:szCs w:val="18"/>
                    </w:rPr>
                  </w:pPr>
                </w:p>
              </w:tc>
              <w:tc>
                <w:tcPr>
                  <w:tcW w:w="233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20ABB3"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231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C67C50C"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HGV</w:t>
                  </w:r>
                </w:p>
              </w:tc>
            </w:tr>
            <w:tr w:rsidR="00921721" w:rsidRPr="00731E4E" w14:paraId="05B4F10C"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70E021" w14:textId="77777777" w:rsidR="00921721" w:rsidRPr="00521591" w:rsidRDefault="00921721" w:rsidP="00880D09">
                  <w:pPr>
                    <w:spacing w:before="20"/>
                    <w:jc w:val="center"/>
                    <w:rPr>
                      <w:rFonts w:asciiTheme="minorHAnsi" w:hAnsiTheme="minorHAnsi" w:cs="Calibri"/>
                      <w:color w:val="4F81BD" w:themeColor="accent1"/>
                      <w:sz w:val="18"/>
                      <w:szCs w:val="18"/>
                    </w:rPr>
                  </w:pPr>
                  <w:r w:rsidRPr="00521591">
                    <w:rPr>
                      <w:rFonts w:asciiTheme="minorHAnsi" w:hAnsiTheme="minorHAnsi" w:cs="Arial"/>
                      <w:color w:val="4F81BD" w:themeColor="accent1"/>
                      <w:sz w:val="18"/>
                      <w:szCs w:val="18"/>
                    </w:rPr>
                    <w:t>0-10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53247C"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406</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AB825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978</w:t>
                  </w:r>
                </w:p>
              </w:tc>
            </w:tr>
            <w:tr w:rsidR="00921721" w:rsidRPr="00731E4E" w14:paraId="75C100CF"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9002E0"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11-20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4CAF09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7D9B71"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303</w:t>
                  </w:r>
                </w:p>
              </w:tc>
            </w:tr>
            <w:tr w:rsidR="00921721" w:rsidRPr="00731E4E" w14:paraId="251F421F"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48FF56"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21-30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783CB6"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098</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BE1457"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100</w:t>
                  </w:r>
                </w:p>
              </w:tc>
            </w:tr>
            <w:tr w:rsidR="00921721" w:rsidRPr="00731E4E" w14:paraId="068DE022"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38640C"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31-40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62F074"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044</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AF9903"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997</w:t>
                  </w:r>
                </w:p>
              </w:tc>
            </w:tr>
            <w:tr w:rsidR="00921721" w:rsidRPr="00731E4E" w14:paraId="75BC5325"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DC3C3D"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41-50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FFB95E"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009</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771061"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940</w:t>
                  </w:r>
                </w:p>
              </w:tc>
            </w:tr>
            <w:tr w:rsidR="00921721" w:rsidRPr="00731E4E" w14:paraId="357BF3BD"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CEA096"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51-60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5F374EF"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985</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7D9B184"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910</w:t>
                  </w:r>
                </w:p>
              </w:tc>
            </w:tr>
            <w:tr w:rsidR="00921721" w:rsidRPr="00731E4E" w14:paraId="23F055A8"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426AE1"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61-70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20B360B"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970</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252B05"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896</w:t>
                  </w:r>
                </w:p>
              </w:tc>
            </w:tr>
            <w:tr w:rsidR="00921721" w:rsidRPr="00731E4E" w14:paraId="4C63BBA8"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12C4A7"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71-80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90F2478"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962</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F6D55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892</w:t>
                  </w:r>
                </w:p>
              </w:tc>
            </w:tr>
            <w:tr w:rsidR="00921721" w:rsidRPr="00731E4E" w14:paraId="16C389D8"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22ED55"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81-90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BF78C6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959</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D3146E"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896</w:t>
                  </w:r>
                </w:p>
              </w:tc>
            </w:tr>
            <w:tr w:rsidR="00921721" w:rsidRPr="00731E4E" w14:paraId="3D332877"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8BDAB0"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91-100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518D1F"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962</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9FA96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912</w:t>
                  </w:r>
                </w:p>
              </w:tc>
            </w:tr>
            <w:tr w:rsidR="00921721" w:rsidRPr="00731E4E" w14:paraId="4ECD4369"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A438B7"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101-110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20BC5E"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969</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E72D9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982</w:t>
                  </w:r>
                </w:p>
              </w:tc>
            </w:tr>
            <w:tr w:rsidR="00921721" w:rsidRPr="00731E4E" w14:paraId="78C01C30"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A00483"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111-120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D9E89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981</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EBD8C66"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051</w:t>
                  </w:r>
                </w:p>
              </w:tc>
            </w:tr>
            <w:tr w:rsidR="00921721" w:rsidRPr="00731E4E" w14:paraId="504C662C"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065671"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121-130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72F3AB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996</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9ED5114"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120</w:t>
                  </w:r>
                </w:p>
              </w:tc>
            </w:tr>
            <w:tr w:rsidR="00921721" w:rsidRPr="00731E4E" w14:paraId="4C9679AC"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DF89422"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131-140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579046"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015</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E46C8E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189</w:t>
                  </w:r>
                </w:p>
              </w:tc>
            </w:tr>
          </w:tbl>
          <w:p w14:paraId="43C68BF5" w14:textId="77777777" w:rsidR="00921721" w:rsidRPr="00731E4E"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t>
            </w:r>
            <w:r>
              <w:rPr>
                <w:rFonts w:asciiTheme="minorHAnsi" w:hAnsiTheme="minorHAnsi" w:cs="Arial"/>
                <w:b/>
                <w:i/>
                <w:sz w:val="16"/>
                <w:szCs w:val="16"/>
              </w:rPr>
              <w:t xml:space="preserve">własne </w:t>
            </w:r>
            <w:r w:rsidRPr="00983DF9">
              <w:rPr>
                <w:rFonts w:asciiTheme="minorHAnsi" w:hAnsiTheme="minorHAnsi" w:cs="Arial"/>
                <w:b/>
                <w:i/>
                <w:sz w:val="16"/>
                <w:szCs w:val="16"/>
              </w:rPr>
              <w:t>CUPT-JASPERS</w:t>
            </w:r>
            <w:r>
              <w:rPr>
                <w:rFonts w:asciiTheme="minorHAnsi" w:hAnsiTheme="minorHAnsi" w:cs="Arial"/>
                <w:b/>
                <w:i/>
                <w:sz w:val="16"/>
                <w:szCs w:val="16"/>
              </w:rPr>
              <w:t>,</w:t>
            </w:r>
            <w:r w:rsidRPr="00983DF9">
              <w:rPr>
                <w:rFonts w:asciiTheme="minorHAnsi" w:hAnsiTheme="minorHAnsi" w:cs="Arial"/>
                <w:b/>
                <w:i/>
                <w:sz w:val="16"/>
                <w:szCs w:val="16"/>
              </w:rPr>
              <w:t xml:space="preserve"> </w:t>
            </w:r>
            <w:r>
              <w:rPr>
                <w:rFonts w:asciiTheme="minorHAnsi" w:hAnsiTheme="minorHAnsi" w:cs="Arial"/>
                <w:b/>
                <w:i/>
                <w:sz w:val="16"/>
                <w:szCs w:val="16"/>
              </w:rPr>
              <w:t>szczegóły w załączniku D.</w:t>
            </w:r>
          </w:p>
          <w:p w14:paraId="32F412FE" w14:textId="77777777" w:rsidR="00921721" w:rsidRDefault="00921721" w:rsidP="00880D09">
            <w:pPr>
              <w:ind w:right="170"/>
              <w:jc w:val="both"/>
              <w:rPr>
                <w:rFonts w:asciiTheme="minorHAnsi" w:hAnsiTheme="minorHAnsi" w:cs="Arial"/>
                <w:b/>
                <w:i/>
                <w:sz w:val="16"/>
                <w:szCs w:val="16"/>
              </w:rPr>
            </w:pPr>
          </w:p>
          <w:p w14:paraId="58895DB5" w14:textId="77777777" w:rsidR="00921721" w:rsidRDefault="00921721" w:rsidP="00880D09">
            <w:pPr>
              <w:ind w:right="170"/>
              <w:jc w:val="both"/>
              <w:rPr>
                <w:rFonts w:asciiTheme="minorHAnsi" w:hAnsiTheme="minorHAnsi" w:cs="Arial"/>
                <w:b/>
                <w:i/>
                <w:sz w:val="16"/>
                <w:szCs w:val="16"/>
              </w:rPr>
            </w:pPr>
          </w:p>
          <w:p w14:paraId="28DCD4E1" w14:textId="77777777" w:rsidR="00921721" w:rsidRDefault="00921721" w:rsidP="00880D09">
            <w:pPr>
              <w:ind w:right="170"/>
              <w:jc w:val="both"/>
              <w:rPr>
                <w:rFonts w:asciiTheme="minorHAnsi" w:hAnsiTheme="minorHAnsi" w:cs="Arial"/>
                <w:b/>
                <w:i/>
                <w:sz w:val="16"/>
                <w:szCs w:val="16"/>
              </w:rPr>
            </w:pPr>
          </w:p>
          <w:p w14:paraId="3ADF7356" w14:textId="77777777" w:rsidR="00921721" w:rsidRDefault="00921721" w:rsidP="00880D09">
            <w:pPr>
              <w:ind w:right="170"/>
              <w:jc w:val="both"/>
              <w:rPr>
                <w:rFonts w:asciiTheme="minorHAnsi" w:hAnsiTheme="minorHAnsi" w:cs="Arial"/>
                <w:b/>
                <w:i/>
                <w:sz w:val="16"/>
                <w:szCs w:val="16"/>
              </w:rPr>
            </w:pPr>
          </w:p>
          <w:p w14:paraId="29587B8B" w14:textId="77777777" w:rsidR="00921721" w:rsidRDefault="00921721" w:rsidP="00880D09">
            <w:pPr>
              <w:ind w:right="170"/>
              <w:jc w:val="both"/>
              <w:rPr>
                <w:rFonts w:asciiTheme="minorHAnsi" w:hAnsiTheme="minorHAnsi" w:cs="Arial"/>
                <w:b/>
                <w:i/>
                <w:sz w:val="16"/>
                <w:szCs w:val="16"/>
              </w:rPr>
            </w:pPr>
          </w:p>
          <w:p w14:paraId="42883A0B" w14:textId="77777777" w:rsidR="00921721" w:rsidRDefault="00921721" w:rsidP="00880D09">
            <w:pPr>
              <w:ind w:right="170"/>
              <w:jc w:val="both"/>
              <w:rPr>
                <w:rFonts w:asciiTheme="minorHAnsi" w:hAnsiTheme="minorHAnsi" w:cs="Arial"/>
                <w:b/>
                <w:i/>
                <w:sz w:val="16"/>
                <w:szCs w:val="16"/>
              </w:rPr>
            </w:pPr>
          </w:p>
          <w:p w14:paraId="7F279AD3" w14:textId="77777777" w:rsidR="00921721" w:rsidRPr="00731E4E" w:rsidRDefault="00921721" w:rsidP="00880D09">
            <w:pPr>
              <w:ind w:right="170"/>
              <w:jc w:val="both"/>
              <w:rPr>
                <w:rFonts w:asciiTheme="minorHAnsi" w:hAnsiTheme="minorHAnsi" w:cs="Arial"/>
                <w:b/>
                <w:i/>
                <w:sz w:val="16"/>
                <w:szCs w:val="16"/>
              </w:rPr>
            </w:pPr>
          </w:p>
          <w:tbl>
            <w:tblPr>
              <w:tblW w:w="5955" w:type="dxa"/>
              <w:tblLayout w:type="fixed"/>
              <w:tblLook w:val="04A0" w:firstRow="1" w:lastRow="0" w:firstColumn="1" w:lastColumn="0" w:noHBand="0" w:noVBand="1"/>
            </w:tblPr>
            <w:tblGrid>
              <w:gridCol w:w="1577"/>
              <w:gridCol w:w="2067"/>
              <w:gridCol w:w="2311"/>
            </w:tblGrid>
            <w:tr w:rsidR="00921721" w:rsidRPr="00731E4E" w14:paraId="10131D4E" w14:textId="77777777" w:rsidTr="00880D09">
              <w:trPr>
                <w:trHeight w:hRule="exact" w:val="555"/>
              </w:trPr>
              <w:tc>
                <w:tcPr>
                  <w:tcW w:w="1577"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D6B80E5"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lastRenderedPageBreak/>
                    <w:t>Prędkość</w:t>
                  </w:r>
                </w:p>
                <w:p w14:paraId="103CAEEE"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030F9CDB"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378"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9014079"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Jednostkowe koszty eksploatacji pojazdów – PLN/</w:t>
                  </w:r>
                  <w:proofErr w:type="spellStart"/>
                  <w:r w:rsidRPr="00731E4E">
                    <w:rPr>
                      <w:rFonts w:asciiTheme="minorHAnsi" w:hAnsiTheme="minorHAnsi" w:cs="Arial"/>
                      <w:b/>
                      <w:bCs/>
                      <w:color w:val="FFFFFF"/>
                      <w:sz w:val="18"/>
                      <w:szCs w:val="18"/>
                    </w:rPr>
                    <w:t>poj</w:t>
                  </w:r>
                  <w:proofErr w:type="spellEnd"/>
                  <w:r w:rsidRPr="00731E4E">
                    <w:rPr>
                      <w:rFonts w:asciiTheme="minorHAnsi" w:hAnsiTheme="minorHAnsi" w:cs="Arial"/>
                      <w:b/>
                      <w:bCs/>
                      <w:color w:val="FFFFFF"/>
                      <w:sz w:val="18"/>
                      <w:szCs w:val="18"/>
                    </w:rPr>
                    <w:t>-km – teren płaski (nawierzchnia zdegradowana)</w:t>
                  </w:r>
                </w:p>
              </w:tc>
            </w:tr>
            <w:tr w:rsidR="00921721" w:rsidRPr="00731E4E" w14:paraId="24C2CEBE" w14:textId="77777777" w:rsidTr="00880D09">
              <w:trPr>
                <w:trHeight w:hRule="exact" w:val="311"/>
              </w:trPr>
              <w:tc>
                <w:tcPr>
                  <w:tcW w:w="1577"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857FE69" w14:textId="77777777" w:rsidR="00921721" w:rsidRPr="00731E4E" w:rsidRDefault="00921721" w:rsidP="00880D09">
                  <w:pPr>
                    <w:jc w:val="center"/>
                    <w:rPr>
                      <w:rFonts w:asciiTheme="minorHAnsi" w:hAnsiTheme="minorHAnsi" w:cs="Arial"/>
                      <w:b/>
                      <w:bCs/>
                      <w:color w:val="FFFFFF"/>
                      <w:sz w:val="18"/>
                      <w:szCs w:val="18"/>
                    </w:rPr>
                  </w:pPr>
                </w:p>
              </w:tc>
              <w:tc>
                <w:tcPr>
                  <w:tcW w:w="206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2C7DEDE"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LV</w:t>
                  </w:r>
                </w:p>
              </w:tc>
              <w:tc>
                <w:tcPr>
                  <w:tcW w:w="231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BDCF33"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HGV</w:t>
                  </w:r>
                </w:p>
              </w:tc>
            </w:tr>
            <w:tr w:rsidR="00921721" w:rsidRPr="00731E4E" w14:paraId="4CFA075D"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820233" w14:textId="77777777" w:rsidR="00921721" w:rsidRPr="006854F1" w:rsidRDefault="00921721" w:rsidP="00880D09">
                  <w:pPr>
                    <w:spacing w:before="20"/>
                    <w:jc w:val="center"/>
                    <w:rPr>
                      <w:rFonts w:asciiTheme="minorHAnsi" w:hAnsiTheme="minorHAnsi" w:cs="Calibri"/>
                      <w:color w:val="4F81BD" w:themeColor="accent1"/>
                      <w:sz w:val="18"/>
                      <w:szCs w:val="18"/>
                    </w:rPr>
                  </w:pPr>
                  <w:r w:rsidRPr="006854F1">
                    <w:rPr>
                      <w:rFonts w:asciiTheme="minorHAnsi" w:hAnsiTheme="minorHAnsi" w:cs="Arial"/>
                      <w:color w:val="4F81BD" w:themeColor="accent1"/>
                      <w:sz w:val="18"/>
                      <w:szCs w:val="18"/>
                    </w:rPr>
                    <w:t>0-10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9B3AB0"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565</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C275BD0"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350</w:t>
                  </w:r>
                </w:p>
              </w:tc>
            </w:tr>
            <w:tr w:rsidR="00921721" w:rsidRPr="00731E4E" w14:paraId="7DC20594"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F95B98"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11-20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3BA3C5"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069655"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591</w:t>
                  </w:r>
                </w:p>
              </w:tc>
            </w:tr>
            <w:tr w:rsidR="00921721" w:rsidRPr="00731E4E" w14:paraId="5A335061"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75D02A4"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21-30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3B1B6D"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4981A3D"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362</w:t>
                  </w:r>
                </w:p>
              </w:tc>
            </w:tr>
            <w:tr w:rsidR="00921721" w:rsidRPr="00731E4E" w14:paraId="094298DB"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9F783E"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31-40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D4EF03"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E2361C"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246</w:t>
                  </w:r>
                </w:p>
              </w:tc>
            </w:tr>
            <w:tr w:rsidR="00921721" w:rsidRPr="00731E4E" w14:paraId="1E27A8A6"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AEEC460"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41-50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F08745"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A822739"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182</w:t>
                  </w:r>
                </w:p>
              </w:tc>
            </w:tr>
            <w:tr w:rsidR="00921721" w:rsidRPr="00731E4E" w14:paraId="2D5BA89C"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7DB434"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51-60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772F2B"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114</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6595D4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r w:rsidR="00921721" w:rsidRPr="00731E4E" w14:paraId="0346E1D3"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603746"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61-70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3540A8"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115</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FE7121"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212</w:t>
                  </w:r>
                </w:p>
              </w:tc>
            </w:tr>
            <w:tr w:rsidR="00921721" w:rsidRPr="00731E4E" w14:paraId="550C5C8E"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51FF3E"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71-80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1B9D21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124</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0BD30F7"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246</w:t>
                  </w:r>
                </w:p>
              </w:tc>
            </w:tr>
            <w:tr w:rsidR="00921721" w:rsidRPr="00731E4E" w14:paraId="5B7DA2B1"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4791D8"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81-90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B2F8A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139</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F97801"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291</w:t>
                  </w:r>
                </w:p>
              </w:tc>
            </w:tr>
            <w:tr w:rsidR="00921721" w:rsidRPr="00731E4E" w14:paraId="7DE254C0"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D74287"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91-100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6203A4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160</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D681B0B"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351</w:t>
                  </w:r>
                </w:p>
              </w:tc>
            </w:tr>
            <w:tr w:rsidR="00921721" w:rsidRPr="00731E4E" w14:paraId="437A8552"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DA4F32"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101-110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81D1E56"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187</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2195BF"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477</w:t>
                  </w:r>
                </w:p>
              </w:tc>
            </w:tr>
            <w:tr w:rsidR="00921721" w:rsidRPr="00731E4E" w14:paraId="266ED61A"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5978D3"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111-120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7D0EEB"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201</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B2262A"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564</w:t>
                  </w:r>
                </w:p>
              </w:tc>
            </w:tr>
            <w:tr w:rsidR="00921721" w:rsidRPr="00731E4E" w14:paraId="6732414E"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1869CF"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121-130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9FCCD2"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220</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81449E"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650</w:t>
                  </w:r>
                </w:p>
              </w:tc>
            </w:tr>
            <w:tr w:rsidR="00921721" w:rsidRPr="00731E4E" w14:paraId="6D305B63"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003A5C"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131-140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CB99EA"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243</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2DC6C37"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737</w:t>
                  </w:r>
                </w:p>
              </w:tc>
            </w:tr>
          </w:tbl>
          <w:p w14:paraId="732EC3E5" w14:textId="77777777" w:rsidR="00921721" w:rsidRPr="00731E4E"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8E4306">
              <w:rPr>
                <w:rFonts w:asciiTheme="minorHAnsi" w:hAnsiTheme="minorHAnsi" w:cs="Arial"/>
                <w:b/>
                <w:i/>
                <w:sz w:val="16"/>
                <w:szCs w:val="16"/>
              </w:rPr>
              <w:t>CUPT-JASPERS</w:t>
            </w:r>
            <w:r>
              <w:rPr>
                <w:rFonts w:asciiTheme="minorHAnsi" w:hAnsiTheme="minorHAnsi" w:cs="Arial"/>
                <w:b/>
                <w:i/>
                <w:sz w:val="16"/>
                <w:szCs w:val="16"/>
              </w:rPr>
              <w:t>,</w:t>
            </w:r>
            <w:r w:rsidRPr="008E4306">
              <w:rPr>
                <w:rFonts w:asciiTheme="minorHAnsi" w:hAnsiTheme="minorHAnsi" w:cs="Arial"/>
                <w:b/>
                <w:i/>
                <w:sz w:val="16"/>
                <w:szCs w:val="16"/>
              </w:rPr>
              <w:t xml:space="preserve"> </w:t>
            </w:r>
            <w:r>
              <w:rPr>
                <w:rFonts w:asciiTheme="minorHAnsi" w:hAnsiTheme="minorHAnsi" w:cs="Arial"/>
                <w:b/>
                <w:i/>
                <w:sz w:val="16"/>
                <w:szCs w:val="16"/>
              </w:rPr>
              <w:t>szczegóły w załączniku D.</w:t>
            </w:r>
          </w:p>
          <w:p w14:paraId="641E2DC9" w14:textId="77777777" w:rsidR="00921721"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Wskaźniki wzrostu kosztów eksploatacji ze względu na nachylenie drogi</w:t>
            </w:r>
            <w:r w:rsidRPr="00D4006A">
              <w:rPr>
                <w:rFonts w:asciiTheme="minorHAnsi" w:hAnsiTheme="minorHAnsi"/>
                <w:lang w:eastAsia="en-US"/>
              </w:rPr>
              <w:t xml:space="preserve"> </w:t>
            </w:r>
            <w:r w:rsidRPr="00C22769">
              <w:rPr>
                <w:rFonts w:asciiTheme="minorHAnsi" w:hAnsiTheme="minorHAnsi"/>
                <w:lang w:eastAsia="en-US"/>
              </w:rPr>
              <w:t>dla pojazdów spalinowych</w:t>
            </w:r>
            <w:r w:rsidRPr="00D4006A">
              <w:rPr>
                <w:lang w:eastAsia="en-US"/>
              </w:rPr>
              <w:t>.</w:t>
            </w:r>
            <w:r w:rsidRPr="00D4006A">
              <w:rPr>
                <w:rFonts w:asciiTheme="minorHAnsi" w:hAnsiTheme="minorHAnsi"/>
                <w:lang w:eastAsia="en-US"/>
              </w:rPr>
              <w:t xml:space="preserve"> </w:t>
            </w:r>
            <w:r w:rsidRPr="00C22769">
              <w:rPr>
                <w:rFonts w:asciiTheme="minorHAnsi" w:hAnsiTheme="minorHAnsi"/>
                <w:lang w:eastAsia="en-US"/>
              </w:rPr>
              <w:t>Mnożniki te mają zastosowanie do łącznych VOC:</w:t>
            </w:r>
          </w:p>
          <w:p w14:paraId="74CF7320" w14:textId="77777777" w:rsidR="00921721" w:rsidRPr="00731E4E" w:rsidRDefault="00921721" w:rsidP="00880D09">
            <w:pPr>
              <w:pStyle w:val="anxnormal"/>
              <w:spacing w:after="120"/>
              <w:ind w:left="0"/>
              <w:rPr>
                <w:rFonts w:asciiTheme="minorHAnsi" w:hAnsiTheme="minorHAnsi"/>
                <w:lang w:eastAsia="en-US"/>
              </w:rPr>
            </w:pPr>
          </w:p>
          <w:tbl>
            <w:tblPr>
              <w:tblW w:w="3296" w:type="dxa"/>
              <w:tblLayout w:type="fixed"/>
              <w:tblLook w:val="04A0" w:firstRow="1" w:lastRow="0" w:firstColumn="1" w:lastColumn="0" w:noHBand="0" w:noVBand="1"/>
            </w:tblPr>
            <w:tblGrid>
              <w:gridCol w:w="1750"/>
              <w:gridCol w:w="645"/>
              <w:gridCol w:w="901"/>
            </w:tblGrid>
            <w:tr w:rsidR="00921721" w:rsidRPr="00731E4E" w14:paraId="0C8802ED" w14:textId="77777777" w:rsidTr="00880D09">
              <w:trPr>
                <w:trHeight w:hRule="exact" w:val="309"/>
              </w:trPr>
              <w:tc>
                <w:tcPr>
                  <w:tcW w:w="17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5807D2C"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64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D4EE637"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6E28EAB"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HGV</w:t>
                  </w:r>
                </w:p>
              </w:tc>
            </w:tr>
            <w:tr w:rsidR="00921721" w:rsidRPr="00731E4E" w14:paraId="2242EE55" w14:textId="77777777" w:rsidTr="00880D09">
              <w:trPr>
                <w:trHeight w:val="258"/>
              </w:trPr>
              <w:tc>
                <w:tcPr>
                  <w:tcW w:w="175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E4F88A" w14:textId="77777777" w:rsidR="00921721" w:rsidRPr="006854F1"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64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1FBA0C"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331381F"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64790D2F" w14:textId="77777777" w:rsidTr="00880D09">
              <w:trPr>
                <w:trHeight w:val="258"/>
              </w:trPr>
              <w:tc>
                <w:tcPr>
                  <w:tcW w:w="175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BDEA06"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Faliste</w:t>
                  </w:r>
                </w:p>
              </w:tc>
              <w:tc>
                <w:tcPr>
                  <w:tcW w:w="64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C7DC65"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032</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5EDE0B"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200</w:t>
                  </w:r>
                </w:p>
              </w:tc>
            </w:tr>
          </w:tbl>
          <w:p w14:paraId="12FB9EF7" w14:textId="77777777" w:rsidR="00921721"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8E4306">
              <w:rPr>
                <w:rFonts w:asciiTheme="minorHAnsi" w:hAnsiTheme="minorHAnsi" w:cs="Arial"/>
                <w:b/>
                <w:i/>
                <w:sz w:val="16"/>
                <w:szCs w:val="16"/>
              </w:rPr>
              <w:t>CUPT-JASPERS</w:t>
            </w:r>
            <w:r>
              <w:rPr>
                <w:rFonts w:asciiTheme="minorHAnsi" w:hAnsiTheme="minorHAnsi" w:cs="Arial"/>
                <w:b/>
                <w:i/>
                <w:sz w:val="16"/>
                <w:szCs w:val="16"/>
              </w:rPr>
              <w:t>,</w:t>
            </w:r>
            <w:r w:rsidRPr="008E4306">
              <w:rPr>
                <w:rFonts w:asciiTheme="minorHAnsi" w:hAnsiTheme="minorHAnsi" w:cs="Arial"/>
                <w:b/>
                <w:i/>
                <w:sz w:val="16"/>
                <w:szCs w:val="16"/>
              </w:rPr>
              <w:t xml:space="preserve"> </w:t>
            </w:r>
            <w:r>
              <w:rPr>
                <w:rFonts w:asciiTheme="minorHAnsi" w:hAnsiTheme="minorHAnsi" w:cs="Arial"/>
                <w:b/>
                <w:i/>
                <w:sz w:val="16"/>
                <w:szCs w:val="16"/>
              </w:rPr>
              <w:t>szczegóły w załączniku D</w:t>
            </w:r>
          </w:p>
          <w:p w14:paraId="5A0E29DE" w14:textId="77777777" w:rsidR="00921721" w:rsidRDefault="00921721" w:rsidP="00880D09">
            <w:pPr>
              <w:pStyle w:val="anxnormal"/>
              <w:spacing w:after="120"/>
              <w:ind w:left="0"/>
              <w:rPr>
                <w:rFonts w:asciiTheme="minorHAnsi" w:hAnsiTheme="minorHAnsi"/>
                <w:lang w:eastAsia="en-US"/>
              </w:rPr>
            </w:pPr>
            <w:r>
              <w:rPr>
                <w:rFonts w:asciiTheme="minorHAnsi" w:hAnsiTheme="minorHAnsi"/>
                <w:lang w:eastAsia="en-US"/>
              </w:rPr>
              <w:t>Nie </w:t>
            </w:r>
            <w:r w:rsidRPr="00D04EFD">
              <w:rPr>
                <w:rFonts w:asciiTheme="minorHAnsi" w:hAnsiTheme="minorHAnsi"/>
                <w:lang w:eastAsia="en-US"/>
              </w:rPr>
              <w:t>są przedstawione współczynniki dl</w:t>
            </w:r>
            <w:r>
              <w:rPr>
                <w:rFonts w:asciiTheme="minorHAnsi" w:hAnsiTheme="minorHAnsi"/>
                <w:lang w:eastAsia="en-US"/>
              </w:rPr>
              <w:t>a dróg w terenie górskim, tj. o </w:t>
            </w:r>
            <w:r w:rsidRPr="00D04EFD">
              <w:rPr>
                <w:rFonts w:asciiTheme="minorHAnsi" w:hAnsiTheme="minorHAnsi"/>
                <w:lang w:eastAsia="en-US"/>
              </w:rPr>
              <w:t xml:space="preserve">nachyleniu podłużnym powyżej 6%, ponieważ </w:t>
            </w:r>
            <w:r>
              <w:rPr>
                <w:rFonts w:asciiTheme="minorHAnsi" w:hAnsiTheme="minorHAnsi"/>
                <w:lang w:eastAsia="en-US"/>
              </w:rPr>
              <w:t>nie </w:t>
            </w:r>
            <w:r w:rsidRPr="00D04EFD">
              <w:rPr>
                <w:rFonts w:asciiTheme="minorHAnsi" w:hAnsiTheme="minorHAnsi"/>
                <w:lang w:eastAsia="en-US"/>
              </w:rPr>
              <w:t>mają one istotnego znaczenia dl</w:t>
            </w:r>
            <w:r>
              <w:rPr>
                <w:rFonts w:asciiTheme="minorHAnsi" w:hAnsiTheme="minorHAnsi"/>
                <w:lang w:eastAsia="en-US"/>
              </w:rPr>
              <w:t>a oceny ekonomicznych kosztów i </w:t>
            </w:r>
            <w:r w:rsidRPr="00D04EFD">
              <w:rPr>
                <w:rFonts w:asciiTheme="minorHAnsi" w:hAnsiTheme="minorHAnsi"/>
                <w:lang w:eastAsia="en-US"/>
              </w:rPr>
              <w:t>korzyści projektów</w:t>
            </w:r>
            <w:r>
              <w:rPr>
                <w:rFonts w:asciiTheme="minorHAnsi" w:hAnsiTheme="minorHAnsi"/>
                <w:lang w:eastAsia="en-US"/>
              </w:rPr>
              <w:t xml:space="preserve"> transportowych realizowanych w Polsce. Na przykład, autostrady i drogi ekspresowe (kategorie A i S) z zasady nie są projektowane w </w:t>
            </w:r>
            <w:r w:rsidRPr="00D04EFD">
              <w:rPr>
                <w:rFonts w:asciiTheme="minorHAnsi" w:hAnsiTheme="minorHAnsi"/>
                <w:lang w:eastAsia="en-US"/>
              </w:rPr>
              <w:t>kon</w:t>
            </w:r>
            <w:r>
              <w:rPr>
                <w:rFonts w:asciiTheme="minorHAnsi" w:hAnsiTheme="minorHAnsi"/>
                <w:lang w:eastAsia="en-US"/>
              </w:rPr>
              <w:t>figuracji „teren górski”, tj. z </w:t>
            </w:r>
            <w:r w:rsidRPr="00D04EFD">
              <w:rPr>
                <w:rFonts w:asciiTheme="minorHAnsi" w:hAnsiTheme="minorHAnsi"/>
                <w:lang w:eastAsia="en-US"/>
              </w:rPr>
              <w:t>nachyleniem podłużnym powyżej 6%.</w:t>
            </w:r>
          </w:p>
          <w:p w14:paraId="6C691611" w14:textId="77777777" w:rsidR="00921721" w:rsidRDefault="00921721" w:rsidP="00880D09">
            <w:pPr>
              <w:pStyle w:val="anxnormal"/>
              <w:spacing w:after="120"/>
              <w:ind w:left="0"/>
              <w:rPr>
                <w:rFonts w:asciiTheme="minorHAnsi" w:hAnsiTheme="minorHAnsi"/>
                <w:lang w:eastAsia="en-US"/>
              </w:rPr>
            </w:pPr>
          </w:p>
          <w:p w14:paraId="16808403" w14:textId="77777777" w:rsidR="00921721" w:rsidRPr="00D04EFD" w:rsidRDefault="00921721" w:rsidP="00880D09">
            <w:pPr>
              <w:pStyle w:val="anxnormal"/>
              <w:spacing w:after="120"/>
              <w:ind w:left="0"/>
              <w:rPr>
                <w:rFonts w:asciiTheme="minorHAnsi" w:hAnsiTheme="minorHAnsi"/>
                <w:lang w:eastAsia="en-US"/>
              </w:rPr>
            </w:pPr>
          </w:p>
          <w:p w14:paraId="5B55280D" w14:textId="77777777" w:rsidR="00921721" w:rsidRPr="00921721" w:rsidRDefault="00921721" w:rsidP="00880D09">
            <w:pPr>
              <w:pStyle w:val="anxnormal"/>
              <w:spacing w:before="240" w:after="120"/>
              <w:ind w:left="0"/>
              <w:rPr>
                <w:rFonts w:asciiTheme="minorHAnsi" w:hAnsiTheme="minorHAnsi"/>
                <w:u w:val="single"/>
                <w:lang w:eastAsia="en-US"/>
              </w:rPr>
            </w:pPr>
            <w:bookmarkStart w:id="124" w:name="_Hlk69476227"/>
            <w:r w:rsidRPr="00921721">
              <w:rPr>
                <w:rFonts w:asciiTheme="minorHAnsi" w:hAnsiTheme="minorHAnsi"/>
                <w:u w:val="single"/>
                <w:lang w:eastAsia="en-US"/>
              </w:rPr>
              <w:lastRenderedPageBreak/>
              <w:t>Pojazdy elektryczne kategorii LV – koszty eksploatacji pojazdu</w:t>
            </w:r>
          </w:p>
          <w:p w14:paraId="6CEE6711" w14:textId="77777777" w:rsidR="00921721" w:rsidRPr="001569CA" w:rsidRDefault="00921721" w:rsidP="00880D09">
            <w:pPr>
              <w:pStyle w:val="anxnormal"/>
              <w:ind w:left="0"/>
              <w:rPr>
                <w:rFonts w:asciiTheme="minorHAnsi" w:hAnsiTheme="minorHAnsi"/>
                <w:lang w:eastAsia="en-US"/>
              </w:rPr>
            </w:pPr>
            <w:r>
              <w:rPr>
                <w:rFonts w:asciiTheme="minorHAnsi" w:hAnsiTheme="minorHAnsi"/>
                <w:lang w:eastAsia="en-US"/>
              </w:rPr>
              <w:t xml:space="preserve">Ponieważ </w:t>
            </w:r>
            <w:r w:rsidRPr="001569CA">
              <w:rPr>
                <w:rFonts w:asciiTheme="minorHAnsi" w:hAnsiTheme="minorHAnsi"/>
                <w:lang w:eastAsia="en-US"/>
              </w:rPr>
              <w:t xml:space="preserve">spodziewany </w:t>
            </w:r>
            <w:r>
              <w:rPr>
                <w:rFonts w:asciiTheme="minorHAnsi" w:hAnsiTheme="minorHAnsi"/>
                <w:lang w:eastAsia="en-US"/>
              </w:rPr>
              <w:t xml:space="preserve">jest </w:t>
            </w:r>
            <w:r w:rsidRPr="001569CA">
              <w:rPr>
                <w:rFonts w:asciiTheme="minorHAnsi" w:hAnsiTheme="minorHAnsi"/>
                <w:lang w:eastAsia="en-US"/>
              </w:rPr>
              <w:t>stały wzrost li</w:t>
            </w:r>
            <w:r>
              <w:rPr>
                <w:rFonts w:asciiTheme="minorHAnsi" w:hAnsiTheme="minorHAnsi"/>
                <w:lang w:eastAsia="en-US"/>
              </w:rPr>
              <w:t>czby samochodów elektrycznych w </w:t>
            </w:r>
            <w:r w:rsidRPr="001569CA">
              <w:rPr>
                <w:rFonts w:asciiTheme="minorHAnsi" w:hAnsiTheme="minorHAnsi"/>
                <w:lang w:eastAsia="en-US"/>
              </w:rPr>
              <w:t>polskiej flocie pojazdów drogowych, mus</w:t>
            </w:r>
            <w:r>
              <w:rPr>
                <w:rFonts w:asciiTheme="minorHAnsi" w:hAnsiTheme="minorHAnsi"/>
                <w:lang w:eastAsia="en-US"/>
              </w:rPr>
              <w:t>i to znaleźć odzwierciedlenie w </w:t>
            </w:r>
            <w:r w:rsidRPr="001569CA">
              <w:rPr>
                <w:rFonts w:asciiTheme="minorHAnsi" w:hAnsiTheme="minorHAnsi"/>
                <w:lang w:eastAsia="en-US"/>
              </w:rPr>
              <w:t>kosztach eksploatacji. Na koszty eksploatacji pojazdów elektrycznych składają się analogicznie:</w:t>
            </w:r>
          </w:p>
          <w:p w14:paraId="10F4EA0B" w14:textId="6CE00B46" w:rsidR="00921721" w:rsidRPr="001569CA" w:rsidRDefault="00921721" w:rsidP="00D5736B">
            <w:pPr>
              <w:pStyle w:val="anxnormal"/>
              <w:numPr>
                <w:ilvl w:val="0"/>
                <w:numId w:val="92"/>
              </w:numPr>
              <w:rPr>
                <w:rFonts w:asciiTheme="minorHAnsi" w:hAnsiTheme="minorHAnsi"/>
                <w:lang w:eastAsia="en-US"/>
              </w:rPr>
            </w:pPr>
            <w:r w:rsidRPr="001569CA">
              <w:rPr>
                <w:rFonts w:asciiTheme="minorHAnsi" w:hAnsiTheme="minorHAnsi"/>
                <w:lang w:eastAsia="en-US"/>
              </w:rPr>
              <w:t xml:space="preserve">Koszty zużycia energii elektrycznej: szacuje się, że średni wskaźnik zużycia dla przeciętnego pojazdu wynosi </w:t>
            </w:r>
            <w:r w:rsidRPr="001569CA">
              <w:rPr>
                <w:rFonts w:asciiTheme="minorHAnsi" w:hAnsiTheme="minorHAnsi"/>
              </w:rPr>
              <w:t>0</w:t>
            </w:r>
            <w:r>
              <w:rPr>
                <w:rFonts w:asciiTheme="minorHAnsi" w:hAnsiTheme="minorHAnsi"/>
              </w:rPr>
              <w:t>,</w:t>
            </w:r>
            <w:r w:rsidRPr="001569CA">
              <w:rPr>
                <w:rFonts w:asciiTheme="minorHAnsi" w:hAnsiTheme="minorHAnsi"/>
              </w:rPr>
              <w:t>233 kWh/</w:t>
            </w:r>
            <w:proofErr w:type="spellStart"/>
            <w:r w:rsidRPr="001569CA">
              <w:rPr>
                <w:rFonts w:asciiTheme="minorHAnsi" w:hAnsiTheme="minorHAnsi"/>
              </w:rPr>
              <w:t>poj</w:t>
            </w:r>
            <w:proofErr w:type="spellEnd"/>
            <w:r w:rsidRPr="001569CA">
              <w:rPr>
                <w:rFonts w:asciiTheme="minorHAnsi" w:hAnsiTheme="minorHAnsi"/>
              </w:rPr>
              <w:t xml:space="preserve">-km </w:t>
            </w:r>
            <w:r w:rsidRPr="001569CA">
              <w:rPr>
                <w:rFonts w:asciiTheme="minorHAnsi" w:hAnsiTheme="minorHAnsi"/>
                <w:lang w:eastAsia="en-US"/>
              </w:rPr>
              <w:t>należy przemnożyć przez koszt energii elektrycznej przyjęty na poziomie 0,2044 PLN/kWh</w:t>
            </w:r>
            <w:r w:rsidR="00CE7FE6">
              <w:rPr>
                <w:rFonts w:asciiTheme="minorHAnsi" w:hAnsiTheme="minorHAnsi"/>
                <w:vertAlign w:val="superscript"/>
                <w:lang w:eastAsia="en-US"/>
              </w:rPr>
              <w:t>1</w:t>
            </w:r>
            <w:r w:rsidR="00F468E2">
              <w:rPr>
                <w:rFonts w:asciiTheme="minorHAnsi" w:hAnsiTheme="minorHAnsi"/>
                <w:vertAlign w:val="superscript"/>
                <w:lang w:eastAsia="en-US"/>
              </w:rPr>
              <w:t>8</w:t>
            </w:r>
            <w:r w:rsidRPr="001569CA">
              <w:rPr>
                <w:rFonts w:asciiTheme="minorHAnsi" w:hAnsiTheme="minorHAnsi"/>
                <w:lang w:eastAsia="en-US"/>
              </w:rPr>
              <w:t>; oraz</w:t>
            </w:r>
          </w:p>
          <w:p w14:paraId="1EC36D02" w14:textId="77777777" w:rsidR="00921721" w:rsidRPr="001569CA" w:rsidRDefault="00921721" w:rsidP="00D5736B">
            <w:pPr>
              <w:pStyle w:val="anxnormal"/>
              <w:numPr>
                <w:ilvl w:val="0"/>
                <w:numId w:val="92"/>
              </w:numPr>
              <w:spacing w:after="60"/>
              <w:ind w:left="714" w:hanging="357"/>
              <w:rPr>
                <w:rFonts w:asciiTheme="minorHAnsi" w:hAnsiTheme="minorHAnsi"/>
                <w:lang w:eastAsia="en-US"/>
              </w:rPr>
            </w:pPr>
            <w:r w:rsidRPr="001569CA">
              <w:rPr>
                <w:rFonts w:asciiTheme="minorHAnsi" w:hAnsiTheme="minorHAnsi"/>
                <w:lang w:eastAsia="en-US"/>
              </w:rPr>
              <w:t>Pozostałe koszty: takie same koszty stałe, jak dla pozostałych pojazdów kategorii LV (0,</w:t>
            </w:r>
            <w:r>
              <w:rPr>
                <w:rFonts w:asciiTheme="minorHAnsi" w:hAnsiTheme="minorHAnsi"/>
                <w:lang w:eastAsia="en-US"/>
              </w:rPr>
              <w:t>8110</w:t>
            </w:r>
            <w:r w:rsidRPr="001569CA">
              <w:rPr>
                <w:rFonts w:asciiTheme="minorHAnsi" w:hAnsiTheme="minorHAnsi"/>
                <w:lang w:eastAsia="en-US"/>
              </w:rPr>
              <w:t xml:space="preserve"> PLN/</w:t>
            </w:r>
            <w:proofErr w:type="spellStart"/>
            <w:r w:rsidRPr="001569CA">
              <w:rPr>
                <w:rFonts w:asciiTheme="minorHAnsi" w:hAnsiTheme="minorHAnsi"/>
                <w:lang w:eastAsia="en-US"/>
              </w:rPr>
              <w:t>poj</w:t>
            </w:r>
            <w:proofErr w:type="spellEnd"/>
            <w:r w:rsidRPr="001569CA">
              <w:rPr>
                <w:rFonts w:asciiTheme="minorHAnsi" w:hAnsiTheme="minorHAnsi"/>
                <w:lang w:eastAsia="en-US"/>
              </w:rPr>
              <w:t>-km).</w:t>
            </w:r>
          </w:p>
          <w:p w14:paraId="4A39A45E" w14:textId="77777777" w:rsidR="00921721" w:rsidRPr="00D4006A" w:rsidRDefault="00921721" w:rsidP="00880D09">
            <w:pPr>
              <w:pStyle w:val="anxnormal"/>
              <w:spacing w:after="120"/>
              <w:ind w:left="0"/>
              <w:rPr>
                <w:rFonts w:asciiTheme="minorHAnsi" w:hAnsiTheme="minorHAnsi"/>
                <w:lang w:eastAsia="en-US"/>
              </w:rPr>
            </w:pPr>
            <w:r w:rsidRPr="00D4006A">
              <w:rPr>
                <w:rFonts w:asciiTheme="minorHAnsi" w:hAnsiTheme="minorHAnsi"/>
                <w:lang w:eastAsia="en-US"/>
              </w:rPr>
              <w:t>Całkowite koszty VOC dla przeciętnego pojazdu elektrycznego kategorii LV wynoszące 0,888 PLN/</w:t>
            </w:r>
            <w:proofErr w:type="spellStart"/>
            <w:r>
              <w:rPr>
                <w:rFonts w:asciiTheme="minorHAnsi" w:hAnsiTheme="minorHAnsi"/>
                <w:lang w:eastAsia="en-US"/>
              </w:rPr>
              <w:t>poj</w:t>
            </w:r>
            <w:proofErr w:type="spellEnd"/>
            <w:r>
              <w:rPr>
                <w:rFonts w:asciiTheme="minorHAnsi" w:hAnsiTheme="minorHAnsi"/>
                <w:lang w:eastAsia="en-US"/>
              </w:rPr>
              <w:t>-km dla płaskiego terenu i </w:t>
            </w:r>
            <w:r w:rsidRPr="00D4006A">
              <w:rPr>
                <w:rFonts w:asciiTheme="minorHAnsi" w:hAnsiTheme="minorHAnsi"/>
                <w:lang w:eastAsia="en-US"/>
              </w:rPr>
              <w:t>dobrej jakości nawierzchni (tzn. po budowie/</w:t>
            </w:r>
            <w:r>
              <w:rPr>
                <w:rFonts w:asciiTheme="minorHAnsi" w:hAnsiTheme="minorHAnsi"/>
                <w:lang w:eastAsia="en-US"/>
              </w:rPr>
              <w:t xml:space="preserve"> </w:t>
            </w:r>
            <w:r w:rsidRPr="00D4006A">
              <w:rPr>
                <w:rFonts w:asciiTheme="minorHAnsi" w:hAnsiTheme="minorHAnsi"/>
                <w:lang w:eastAsia="en-US"/>
              </w:rPr>
              <w:t>remoncie) w</w:t>
            </w:r>
            <w:r>
              <w:rPr>
                <w:rFonts w:asciiTheme="minorHAnsi" w:hAnsiTheme="minorHAnsi"/>
                <w:lang w:eastAsia="en-US"/>
              </w:rPr>
              <w:t> cenach z </w:t>
            </w:r>
            <w:r w:rsidRPr="00D4006A">
              <w:rPr>
                <w:rFonts w:asciiTheme="minorHAnsi" w:hAnsiTheme="minorHAnsi"/>
                <w:lang w:eastAsia="en-US"/>
              </w:rPr>
              <w:t>2021. Mnożniki związane z</w:t>
            </w:r>
            <w:r>
              <w:rPr>
                <w:rFonts w:asciiTheme="minorHAnsi" w:hAnsiTheme="minorHAnsi"/>
                <w:lang w:eastAsia="en-US"/>
              </w:rPr>
              <w:t> warunkami drogowymi i </w:t>
            </w:r>
            <w:r w:rsidRPr="00D4006A">
              <w:rPr>
                <w:rFonts w:asciiTheme="minorHAnsi" w:hAnsiTheme="minorHAnsi"/>
                <w:lang w:eastAsia="en-US"/>
              </w:rPr>
              <w:t>typem terenu dla benzyny / oleju napędowego mają również zastosowanie do pojazdów elektrycznych:</w:t>
            </w:r>
          </w:p>
          <w:p w14:paraId="20637E4C" w14:textId="77777777" w:rsidR="00921721" w:rsidRPr="00DF0989" w:rsidRDefault="00921721" w:rsidP="00880D09">
            <w:pPr>
              <w:pStyle w:val="anxnormal"/>
              <w:spacing w:after="120"/>
              <w:ind w:left="0"/>
              <w:rPr>
                <w:rFonts w:asciiTheme="minorHAnsi" w:hAnsiTheme="minorHAnsi"/>
                <w:lang w:eastAsia="en-US"/>
              </w:rPr>
            </w:pPr>
            <w:r w:rsidRPr="005A25C2">
              <w:rPr>
                <w:rFonts w:asciiTheme="minorHAnsi" w:hAnsiTheme="minorHAnsi"/>
                <w:lang w:eastAsia="en-US"/>
              </w:rPr>
              <w:t xml:space="preserve">Wskaźniki wzrostu kosztów </w:t>
            </w:r>
            <w:r>
              <w:rPr>
                <w:rFonts w:asciiTheme="minorHAnsi" w:hAnsiTheme="minorHAnsi"/>
                <w:lang w:eastAsia="en-US"/>
              </w:rPr>
              <w:t>ze </w:t>
            </w:r>
            <w:r w:rsidRPr="00983DF9">
              <w:rPr>
                <w:rFonts w:asciiTheme="minorHAnsi" w:hAnsiTheme="minorHAnsi"/>
                <w:lang w:eastAsia="en-US"/>
              </w:rPr>
              <w:t>względu na nachylenie drogi</w:t>
            </w:r>
            <w:r w:rsidRPr="00DF0989">
              <w:rPr>
                <w:rFonts w:asciiTheme="minorHAnsi" w:hAnsiTheme="minorHAnsi"/>
                <w:lang w:eastAsia="en-US"/>
              </w:rPr>
              <w:t xml:space="preserve"> </w:t>
            </w:r>
            <w:r w:rsidRPr="008A42F6">
              <w:rPr>
                <w:rFonts w:asciiTheme="minorHAnsi" w:hAnsiTheme="minorHAnsi"/>
                <w:lang w:eastAsia="en-US"/>
              </w:rPr>
              <w:t>dla pojazdów elektrycznych. Mnożniki te mają zastosowanie do łącznych VOC:</w:t>
            </w:r>
          </w:p>
          <w:tbl>
            <w:tblPr>
              <w:tblW w:w="3395" w:type="dxa"/>
              <w:tblLayout w:type="fixed"/>
              <w:tblLook w:val="04A0" w:firstRow="1" w:lastRow="0" w:firstColumn="1" w:lastColumn="0" w:noHBand="0" w:noVBand="1"/>
            </w:tblPr>
            <w:tblGrid>
              <w:gridCol w:w="1694"/>
              <w:gridCol w:w="850"/>
              <w:gridCol w:w="851"/>
            </w:tblGrid>
            <w:tr w:rsidR="00921721" w:rsidRPr="008E4306" w14:paraId="5A0DEB34"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3F0DC6A"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A4487D3"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21BA821"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HGV</w:t>
                  </w:r>
                </w:p>
              </w:tc>
            </w:tr>
            <w:tr w:rsidR="00921721" w:rsidRPr="008E4306" w14:paraId="0E5F05E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051556" w14:textId="77777777" w:rsidR="00921721" w:rsidRPr="00983DF9"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5107037"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ADBE00"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8E4306" w14:paraId="40B5FD9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724B27" w14:textId="77777777" w:rsidR="00921721" w:rsidRPr="00983DF9"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Falisty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1BA0803"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032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8D223D8"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200</w:t>
                  </w:r>
                </w:p>
              </w:tc>
            </w:tr>
          </w:tbl>
          <w:p w14:paraId="20CF82AC"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CUPT-JASPERS.</w:t>
            </w:r>
          </w:p>
          <w:p w14:paraId="53D4C604" w14:textId="77777777" w:rsidR="00921721" w:rsidRDefault="00921721" w:rsidP="00880D09">
            <w:pPr>
              <w:jc w:val="both"/>
              <w:rPr>
                <w:rFonts w:asciiTheme="minorHAnsi" w:hAnsiTheme="minorHAnsi" w:cstheme="minorHAnsi"/>
                <w:sz w:val="20"/>
                <w:szCs w:val="20"/>
              </w:rPr>
            </w:pPr>
          </w:p>
          <w:p w14:paraId="24BD76E0" w14:textId="77777777" w:rsidR="00921721" w:rsidRDefault="00921721" w:rsidP="00880D09">
            <w:pPr>
              <w:jc w:val="both"/>
              <w:rPr>
                <w:rFonts w:asciiTheme="minorHAnsi" w:hAnsiTheme="minorHAnsi" w:cstheme="minorHAnsi"/>
                <w:sz w:val="20"/>
                <w:szCs w:val="20"/>
              </w:rPr>
            </w:pPr>
          </w:p>
          <w:p w14:paraId="138626AD" w14:textId="77777777" w:rsidR="00921721" w:rsidRDefault="00921721" w:rsidP="00880D09">
            <w:pPr>
              <w:jc w:val="both"/>
              <w:rPr>
                <w:rFonts w:asciiTheme="minorHAnsi" w:hAnsiTheme="minorHAnsi" w:cstheme="minorHAnsi"/>
                <w:sz w:val="20"/>
                <w:szCs w:val="20"/>
              </w:rPr>
            </w:pPr>
          </w:p>
          <w:p w14:paraId="1C867046" w14:textId="77777777" w:rsidR="00921721" w:rsidRPr="008E4306" w:rsidRDefault="00921721" w:rsidP="00880D09">
            <w:pPr>
              <w:spacing w:after="120"/>
              <w:jc w:val="both"/>
              <w:rPr>
                <w:rFonts w:asciiTheme="minorHAnsi" w:hAnsiTheme="minorHAnsi" w:cstheme="minorHAnsi"/>
                <w:sz w:val="20"/>
                <w:szCs w:val="20"/>
              </w:rPr>
            </w:pPr>
            <w:r w:rsidRPr="00E9465B">
              <w:rPr>
                <w:rFonts w:asciiTheme="minorHAnsi" w:hAnsiTheme="minorHAnsi" w:cstheme="minorHAnsi"/>
                <w:sz w:val="20"/>
                <w:szCs w:val="20"/>
              </w:rPr>
              <w:lastRenderedPageBreak/>
              <w:t>Wskaźniki wzrostu kosztów w zależności od stanu nawierzchni</w:t>
            </w:r>
            <w:r w:rsidRPr="00E9465B">
              <w:t xml:space="preserve"> </w:t>
            </w:r>
            <w:r w:rsidRPr="00E9465B">
              <w:rPr>
                <w:rFonts w:asciiTheme="minorHAnsi" w:hAnsiTheme="minorHAnsi" w:cstheme="minorHAnsi"/>
                <w:sz w:val="20"/>
                <w:szCs w:val="20"/>
              </w:rPr>
              <w:t>dla pojazdów elektrycznych i hybrydowych. Mnożniki te stosowane są do łącznych VOC:</w:t>
            </w:r>
          </w:p>
          <w:tbl>
            <w:tblPr>
              <w:tblW w:w="5040" w:type="dxa"/>
              <w:tblLayout w:type="fixed"/>
              <w:tblLook w:val="04A0" w:firstRow="1" w:lastRow="0" w:firstColumn="1" w:lastColumn="0" w:noHBand="0" w:noVBand="1"/>
            </w:tblPr>
            <w:tblGrid>
              <w:gridCol w:w="2515"/>
              <w:gridCol w:w="1262"/>
              <w:gridCol w:w="1263"/>
            </w:tblGrid>
            <w:tr w:rsidR="00921721" w:rsidRPr="00CF54F6" w14:paraId="68B084EC" w14:textId="77777777" w:rsidTr="00880D09">
              <w:trPr>
                <w:trHeight w:hRule="exact" w:val="252"/>
              </w:trPr>
              <w:tc>
                <w:tcPr>
                  <w:tcW w:w="251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C8DF476"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Stan nawierzchni</w:t>
                  </w:r>
                </w:p>
              </w:tc>
              <w:tc>
                <w:tcPr>
                  <w:tcW w:w="126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CE83434"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LV</w:t>
                  </w:r>
                </w:p>
              </w:tc>
              <w:tc>
                <w:tcPr>
                  <w:tcW w:w="126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3276092"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HGV</w:t>
                  </w:r>
                </w:p>
              </w:tc>
            </w:tr>
            <w:tr w:rsidR="00921721" w:rsidRPr="00CF54F6" w14:paraId="755CC845" w14:textId="77777777" w:rsidTr="00880D09">
              <w:trPr>
                <w:trHeight w:val="210"/>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E8414D" w14:textId="77777777" w:rsidR="00921721" w:rsidRPr="00202E2F"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Dobry (nawierzchnia po remoncie/</w:t>
                  </w:r>
                  <w:r>
                    <w:rPr>
                      <w:rFonts w:asciiTheme="minorHAnsi" w:hAnsiTheme="minorHAnsi" w:cs="Arial"/>
                      <w:color w:val="4F81BD" w:themeColor="accent1"/>
                      <w:sz w:val="18"/>
                      <w:szCs w:val="18"/>
                    </w:rPr>
                    <w:t xml:space="preserve"> </w:t>
                  </w:r>
                  <w:r w:rsidRPr="002C6855">
                    <w:rPr>
                      <w:rFonts w:asciiTheme="minorHAnsi" w:hAnsiTheme="minorHAnsi" w:cs="Arial"/>
                      <w:color w:val="4F81BD" w:themeColor="accent1"/>
                      <w:sz w:val="18"/>
                      <w:szCs w:val="18"/>
                    </w:rPr>
                    <w:t>budowie)</w:t>
                  </w:r>
                </w:p>
              </w:tc>
              <w:tc>
                <w:tcPr>
                  <w:tcW w:w="126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1E1292"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126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BB3E95"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CF54F6" w14:paraId="6AF66B0E" w14:textId="77777777" w:rsidTr="00880D09">
              <w:trPr>
                <w:trHeight w:val="210"/>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7BFFB9" w14:textId="77777777" w:rsidR="00921721" w:rsidRPr="00202E2F" w:rsidRDefault="00921721" w:rsidP="00880D09">
                  <w:pPr>
                    <w:jc w:val="center"/>
                    <w:rPr>
                      <w:rFonts w:asciiTheme="minorHAnsi" w:hAnsiTheme="minorHAnsi"/>
                      <w:color w:val="4F81BD" w:themeColor="accent1"/>
                      <w:sz w:val="18"/>
                      <w:szCs w:val="18"/>
                    </w:rPr>
                  </w:pPr>
                  <w:r w:rsidRPr="002C6855">
                    <w:rPr>
                      <w:rFonts w:asciiTheme="minorHAnsi" w:hAnsiTheme="minorHAnsi" w:cs="Arial"/>
                      <w:color w:val="4F81BD" w:themeColor="accent1"/>
                      <w:sz w:val="18"/>
                      <w:szCs w:val="18"/>
                    </w:rPr>
                    <w:t>nawierzchnia zdegradowana</w:t>
                  </w:r>
                </w:p>
              </w:tc>
              <w:tc>
                <w:tcPr>
                  <w:tcW w:w="126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0E0B0A"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169</w:t>
                  </w:r>
                </w:p>
              </w:tc>
              <w:tc>
                <w:tcPr>
                  <w:tcW w:w="126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CA4645"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bl>
          <w:p w14:paraId="0A75D574"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 xml:space="preserve">CUPT-JASPERS </w:t>
            </w:r>
            <w:r w:rsidRPr="00731E4E">
              <w:rPr>
                <w:rFonts w:asciiTheme="minorHAnsi" w:hAnsiTheme="minorHAnsi" w:cs="Arial"/>
                <w:b/>
                <w:i/>
                <w:sz w:val="16"/>
                <w:szCs w:val="16"/>
              </w:rPr>
              <w:t xml:space="preserve">na podstawie </w:t>
            </w:r>
            <w:proofErr w:type="spellStart"/>
            <w:r w:rsidRPr="00983DF9">
              <w:rPr>
                <w:rFonts w:asciiTheme="minorHAnsi" w:hAnsiTheme="minorHAnsi" w:cs="Arial"/>
                <w:b/>
                <w:i/>
                <w:sz w:val="16"/>
                <w:szCs w:val="16"/>
              </w:rPr>
              <w:t>Optimisation</w:t>
            </w:r>
            <w:proofErr w:type="spellEnd"/>
            <w:r w:rsidRPr="00983DF9">
              <w:rPr>
                <w:rFonts w:asciiTheme="minorHAnsi" w:hAnsiTheme="minorHAnsi" w:cs="Arial"/>
                <w:b/>
                <w:i/>
                <w:sz w:val="16"/>
                <w:szCs w:val="16"/>
              </w:rPr>
              <w:t xml:space="preserve"> of </w:t>
            </w:r>
            <w:proofErr w:type="spellStart"/>
            <w:r w:rsidRPr="00983DF9">
              <w:rPr>
                <w:rFonts w:asciiTheme="minorHAnsi" w:hAnsiTheme="minorHAnsi" w:cs="Arial"/>
                <w:b/>
                <w:i/>
                <w:sz w:val="16"/>
                <w:szCs w:val="16"/>
              </w:rPr>
              <w:t>Maintenance</w:t>
            </w:r>
            <w:proofErr w:type="spellEnd"/>
            <w:r w:rsidRPr="00983DF9">
              <w:rPr>
                <w:rFonts w:asciiTheme="minorHAnsi" w:hAnsiTheme="minorHAnsi" w:cs="Arial"/>
                <w:b/>
                <w:i/>
                <w:sz w:val="16"/>
                <w:szCs w:val="16"/>
              </w:rPr>
              <w:t>", OECD/ITF 2012.</w:t>
            </w:r>
          </w:p>
          <w:p w14:paraId="658A683A" w14:textId="77777777" w:rsidR="00921721" w:rsidRDefault="00921721" w:rsidP="00880D09">
            <w:pPr>
              <w:pStyle w:val="anxnormal"/>
              <w:ind w:left="0"/>
              <w:rPr>
                <w:rFonts w:asciiTheme="minorHAnsi" w:hAnsiTheme="minorHAnsi"/>
                <w:u w:val="single"/>
                <w:lang w:eastAsia="en-US"/>
              </w:rPr>
            </w:pPr>
          </w:p>
          <w:p w14:paraId="09CD75E8" w14:textId="77777777" w:rsidR="00921721" w:rsidRDefault="00921721" w:rsidP="00880D09">
            <w:pPr>
              <w:pStyle w:val="anxnormal"/>
              <w:ind w:left="0"/>
              <w:rPr>
                <w:rFonts w:asciiTheme="minorHAnsi" w:hAnsiTheme="minorHAnsi"/>
                <w:u w:val="single"/>
                <w:lang w:eastAsia="en-US"/>
              </w:rPr>
            </w:pPr>
            <w:r>
              <w:rPr>
                <w:rFonts w:asciiTheme="minorHAnsi" w:hAnsiTheme="minorHAnsi"/>
                <w:u w:val="single"/>
                <w:lang w:eastAsia="en-US"/>
              </w:rPr>
              <w:t>Pojazdy LV – skład floty</w:t>
            </w:r>
          </w:p>
          <w:p w14:paraId="2A30E9EC" w14:textId="77777777" w:rsidR="00921721" w:rsidRDefault="00921721" w:rsidP="00880D09">
            <w:pPr>
              <w:pStyle w:val="anxnormal"/>
              <w:ind w:left="0"/>
              <w:rPr>
                <w:rFonts w:asciiTheme="minorHAnsi" w:hAnsiTheme="minorHAnsi" w:cstheme="minorHAnsi"/>
                <w:color w:val="000000"/>
              </w:rPr>
            </w:pPr>
            <w:r w:rsidRPr="001569CA">
              <w:rPr>
                <w:rFonts w:asciiTheme="minorHAnsi" w:hAnsiTheme="minorHAnsi"/>
                <w:lang w:eastAsia="en-US"/>
              </w:rPr>
              <w:t xml:space="preserve">Jednostkowe koszty eksploatacji pojazdu oparte są na aktualnej strukturze floty uwzględniającej zużycie paliwa, która według szacunków – jak wspomniano </w:t>
            </w:r>
            <w:r>
              <w:rPr>
                <w:rFonts w:asciiTheme="minorHAnsi" w:hAnsiTheme="minorHAnsi"/>
                <w:lang w:eastAsia="en-US"/>
              </w:rPr>
              <w:t>–</w:t>
            </w:r>
            <w:r w:rsidRPr="001569CA">
              <w:rPr>
                <w:rFonts w:asciiTheme="minorHAnsi" w:hAnsiTheme="minorHAnsi"/>
                <w:lang w:eastAsia="en-US"/>
              </w:rPr>
              <w:t xml:space="preserve"> nie</w:t>
            </w:r>
            <w:r>
              <w:rPr>
                <w:rFonts w:asciiTheme="minorHAnsi" w:hAnsiTheme="minorHAnsi"/>
                <w:lang w:eastAsia="en-US"/>
              </w:rPr>
              <w:t> </w:t>
            </w:r>
            <w:r w:rsidRPr="001569CA">
              <w:rPr>
                <w:rFonts w:asciiTheme="minorHAnsi" w:hAnsiTheme="minorHAnsi"/>
                <w:lang w:eastAsia="en-US"/>
              </w:rPr>
              <w:t>ulegnie zmianie: benzyna (67</w:t>
            </w:r>
            <w:r>
              <w:rPr>
                <w:rFonts w:asciiTheme="minorHAnsi" w:hAnsiTheme="minorHAnsi"/>
                <w:lang w:eastAsia="en-US"/>
              </w:rPr>
              <w:t>,9%) i </w:t>
            </w:r>
            <w:r w:rsidRPr="001569CA">
              <w:rPr>
                <w:rFonts w:asciiTheme="minorHAnsi" w:hAnsiTheme="minorHAnsi"/>
                <w:lang w:eastAsia="en-US"/>
              </w:rPr>
              <w:t>olej napędowy (32</w:t>
            </w:r>
            <w:r>
              <w:rPr>
                <w:rFonts w:asciiTheme="minorHAnsi" w:hAnsiTheme="minorHAnsi"/>
                <w:lang w:eastAsia="en-US"/>
              </w:rPr>
              <w:t>,1%). Szczegółowy skład floty (z </w:t>
            </w:r>
            <w:r w:rsidRPr="001569CA">
              <w:rPr>
                <w:rFonts w:asciiTheme="minorHAnsi" w:hAnsiTheme="minorHAnsi"/>
                <w:lang w:eastAsia="en-US"/>
              </w:rPr>
              <w:t xml:space="preserve">uwzględnieniem wszystkich </w:t>
            </w:r>
            <w:r>
              <w:rPr>
                <w:rFonts w:asciiTheme="minorHAnsi" w:hAnsiTheme="minorHAnsi"/>
                <w:lang w:eastAsia="en-US"/>
              </w:rPr>
              <w:t>rodzajów paliwa stosowanych w </w:t>
            </w:r>
            <w:r w:rsidRPr="001569CA">
              <w:rPr>
                <w:rFonts w:asciiTheme="minorHAnsi" w:hAnsiTheme="minorHAnsi"/>
                <w:lang w:eastAsia="en-US"/>
              </w:rPr>
              <w:t>polskiej flocie pojazdów typu LV) przedstawiono poniżej wraz</w:t>
            </w:r>
            <w:r>
              <w:rPr>
                <w:rFonts w:asciiTheme="minorHAnsi" w:hAnsiTheme="minorHAnsi"/>
                <w:lang w:eastAsia="en-US"/>
              </w:rPr>
              <w:t xml:space="preserve"> z </w:t>
            </w:r>
            <w:r w:rsidRPr="001569CA">
              <w:rPr>
                <w:rFonts w:asciiTheme="minorHAnsi" w:hAnsiTheme="minorHAnsi"/>
                <w:lang w:eastAsia="en-US"/>
              </w:rPr>
              <w:t xml:space="preserve">odpowiednimi </w:t>
            </w:r>
            <w:r>
              <w:rPr>
                <w:rFonts w:asciiTheme="minorHAnsi" w:hAnsiTheme="minorHAnsi"/>
                <w:lang w:eastAsia="en-US"/>
              </w:rPr>
              <w:t>prognozami. Do celów obliczeń w </w:t>
            </w:r>
            <w:r w:rsidRPr="001569CA">
              <w:rPr>
                <w:rFonts w:asciiTheme="minorHAnsi" w:hAnsiTheme="minorHAnsi"/>
                <w:lang w:eastAsia="en-US"/>
              </w:rPr>
              <w:t>AKK zakłada się, że proponowa</w:t>
            </w:r>
            <w:r>
              <w:rPr>
                <w:rFonts w:asciiTheme="minorHAnsi" w:hAnsiTheme="minorHAnsi"/>
                <w:lang w:eastAsia="en-US"/>
              </w:rPr>
              <w:t>ne uproszczenie (tzn. benzyna i </w:t>
            </w:r>
            <w:r w:rsidRPr="001569CA">
              <w:rPr>
                <w:rFonts w:asciiTheme="minorHAnsi" w:hAnsiTheme="minorHAnsi"/>
                <w:lang w:eastAsia="en-US"/>
              </w:rPr>
              <w:t>olej napędowy</w:t>
            </w:r>
            <w:r>
              <w:rPr>
                <w:rFonts w:asciiTheme="minorHAnsi" w:hAnsiTheme="minorHAnsi"/>
                <w:lang w:eastAsia="en-US"/>
              </w:rPr>
              <w:t>, z udziałem jak przedstawiono powyżej</w:t>
            </w:r>
            <w:r w:rsidRPr="001569CA">
              <w:rPr>
                <w:rFonts w:asciiTheme="minorHAnsi" w:hAnsiTheme="minorHAnsi"/>
                <w:lang w:eastAsia="en-US"/>
              </w:rPr>
              <w:t>) jest wystarczające</w:t>
            </w:r>
            <w:r>
              <w:rPr>
                <w:rFonts w:asciiTheme="minorHAnsi" w:hAnsiTheme="minorHAnsi"/>
                <w:lang w:eastAsia="en-US"/>
              </w:rPr>
              <w:t xml:space="preserve"> </w:t>
            </w:r>
            <w:r>
              <w:rPr>
                <w:rFonts w:asciiTheme="minorHAnsi" w:hAnsiTheme="minorHAnsi" w:cstheme="minorHAnsi"/>
                <w:color w:val="000000"/>
              </w:rPr>
              <w:t>i </w:t>
            </w:r>
            <w:r w:rsidRPr="00EB4E7C">
              <w:rPr>
                <w:rFonts w:asciiTheme="minorHAnsi" w:hAnsiTheme="minorHAnsi" w:cstheme="minorHAnsi"/>
                <w:color w:val="000000"/>
              </w:rPr>
              <w:t xml:space="preserve">założono </w:t>
            </w:r>
            <w:r>
              <w:rPr>
                <w:rFonts w:asciiTheme="minorHAnsi" w:hAnsiTheme="minorHAnsi" w:cstheme="minorHAnsi"/>
                <w:color w:val="000000"/>
              </w:rPr>
              <w:t>na poziomie stałym w </w:t>
            </w:r>
            <w:r w:rsidRPr="00EB4E7C">
              <w:rPr>
                <w:rFonts w:asciiTheme="minorHAnsi" w:hAnsiTheme="minorHAnsi" w:cstheme="minorHAnsi"/>
                <w:color w:val="000000"/>
              </w:rPr>
              <w:t xml:space="preserve">przyszłości </w:t>
            </w:r>
            <w:r>
              <w:rPr>
                <w:rFonts w:asciiTheme="minorHAnsi" w:hAnsiTheme="minorHAnsi" w:cstheme="minorHAnsi"/>
                <w:color w:val="000000"/>
              </w:rPr>
              <w:t>dla LV z silnikami spa</w:t>
            </w:r>
            <w:r w:rsidRPr="00EB4E7C">
              <w:rPr>
                <w:rFonts w:asciiTheme="minorHAnsi" w:hAnsiTheme="minorHAnsi" w:cstheme="minorHAnsi"/>
                <w:color w:val="000000"/>
              </w:rPr>
              <w:t>linow</w:t>
            </w:r>
            <w:r>
              <w:rPr>
                <w:rFonts w:asciiTheme="minorHAnsi" w:hAnsiTheme="minorHAnsi" w:cstheme="minorHAnsi"/>
                <w:color w:val="000000"/>
              </w:rPr>
              <w:t>ymi.</w:t>
            </w:r>
          </w:p>
          <w:p w14:paraId="318AD5C2" w14:textId="77777777" w:rsidR="00921721" w:rsidRPr="001569CA" w:rsidRDefault="00921721" w:rsidP="00880D09">
            <w:pPr>
              <w:pStyle w:val="anxnormal"/>
              <w:ind w:left="0"/>
              <w:rPr>
                <w:rFonts w:asciiTheme="minorHAnsi" w:hAnsiTheme="minorHAnsi"/>
                <w:lang w:eastAsia="en-US"/>
              </w:rPr>
            </w:pPr>
          </w:p>
          <w:tbl>
            <w:tblPr>
              <w:tblW w:w="5673" w:type="dxa"/>
              <w:tblLayout w:type="fixed"/>
              <w:tblLook w:val="04A0" w:firstRow="1" w:lastRow="0" w:firstColumn="1" w:lastColumn="0" w:noHBand="0" w:noVBand="1"/>
            </w:tblPr>
            <w:tblGrid>
              <w:gridCol w:w="3779"/>
              <w:gridCol w:w="1894"/>
            </w:tblGrid>
            <w:tr w:rsidR="00921721" w:rsidRPr="00CF54F6" w14:paraId="3A24F935" w14:textId="77777777" w:rsidTr="00880D09">
              <w:trPr>
                <w:trHeight w:hRule="exact" w:val="673"/>
              </w:trPr>
              <w:tc>
                <w:tcPr>
                  <w:tcW w:w="3779"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363730D8" w14:textId="77777777" w:rsidR="00921721" w:rsidRPr="00EB4E7C" w:rsidRDefault="00921721" w:rsidP="00880D09">
                  <w:pPr>
                    <w:snapToGrid w:val="0"/>
                    <w:spacing w:before="20" w:after="20"/>
                    <w:jc w:val="center"/>
                    <w:rPr>
                      <w:rFonts w:asciiTheme="minorHAnsi" w:hAnsiTheme="minorHAnsi" w:cs="Arial"/>
                      <w:b/>
                      <w:bCs/>
                      <w:color w:val="FFFFFF"/>
                      <w:sz w:val="18"/>
                      <w:szCs w:val="18"/>
                    </w:rPr>
                  </w:pPr>
                  <w:r w:rsidRPr="00EB4E7C">
                    <w:rPr>
                      <w:rFonts w:asciiTheme="minorHAnsi" w:hAnsiTheme="minorHAnsi" w:cs="Arial"/>
                      <w:b/>
                      <w:bCs/>
                      <w:color w:val="FFFFFF"/>
                      <w:sz w:val="18"/>
                      <w:szCs w:val="18"/>
                    </w:rPr>
                    <w:t>LV</w:t>
                  </w:r>
                </w:p>
                <w:p w14:paraId="7E599F3D" w14:textId="77777777" w:rsidR="00921721" w:rsidRPr="00202E2F" w:rsidRDefault="00921721" w:rsidP="00880D09">
                  <w:pPr>
                    <w:snapToGrid w:val="0"/>
                    <w:spacing w:before="20" w:after="20"/>
                    <w:jc w:val="center"/>
                    <w:rPr>
                      <w:rFonts w:asciiTheme="minorHAnsi" w:hAnsiTheme="minorHAnsi" w:cs="Arial"/>
                      <w:b/>
                      <w:bCs/>
                      <w:color w:val="FFFFFF"/>
                      <w:sz w:val="18"/>
                      <w:szCs w:val="18"/>
                    </w:rPr>
                  </w:pPr>
                  <w:r w:rsidRPr="00EB4E7C">
                    <w:rPr>
                      <w:rFonts w:asciiTheme="minorHAnsi" w:hAnsiTheme="minorHAnsi" w:cs="Arial"/>
                      <w:b/>
                      <w:bCs/>
                      <w:color w:val="FFFFFF"/>
                      <w:sz w:val="18"/>
                      <w:szCs w:val="18"/>
                    </w:rPr>
                    <w:t>Struktura floty uwzględniająca rodzaj paliwa</w:t>
                  </w:r>
                </w:p>
              </w:tc>
              <w:tc>
                <w:tcPr>
                  <w:tcW w:w="1894"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4F3EE005" w14:textId="77777777" w:rsidR="00921721" w:rsidRPr="00202E2F" w:rsidRDefault="00921721" w:rsidP="00880D09">
                  <w:pPr>
                    <w:snapToGrid w:val="0"/>
                    <w:spacing w:before="20" w:after="20"/>
                    <w:jc w:val="center"/>
                    <w:rPr>
                      <w:rFonts w:asciiTheme="minorHAnsi" w:hAnsiTheme="minorHAnsi" w:cs="Arial"/>
                      <w:b/>
                      <w:bCs/>
                      <w:color w:val="FFFFFF"/>
                      <w:sz w:val="18"/>
                      <w:szCs w:val="18"/>
                    </w:rPr>
                  </w:pPr>
                  <w:r w:rsidRPr="00202E2F">
                    <w:rPr>
                      <w:rFonts w:asciiTheme="minorHAnsi" w:hAnsiTheme="minorHAnsi" w:cs="Arial"/>
                      <w:b/>
                      <w:bCs/>
                      <w:color w:val="FFFFFF"/>
                      <w:sz w:val="18"/>
                      <w:szCs w:val="18"/>
                    </w:rPr>
                    <w:t>koniec 2019 r.</w:t>
                  </w:r>
                </w:p>
              </w:tc>
            </w:tr>
            <w:tr w:rsidR="00921721" w:rsidRPr="00202E2F" w14:paraId="6D9F7AAA" w14:textId="77777777" w:rsidTr="00880D09">
              <w:trPr>
                <w:trHeight w:val="157"/>
              </w:trPr>
              <w:tc>
                <w:tcPr>
                  <w:tcW w:w="3779" w:type="dxa"/>
                  <w:tcBorders>
                    <w:top w:val="single" w:sz="4" w:space="0" w:color="FFFFFF"/>
                    <w:left w:val="single" w:sz="4" w:space="0" w:color="FFFFFF"/>
                    <w:bottom w:val="single" w:sz="4" w:space="0" w:color="FFFFFF"/>
                    <w:right w:val="nil"/>
                  </w:tcBorders>
                  <w:shd w:val="clear" w:color="auto" w:fill="DBE5F1" w:themeFill="accent1" w:themeFillTint="33"/>
                  <w:hideMark/>
                </w:tcPr>
                <w:p w14:paraId="3779347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hideMark/>
                </w:tcPr>
                <w:p w14:paraId="3FDF1E70"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32</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06%</w:t>
                  </w:r>
                </w:p>
              </w:tc>
            </w:tr>
            <w:tr w:rsidR="00921721" w:rsidRPr="00202E2F" w14:paraId="16164899" w14:textId="77777777" w:rsidTr="00880D09">
              <w:trPr>
                <w:trHeight w:val="271"/>
              </w:trPr>
              <w:tc>
                <w:tcPr>
                  <w:tcW w:w="3779" w:type="dxa"/>
                  <w:tcBorders>
                    <w:top w:val="single" w:sz="4" w:space="0" w:color="FFFFFF"/>
                    <w:left w:val="single" w:sz="4" w:space="0" w:color="FFFFFF"/>
                    <w:bottom w:val="single" w:sz="4" w:space="0" w:color="FFFFFF"/>
                    <w:right w:val="nil"/>
                  </w:tcBorders>
                  <w:shd w:val="clear" w:color="auto" w:fill="DBE5F1" w:themeFill="accent1" w:themeFillTint="33"/>
                  <w:hideMark/>
                </w:tcPr>
                <w:p w14:paraId="1A31ACA5"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CNG</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hideMark/>
                </w:tcPr>
                <w:p w14:paraId="7EB8E42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02%</w:t>
                  </w:r>
                </w:p>
              </w:tc>
            </w:tr>
            <w:tr w:rsidR="00921721" w:rsidRPr="00202E2F" w14:paraId="161A0860" w14:textId="77777777" w:rsidTr="00880D09">
              <w:trPr>
                <w:trHeight w:val="264"/>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6FEBDC89"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LPG</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4678747F"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14</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00%</w:t>
                  </w:r>
                </w:p>
              </w:tc>
            </w:tr>
            <w:tr w:rsidR="00921721" w:rsidRPr="00202E2F" w14:paraId="27F2B00C" w14:textId="77777777" w:rsidTr="00880D09">
              <w:trPr>
                <w:trHeight w:val="258"/>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7FC0155A"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Benzyna</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07000CA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53</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80%</w:t>
                  </w:r>
                </w:p>
              </w:tc>
            </w:tr>
            <w:tr w:rsidR="00921721" w:rsidRPr="00202E2F" w14:paraId="31FF12CE" w14:textId="77777777" w:rsidTr="00880D09">
              <w:trPr>
                <w:trHeight w:val="251"/>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2458917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Hybryda</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74D1DC58"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11%</w:t>
                  </w:r>
                </w:p>
              </w:tc>
            </w:tr>
            <w:tr w:rsidR="00921721" w:rsidRPr="00202E2F" w14:paraId="26B8D2E6" w14:textId="77777777" w:rsidTr="00880D09">
              <w:trPr>
                <w:trHeight w:val="163"/>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218145F9"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Elektryczne</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776632D3"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02%</w:t>
                  </w:r>
                </w:p>
              </w:tc>
            </w:tr>
          </w:tbl>
          <w:p w14:paraId="1B7F79FA" w14:textId="77777777" w:rsidR="00921721" w:rsidRPr="00796B54" w:rsidRDefault="00921721" w:rsidP="00880D09">
            <w:pPr>
              <w:pStyle w:val="anxnormal"/>
              <w:spacing w:before="0"/>
              <w:ind w:left="0"/>
              <w:rPr>
                <w:rFonts w:asciiTheme="minorHAnsi" w:hAnsiTheme="minorHAnsi"/>
                <w:b/>
                <w:bCs/>
                <w:i/>
                <w:iCs/>
                <w:sz w:val="16"/>
                <w:szCs w:val="16"/>
                <w:u w:val="single"/>
                <w:lang w:eastAsia="en-US"/>
              </w:rPr>
            </w:pPr>
            <w:r w:rsidRPr="001569CA">
              <w:rPr>
                <w:rFonts w:asciiTheme="minorHAnsi" w:hAnsiTheme="minorHAnsi"/>
                <w:b/>
                <w:bCs/>
                <w:i/>
                <w:iCs/>
                <w:sz w:val="16"/>
                <w:szCs w:val="16"/>
                <w:lang w:eastAsia="en-US"/>
              </w:rPr>
              <w:t>Źródło: „Tr</w:t>
            </w:r>
            <w:r>
              <w:rPr>
                <w:rFonts w:asciiTheme="minorHAnsi" w:hAnsiTheme="minorHAnsi"/>
                <w:b/>
                <w:bCs/>
                <w:i/>
                <w:iCs/>
                <w:sz w:val="16"/>
                <w:szCs w:val="16"/>
                <w:lang w:eastAsia="en-US"/>
              </w:rPr>
              <w:t>ansport – wyniki działalności w 2019 r.”, GUS, 2020 </w:t>
            </w:r>
            <w:r w:rsidRPr="001569CA">
              <w:rPr>
                <w:rFonts w:asciiTheme="minorHAnsi" w:hAnsiTheme="minorHAnsi"/>
                <w:b/>
                <w:bCs/>
                <w:i/>
                <w:iCs/>
                <w:sz w:val="16"/>
                <w:szCs w:val="16"/>
                <w:lang w:eastAsia="en-US"/>
              </w:rPr>
              <w:t>r</w:t>
            </w:r>
            <w:r w:rsidRPr="00921CD1">
              <w:rPr>
                <w:rFonts w:asciiTheme="minorHAnsi" w:hAnsiTheme="minorHAnsi"/>
                <w:b/>
                <w:bCs/>
                <w:i/>
                <w:iCs/>
                <w:sz w:val="16"/>
                <w:szCs w:val="16"/>
                <w:lang w:eastAsia="en-US"/>
              </w:rPr>
              <w:t>.</w:t>
            </w:r>
            <w:r w:rsidRPr="00921CD1">
              <w:rPr>
                <w:rFonts w:asciiTheme="minorHAnsi" w:hAnsiTheme="minorHAnsi"/>
                <w:b/>
                <w:i/>
                <w:sz w:val="16"/>
                <w:szCs w:val="16"/>
              </w:rPr>
              <w:t xml:space="preserve"> </w:t>
            </w:r>
            <w:r>
              <w:rPr>
                <w:rFonts w:asciiTheme="minorHAnsi" w:hAnsiTheme="minorHAnsi"/>
                <w:b/>
                <w:i/>
                <w:sz w:val="16"/>
                <w:szCs w:val="16"/>
              </w:rPr>
              <w:t xml:space="preserve">oraz prognozy dla </w:t>
            </w:r>
            <w:r w:rsidRPr="00983DF9">
              <w:rPr>
                <w:rFonts w:asciiTheme="minorHAnsi" w:hAnsiTheme="minorHAnsi"/>
                <w:b/>
                <w:i/>
                <w:sz w:val="16"/>
                <w:szCs w:val="16"/>
              </w:rPr>
              <w:t xml:space="preserve">2030 </w:t>
            </w:r>
            <w:r>
              <w:rPr>
                <w:rFonts w:asciiTheme="minorHAnsi" w:hAnsiTheme="minorHAnsi"/>
                <w:b/>
                <w:i/>
                <w:sz w:val="16"/>
                <w:szCs w:val="16"/>
              </w:rPr>
              <w:t>i </w:t>
            </w:r>
            <w:r w:rsidRPr="00983DF9">
              <w:rPr>
                <w:rFonts w:asciiTheme="minorHAnsi" w:hAnsiTheme="minorHAnsi"/>
                <w:b/>
                <w:i/>
                <w:sz w:val="16"/>
                <w:szCs w:val="16"/>
              </w:rPr>
              <w:t>2050: "Ścieżki redukcji emisji CO2 w</w:t>
            </w:r>
            <w:r>
              <w:rPr>
                <w:rFonts w:asciiTheme="minorHAnsi" w:hAnsiTheme="minorHAnsi"/>
                <w:b/>
                <w:i/>
                <w:sz w:val="16"/>
                <w:szCs w:val="16"/>
              </w:rPr>
              <w:t> sektorze transportu w Polsce w </w:t>
            </w:r>
            <w:r w:rsidRPr="00983DF9">
              <w:rPr>
                <w:rFonts w:asciiTheme="minorHAnsi" w:hAnsiTheme="minorHAnsi"/>
                <w:b/>
                <w:i/>
                <w:sz w:val="16"/>
                <w:szCs w:val="16"/>
              </w:rPr>
              <w:t>kontekście „Europejskiego Zielonego Ładu”" CAKE/</w:t>
            </w:r>
            <w:proofErr w:type="spellStart"/>
            <w:r w:rsidRPr="00983DF9">
              <w:rPr>
                <w:rFonts w:asciiTheme="minorHAnsi" w:hAnsiTheme="minorHAnsi"/>
                <w:b/>
                <w:i/>
                <w:sz w:val="16"/>
                <w:szCs w:val="16"/>
              </w:rPr>
              <w:t>KOBiZE</w:t>
            </w:r>
            <w:proofErr w:type="spellEnd"/>
            <w:r>
              <w:rPr>
                <w:rFonts w:asciiTheme="minorHAnsi" w:hAnsiTheme="minorHAnsi"/>
                <w:b/>
                <w:i/>
                <w:sz w:val="16"/>
                <w:szCs w:val="16"/>
              </w:rPr>
              <w:t>, październik 2020</w:t>
            </w:r>
            <w:r w:rsidRPr="00983DF9">
              <w:rPr>
                <w:rFonts w:asciiTheme="minorHAnsi" w:hAnsiTheme="minorHAnsi"/>
                <w:b/>
                <w:i/>
                <w:sz w:val="16"/>
                <w:szCs w:val="16"/>
              </w:rPr>
              <w:t>.</w:t>
            </w:r>
          </w:p>
          <w:p w14:paraId="04773D0C" w14:textId="77777777" w:rsidR="00921721" w:rsidRDefault="00921721" w:rsidP="00880D09">
            <w:pPr>
              <w:pStyle w:val="anxnormal"/>
              <w:ind w:left="0"/>
              <w:rPr>
                <w:rFonts w:asciiTheme="minorHAnsi" w:hAnsiTheme="minorHAnsi"/>
                <w:lang w:eastAsia="en-US"/>
              </w:rPr>
            </w:pPr>
          </w:p>
          <w:p w14:paraId="6D6DA4F0" w14:textId="77777777" w:rsidR="00921721" w:rsidRDefault="00921721" w:rsidP="00880D09">
            <w:pPr>
              <w:pStyle w:val="anxnormal"/>
              <w:ind w:left="0"/>
              <w:rPr>
                <w:rFonts w:asciiTheme="minorHAnsi" w:hAnsiTheme="minorHAnsi"/>
                <w:lang w:eastAsia="en-US"/>
              </w:rPr>
            </w:pPr>
          </w:p>
          <w:p w14:paraId="225D7224" w14:textId="77777777" w:rsidR="00921721" w:rsidRDefault="00921721" w:rsidP="00880D09">
            <w:pPr>
              <w:pStyle w:val="anxnormal"/>
              <w:ind w:left="0"/>
              <w:rPr>
                <w:rFonts w:asciiTheme="minorHAnsi" w:hAnsiTheme="minorHAnsi"/>
                <w:lang w:eastAsia="en-US"/>
              </w:rPr>
            </w:pPr>
          </w:p>
          <w:p w14:paraId="75F098BB" w14:textId="77777777" w:rsidR="00921721" w:rsidRDefault="00921721" w:rsidP="00880D09">
            <w:pPr>
              <w:pStyle w:val="anxnormal"/>
              <w:ind w:left="0"/>
              <w:rPr>
                <w:rFonts w:asciiTheme="minorHAnsi" w:hAnsiTheme="minorHAnsi"/>
                <w:lang w:eastAsia="en-US"/>
              </w:rPr>
            </w:pPr>
          </w:p>
          <w:p w14:paraId="2A202CFB" w14:textId="77777777" w:rsidR="00921721" w:rsidRPr="001569CA" w:rsidRDefault="00921721" w:rsidP="00880D09">
            <w:pPr>
              <w:pStyle w:val="anxnormal"/>
              <w:ind w:left="0"/>
              <w:rPr>
                <w:rFonts w:asciiTheme="minorHAnsi" w:hAnsiTheme="minorHAnsi"/>
                <w:lang w:eastAsia="en-US"/>
              </w:rPr>
            </w:pPr>
            <w:r w:rsidRPr="001569CA">
              <w:rPr>
                <w:rFonts w:asciiTheme="minorHAnsi" w:hAnsiTheme="minorHAnsi"/>
                <w:lang w:eastAsia="en-US"/>
              </w:rPr>
              <w:lastRenderedPageBreak/>
              <w:t>Tabele poniżej przedstawiają szacunki na temat struktur</w:t>
            </w:r>
            <w:r>
              <w:rPr>
                <w:rFonts w:asciiTheme="minorHAnsi" w:hAnsiTheme="minorHAnsi"/>
                <w:lang w:eastAsia="en-US"/>
              </w:rPr>
              <w:t>y floty pojazdów kategorii LV w </w:t>
            </w:r>
            <w:r w:rsidRPr="001569CA">
              <w:rPr>
                <w:rFonts w:asciiTheme="minorHAnsi" w:hAnsiTheme="minorHAnsi"/>
                <w:lang w:eastAsia="en-US"/>
              </w:rPr>
              <w:t xml:space="preserve">przyszłości. Poniżej przedstawiono różne </w:t>
            </w:r>
            <w:r>
              <w:rPr>
                <w:rFonts w:asciiTheme="minorHAnsi" w:hAnsiTheme="minorHAnsi"/>
                <w:lang w:eastAsia="en-US"/>
              </w:rPr>
              <w:t>scenariusze oparte</w:t>
            </w:r>
            <w:r w:rsidRPr="001569CA" w:rsidDel="00FD0CAA">
              <w:rPr>
                <w:rFonts w:asciiTheme="minorHAnsi" w:hAnsiTheme="minorHAnsi"/>
                <w:lang w:eastAsia="en-US"/>
              </w:rPr>
              <w:t xml:space="preserve"> </w:t>
            </w:r>
            <w:r w:rsidRPr="001569CA">
              <w:rPr>
                <w:rFonts w:asciiTheme="minorHAnsi" w:hAnsiTheme="minorHAnsi"/>
                <w:lang w:eastAsia="en-US"/>
              </w:rPr>
              <w:t>na dokumencie</w:t>
            </w:r>
            <w:r>
              <w:rPr>
                <w:rFonts w:asciiTheme="minorHAnsi" w:hAnsiTheme="minorHAnsi"/>
                <w:lang w:eastAsia="en-US"/>
              </w:rPr>
              <w:t xml:space="preserve"> „Ścieżki redukcji emisji CO2 w sektorze transportu w Polsce w </w:t>
            </w:r>
            <w:r w:rsidRPr="001569CA">
              <w:rPr>
                <w:rFonts w:asciiTheme="minorHAnsi" w:hAnsiTheme="minorHAnsi"/>
                <w:lang w:eastAsia="en-US"/>
              </w:rPr>
              <w:t>kontekście „Europejskiego Zielone</w:t>
            </w:r>
            <w:r>
              <w:rPr>
                <w:rFonts w:asciiTheme="minorHAnsi" w:hAnsiTheme="minorHAnsi"/>
                <w:lang w:eastAsia="en-US"/>
              </w:rPr>
              <w:t>go Ładu””</w:t>
            </w:r>
            <w:r w:rsidRPr="001569CA">
              <w:rPr>
                <w:rFonts w:asciiTheme="minorHAnsi" w:hAnsiTheme="minorHAnsi"/>
                <w:lang w:eastAsia="en-US"/>
              </w:rPr>
              <w:t xml:space="preserve"> autorstwa CAKE (Centrum Analiz Klimatyczno-Energetycznych), październik 2020</w:t>
            </w:r>
            <w:r>
              <w:rPr>
                <w:rFonts w:asciiTheme="minorHAnsi" w:hAnsiTheme="minorHAnsi"/>
                <w:lang w:eastAsia="en-US"/>
              </w:rPr>
              <w:t> </w:t>
            </w:r>
            <w:r w:rsidRPr="001569CA">
              <w:rPr>
                <w:rFonts w:asciiTheme="minorHAnsi" w:hAnsiTheme="minorHAnsi"/>
                <w:lang w:eastAsia="en-US"/>
              </w:rPr>
              <w:t>r.:</w:t>
            </w:r>
          </w:p>
          <w:p w14:paraId="2F6A5427"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t>Scenariusz bazowy</w:t>
            </w:r>
          </w:p>
          <w:tbl>
            <w:tblPr>
              <w:tblW w:w="3395" w:type="dxa"/>
              <w:tblLayout w:type="fixed"/>
              <w:tblLook w:val="04A0" w:firstRow="1" w:lastRow="0" w:firstColumn="1" w:lastColumn="0" w:noHBand="0" w:noVBand="1"/>
            </w:tblPr>
            <w:tblGrid>
              <w:gridCol w:w="1694"/>
              <w:gridCol w:w="850"/>
              <w:gridCol w:w="851"/>
            </w:tblGrid>
            <w:tr w:rsidR="00921721" w:rsidRPr="0040737B" w14:paraId="73690491"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D2B3423"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D7BDFA2"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43F172E"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2050</w:t>
                  </w:r>
                </w:p>
              </w:tc>
            </w:tr>
            <w:tr w:rsidR="00921721" w:rsidRPr="0040737B" w14:paraId="6F2B2A4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E12C1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F65E45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27</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F5EA5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17</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3%</w:t>
                  </w:r>
                </w:p>
              </w:tc>
            </w:tr>
            <w:tr w:rsidR="00921721" w:rsidRPr="0040737B" w14:paraId="7645F70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019B2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A99A8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992C5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3A68CE0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223B40"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480E8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62D3E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8%</w:t>
                  </w:r>
                </w:p>
              </w:tc>
            </w:tr>
            <w:tr w:rsidR="00921721" w:rsidRPr="0040737B" w14:paraId="2C853D2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B43BA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A616B7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6642FA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38</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4BB3658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E8834C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5D527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931847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0E05FC73"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C4BC56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1E047C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42E447B"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23</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r>
          </w:tbl>
          <w:p w14:paraId="16B2927C" w14:textId="77777777" w:rsidR="00921721" w:rsidRDefault="00921721" w:rsidP="00880D09">
            <w:pPr>
              <w:pStyle w:val="anxnormal"/>
              <w:ind w:left="0"/>
              <w:rPr>
                <w:rFonts w:asciiTheme="minorHAnsi" w:hAnsiTheme="minorHAnsi"/>
                <w:lang w:eastAsia="en-US"/>
              </w:rPr>
            </w:pPr>
          </w:p>
          <w:p w14:paraId="5BAA5631"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t xml:space="preserve">Scenariusz </w:t>
            </w:r>
            <w:proofErr w:type="spellStart"/>
            <w:r w:rsidRPr="00D04EFD">
              <w:rPr>
                <w:rFonts w:asciiTheme="minorHAnsi" w:hAnsiTheme="minorHAnsi"/>
                <w:lang w:eastAsia="en-US"/>
              </w:rPr>
              <w:t>ETSeq</w:t>
            </w:r>
            <w:proofErr w:type="spellEnd"/>
          </w:p>
          <w:tbl>
            <w:tblPr>
              <w:tblW w:w="3395" w:type="dxa"/>
              <w:tblLayout w:type="fixed"/>
              <w:tblLook w:val="04A0" w:firstRow="1" w:lastRow="0" w:firstColumn="1" w:lastColumn="0" w:noHBand="0" w:noVBand="1"/>
            </w:tblPr>
            <w:tblGrid>
              <w:gridCol w:w="1694"/>
              <w:gridCol w:w="850"/>
              <w:gridCol w:w="851"/>
            </w:tblGrid>
            <w:tr w:rsidR="00921721" w:rsidRPr="0040737B" w14:paraId="661ED12D"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0B98A04"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58F08ABA"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F06E228"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2050</w:t>
                  </w:r>
                </w:p>
              </w:tc>
            </w:tr>
            <w:tr w:rsidR="00921721" w:rsidRPr="0040737B" w14:paraId="5E27B6C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4B917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18BEE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26</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56065A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15</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4%</w:t>
                  </w:r>
                </w:p>
              </w:tc>
            </w:tr>
            <w:tr w:rsidR="00921721" w:rsidRPr="0040737B" w14:paraId="5F46B1C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9C536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385F19"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9A5234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6FE692B0"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6201E5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93844F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EBAD0B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8</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7%</w:t>
                  </w:r>
                </w:p>
              </w:tc>
            </w:tr>
            <w:tr w:rsidR="00921721" w:rsidRPr="0040737B" w14:paraId="2EF9232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B965455"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2E3E6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1C190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37</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r>
            <w:tr w:rsidR="00921721" w:rsidRPr="0040737B" w14:paraId="3A35510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6C70BC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1AAA8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4</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30BE3F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6%</w:t>
                  </w:r>
                </w:p>
              </w:tc>
            </w:tr>
            <w:tr w:rsidR="00921721" w:rsidRPr="0040737B" w14:paraId="6E9D8D8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731CC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D244CA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4</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49D38ED"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28</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3%</w:t>
                  </w:r>
                </w:p>
              </w:tc>
            </w:tr>
          </w:tbl>
          <w:p w14:paraId="2D4C2F91" w14:textId="77777777" w:rsidR="00921721" w:rsidRDefault="00921721" w:rsidP="00880D09">
            <w:pPr>
              <w:pStyle w:val="anxnormal"/>
              <w:ind w:left="0"/>
              <w:rPr>
                <w:rFonts w:asciiTheme="minorHAnsi" w:hAnsiTheme="minorHAnsi"/>
                <w:lang w:eastAsia="en-US"/>
              </w:rPr>
            </w:pPr>
          </w:p>
          <w:p w14:paraId="5EC9A351"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t xml:space="preserve">Scenariusz </w:t>
            </w:r>
            <w:proofErr w:type="spellStart"/>
            <w:r w:rsidRPr="00D04EFD">
              <w:rPr>
                <w:rFonts w:asciiTheme="minorHAnsi" w:hAnsiTheme="minorHAnsi"/>
                <w:lang w:eastAsia="en-US"/>
              </w:rPr>
              <w:t>TechPro</w:t>
            </w:r>
            <w:proofErr w:type="spellEnd"/>
          </w:p>
          <w:tbl>
            <w:tblPr>
              <w:tblW w:w="3395" w:type="dxa"/>
              <w:tblLayout w:type="fixed"/>
              <w:tblLook w:val="04A0" w:firstRow="1" w:lastRow="0" w:firstColumn="1" w:lastColumn="0" w:noHBand="0" w:noVBand="1"/>
            </w:tblPr>
            <w:tblGrid>
              <w:gridCol w:w="1694"/>
              <w:gridCol w:w="850"/>
              <w:gridCol w:w="851"/>
            </w:tblGrid>
            <w:tr w:rsidR="00921721" w:rsidRPr="0040737B" w14:paraId="44AFF0AC"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788B4BD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2EA5DA4"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41715E6"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2050</w:t>
                  </w:r>
                </w:p>
              </w:tc>
            </w:tr>
            <w:tr w:rsidR="00921721" w:rsidRPr="0040737B" w14:paraId="5D2C7CAB"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B0C15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F5EBB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26</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C5FAAE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5%</w:t>
                  </w:r>
                </w:p>
              </w:tc>
            </w:tr>
            <w:tr w:rsidR="00921721" w:rsidRPr="0040737B" w14:paraId="64FBC89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B785A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18F808F"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43B175"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6%</w:t>
                  </w:r>
                </w:p>
              </w:tc>
            </w:tr>
            <w:tr w:rsidR="00921721" w:rsidRPr="0040737B" w14:paraId="661660E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4B490F"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53E961F"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11</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D11FCA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8%</w:t>
                  </w:r>
                </w:p>
              </w:tc>
            </w:tr>
            <w:tr w:rsidR="00921721" w:rsidRPr="0040737B" w14:paraId="7C28CCA2"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38FFCF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5E79BE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545AB5"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21</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8%</w:t>
                  </w:r>
                </w:p>
              </w:tc>
            </w:tr>
            <w:tr w:rsidR="00921721" w:rsidRPr="0040737B" w14:paraId="32EBF969"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43F5ED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E26E91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5C85ED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3%</w:t>
                  </w:r>
                </w:p>
              </w:tc>
            </w:tr>
            <w:tr w:rsidR="00921721" w:rsidRPr="0040737B" w14:paraId="575B8C0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1CC02AB"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8F259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0A14EDE"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49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0%</w:t>
                  </w:r>
                </w:p>
              </w:tc>
            </w:tr>
          </w:tbl>
          <w:p w14:paraId="6E174879" w14:textId="77777777" w:rsidR="00921721" w:rsidRDefault="00921721" w:rsidP="00880D09">
            <w:pPr>
              <w:pStyle w:val="anxnormal"/>
              <w:ind w:left="0"/>
              <w:rPr>
                <w:rFonts w:asciiTheme="minorHAnsi" w:hAnsiTheme="minorHAnsi"/>
                <w:lang w:eastAsia="en-US"/>
              </w:rPr>
            </w:pPr>
          </w:p>
          <w:p w14:paraId="0E442DB1"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lastRenderedPageBreak/>
              <w:t xml:space="preserve">Scenariusz </w:t>
            </w:r>
            <w:proofErr w:type="spellStart"/>
            <w:r w:rsidRPr="00D04EFD">
              <w:rPr>
                <w:rFonts w:asciiTheme="minorHAnsi" w:hAnsiTheme="minorHAnsi"/>
                <w:lang w:eastAsia="en-US"/>
              </w:rPr>
              <w:t>ProETSeq</w:t>
            </w:r>
            <w:proofErr w:type="spellEnd"/>
          </w:p>
          <w:tbl>
            <w:tblPr>
              <w:tblW w:w="3395" w:type="dxa"/>
              <w:tblLayout w:type="fixed"/>
              <w:tblLook w:val="04A0" w:firstRow="1" w:lastRow="0" w:firstColumn="1" w:lastColumn="0" w:noHBand="0" w:noVBand="1"/>
            </w:tblPr>
            <w:tblGrid>
              <w:gridCol w:w="1694"/>
              <w:gridCol w:w="850"/>
              <w:gridCol w:w="851"/>
            </w:tblGrid>
            <w:tr w:rsidR="00921721" w:rsidRPr="003B4E5A" w14:paraId="1E17F928"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89989C8" w14:textId="77777777" w:rsidR="00921721" w:rsidRPr="003B4E5A"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547BD7B" w14:textId="77777777" w:rsidR="00921721" w:rsidRPr="003B4E5A" w:rsidRDefault="00921721" w:rsidP="00880D09">
                  <w:pPr>
                    <w:snapToGrid w:val="0"/>
                    <w:spacing w:before="20" w:after="20"/>
                    <w:jc w:val="center"/>
                    <w:rPr>
                      <w:rFonts w:asciiTheme="minorHAnsi" w:hAnsiTheme="minorHAnsi" w:cs="Arial"/>
                      <w:b/>
                      <w:bCs/>
                      <w:color w:val="FFFFFF"/>
                      <w:sz w:val="18"/>
                      <w:szCs w:val="18"/>
                    </w:rPr>
                  </w:pPr>
                  <w:r w:rsidRPr="003B4E5A">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C3D133E" w14:textId="77777777" w:rsidR="00921721" w:rsidRPr="003B4E5A" w:rsidRDefault="00921721" w:rsidP="00880D09">
                  <w:pPr>
                    <w:snapToGrid w:val="0"/>
                    <w:spacing w:before="20" w:after="20"/>
                    <w:jc w:val="center"/>
                    <w:rPr>
                      <w:rFonts w:asciiTheme="minorHAnsi" w:hAnsiTheme="minorHAnsi" w:cs="Arial"/>
                      <w:b/>
                      <w:bCs/>
                      <w:color w:val="FFFFFF"/>
                      <w:sz w:val="18"/>
                      <w:szCs w:val="18"/>
                    </w:rPr>
                  </w:pPr>
                  <w:r w:rsidRPr="003B4E5A">
                    <w:rPr>
                      <w:rFonts w:asciiTheme="minorHAnsi" w:hAnsiTheme="minorHAnsi" w:cs="Arial"/>
                      <w:b/>
                      <w:bCs/>
                      <w:color w:val="FFFFFF"/>
                      <w:sz w:val="18"/>
                      <w:szCs w:val="18"/>
                    </w:rPr>
                    <w:t>w 2050</w:t>
                  </w:r>
                </w:p>
              </w:tc>
            </w:tr>
            <w:tr w:rsidR="00921721" w:rsidRPr="003B4E5A" w14:paraId="65FB91F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8BE3FE3"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5A59E76"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26</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BCFB25"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4%</w:t>
                  </w:r>
                </w:p>
              </w:tc>
            </w:tr>
            <w:tr w:rsidR="00921721" w:rsidRPr="003B4E5A" w14:paraId="3AED00C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1B43D5"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4064ECB"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09AAE0"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6%</w:t>
                  </w:r>
                </w:p>
              </w:tc>
            </w:tr>
            <w:tr w:rsidR="00921721" w:rsidRPr="003B4E5A" w14:paraId="38F477C9"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143D558"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25C5EE6"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11</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CB14D6E"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2%</w:t>
                  </w:r>
                </w:p>
              </w:tc>
            </w:tr>
            <w:tr w:rsidR="00921721" w:rsidRPr="003B4E5A" w14:paraId="13E1EE4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A4398E"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840C6C4"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3%</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816204C"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20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5%</w:t>
                  </w:r>
                </w:p>
              </w:tc>
            </w:tr>
            <w:tr w:rsidR="00921721" w:rsidRPr="003B4E5A" w14:paraId="3F10A89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D801959"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6596492"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E73E477"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10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0%</w:t>
                  </w:r>
                </w:p>
              </w:tc>
            </w:tr>
            <w:tr w:rsidR="00921721" w:rsidRPr="003B4E5A" w14:paraId="5596CA13"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D213A6A"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ECAFB3A"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C14D0B0"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54</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3%</w:t>
                  </w:r>
                </w:p>
              </w:tc>
            </w:tr>
          </w:tbl>
          <w:p w14:paraId="14D32873" w14:textId="77777777" w:rsidR="00921721" w:rsidRPr="001569CA" w:rsidRDefault="00921721" w:rsidP="00880D09">
            <w:pPr>
              <w:pStyle w:val="anxnormal"/>
              <w:ind w:left="0"/>
              <w:rPr>
                <w:rFonts w:asciiTheme="minorHAnsi" w:hAnsiTheme="minorHAnsi"/>
                <w:lang w:eastAsia="en-US"/>
              </w:rPr>
            </w:pPr>
            <w:r>
              <w:rPr>
                <w:rFonts w:asciiTheme="minorHAnsi" w:hAnsiTheme="minorHAnsi"/>
                <w:lang w:eastAsia="en-US"/>
              </w:rPr>
              <w:t>W </w:t>
            </w:r>
            <w:r w:rsidRPr="001569CA">
              <w:rPr>
                <w:rFonts w:asciiTheme="minorHAnsi" w:hAnsiTheme="minorHAnsi"/>
                <w:lang w:eastAsia="en-US"/>
              </w:rPr>
              <w:t>celu uproszczenia obliczeń wykonywanych na potrzeby AKK dla projektów, proponuje się uwzględnienie uproszczone</w:t>
            </w:r>
            <w:r>
              <w:rPr>
                <w:rFonts w:asciiTheme="minorHAnsi" w:hAnsiTheme="minorHAnsi"/>
                <w:lang w:eastAsia="en-US"/>
              </w:rPr>
              <w:t>j</w:t>
            </w:r>
            <w:r w:rsidRPr="001569CA">
              <w:rPr>
                <w:rFonts w:asciiTheme="minorHAnsi" w:hAnsiTheme="minorHAnsi"/>
                <w:lang w:eastAsia="en-US"/>
              </w:rPr>
              <w:t xml:space="preserve"> ewolucji składu floty w</w:t>
            </w:r>
            <w:r>
              <w:rPr>
                <w:rFonts w:asciiTheme="minorHAnsi" w:hAnsiTheme="minorHAnsi"/>
                <w:lang w:eastAsia="en-US"/>
              </w:rPr>
              <w:t> </w:t>
            </w:r>
            <w:r w:rsidRPr="001569CA">
              <w:rPr>
                <w:rFonts w:asciiTheme="minorHAnsi" w:hAnsiTheme="minorHAnsi"/>
                <w:lang w:eastAsia="en-US"/>
              </w:rPr>
              <w:t xml:space="preserve">czasie przedstawione poniżej. Jest ona </w:t>
            </w:r>
            <w:r>
              <w:rPr>
                <w:rFonts w:asciiTheme="minorHAnsi" w:hAnsiTheme="minorHAnsi"/>
                <w:lang w:eastAsia="en-US"/>
              </w:rPr>
              <w:t>oparta na scenariuszu bazowym i </w:t>
            </w:r>
            <w:r w:rsidRPr="001569CA">
              <w:rPr>
                <w:rFonts w:asciiTheme="minorHAnsi" w:hAnsiTheme="minorHAnsi"/>
                <w:lang w:eastAsia="en-US"/>
              </w:rPr>
              <w:t>konsekwentnym zastosowaniu następujących założeń: pojazdy CNG/LPG mają osiągi po</w:t>
            </w:r>
            <w:r>
              <w:rPr>
                <w:rFonts w:asciiTheme="minorHAnsi" w:hAnsiTheme="minorHAnsi"/>
                <w:lang w:eastAsia="en-US"/>
              </w:rPr>
              <w:t>dobne do silników benzynowych i dlatego uwzględniono je w </w:t>
            </w:r>
            <w:r w:rsidRPr="001569CA">
              <w:rPr>
                <w:rFonts w:asciiTheme="minorHAnsi" w:hAnsiTheme="minorHAnsi"/>
                <w:lang w:eastAsia="en-US"/>
              </w:rPr>
              <w:t xml:space="preserve">ich ogólnym </w:t>
            </w:r>
            <w:r>
              <w:rPr>
                <w:rFonts w:asciiTheme="minorHAnsi" w:hAnsiTheme="minorHAnsi"/>
                <w:lang w:eastAsia="en-US"/>
              </w:rPr>
              <w:t>udziale; hybrydy uwzględniono w </w:t>
            </w:r>
            <w:r w:rsidRPr="001569CA">
              <w:rPr>
                <w:rFonts w:asciiTheme="minorHAnsi" w:hAnsiTheme="minorHAnsi"/>
                <w:lang w:eastAsia="en-US"/>
              </w:rPr>
              <w:t>udziale pojazdów elektrycznych. Oc</w:t>
            </w:r>
            <w:r>
              <w:rPr>
                <w:rFonts w:asciiTheme="minorHAnsi" w:hAnsiTheme="minorHAnsi"/>
                <w:lang w:eastAsia="en-US"/>
              </w:rPr>
              <w:t>zywiście, możliwe jest (i </w:t>
            </w:r>
            <w:r w:rsidRPr="001569CA">
              <w:rPr>
                <w:rFonts w:asciiTheme="minorHAnsi" w:hAnsiTheme="minorHAnsi"/>
                <w:lang w:eastAsia="en-US"/>
              </w:rPr>
              <w:t>może być zalecane) uwzględnienie szczegółowego składu floty, kiedy szczegółowym celem analizy jest zbadanie wpływu zmian floty.</w:t>
            </w:r>
          </w:p>
          <w:p w14:paraId="03C38CB0" w14:textId="77777777" w:rsidR="00921721" w:rsidRPr="00DF0989" w:rsidRDefault="00921721" w:rsidP="00880D09">
            <w:pPr>
              <w:pStyle w:val="anxnormal"/>
              <w:ind w:left="0"/>
              <w:rPr>
                <w:rFonts w:asciiTheme="minorHAnsi" w:hAnsiTheme="minorHAnsi"/>
                <w:lang w:eastAsia="en-US"/>
              </w:rPr>
            </w:pPr>
          </w:p>
          <w:p w14:paraId="7FF8E54B" w14:textId="77777777" w:rsidR="00921721" w:rsidRPr="00DF0989" w:rsidRDefault="00921721" w:rsidP="00880D09">
            <w:pPr>
              <w:pStyle w:val="anxnormal"/>
              <w:ind w:left="0"/>
              <w:rPr>
                <w:rFonts w:asciiTheme="minorHAnsi" w:hAnsiTheme="minorHAnsi"/>
                <w:lang w:eastAsia="en-US"/>
              </w:rPr>
            </w:pPr>
            <w:r w:rsidRPr="00DF0989">
              <w:rPr>
                <w:rFonts w:asciiTheme="minorHAnsi" w:hAnsiTheme="minorHAnsi"/>
                <w:lang w:eastAsia="en-US"/>
              </w:rPr>
              <w:t xml:space="preserve">Ogólna struktura floty pojazdów kategorii LV prognozowana dla celów AKK </w:t>
            </w:r>
          </w:p>
          <w:tbl>
            <w:tblPr>
              <w:tblW w:w="6519" w:type="dxa"/>
              <w:tblLayout w:type="fixed"/>
              <w:tblLook w:val="04A0" w:firstRow="1" w:lastRow="0" w:firstColumn="1" w:lastColumn="0" w:noHBand="0" w:noVBand="1"/>
            </w:tblPr>
            <w:tblGrid>
              <w:gridCol w:w="2602"/>
              <w:gridCol w:w="1305"/>
              <w:gridCol w:w="1306"/>
              <w:gridCol w:w="1306"/>
            </w:tblGrid>
            <w:tr w:rsidR="00921721" w:rsidRPr="00F354E0" w14:paraId="200E79F9" w14:textId="77777777" w:rsidTr="00880D09">
              <w:trPr>
                <w:trHeight w:hRule="exact" w:val="397"/>
              </w:trPr>
              <w:tc>
                <w:tcPr>
                  <w:tcW w:w="2602"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A8178A4" w14:textId="77777777" w:rsidR="00921721" w:rsidRPr="0093235F" w:rsidRDefault="00921721" w:rsidP="00880D09">
                  <w:pPr>
                    <w:snapToGrid w:val="0"/>
                    <w:spacing w:before="20" w:after="20"/>
                    <w:rPr>
                      <w:rFonts w:asciiTheme="minorHAnsi" w:hAnsiTheme="minorHAnsi" w:cs="Arial"/>
                      <w:b/>
                      <w:bCs/>
                      <w:color w:val="FFFFFF"/>
                      <w:sz w:val="18"/>
                      <w:szCs w:val="18"/>
                    </w:rPr>
                  </w:pPr>
                  <w:r w:rsidRPr="0093235F">
                    <w:rPr>
                      <w:rFonts w:asciiTheme="minorHAnsi" w:hAnsiTheme="minorHAnsi" w:cs="Arial"/>
                      <w:b/>
                      <w:bCs/>
                      <w:color w:val="FFFFFF"/>
                      <w:sz w:val="18"/>
                      <w:szCs w:val="18"/>
                    </w:rPr>
                    <w:t>Rodzaj paliwa</w:t>
                  </w:r>
                </w:p>
              </w:tc>
              <w:tc>
                <w:tcPr>
                  <w:tcW w:w="1305"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3FDF1F0" w14:textId="77777777" w:rsidR="00921721" w:rsidRPr="0093235F" w:rsidRDefault="00921721" w:rsidP="00880D09">
                  <w:pPr>
                    <w:snapToGrid w:val="0"/>
                    <w:spacing w:before="20" w:after="20"/>
                    <w:jc w:val="center"/>
                    <w:rPr>
                      <w:rFonts w:asciiTheme="minorHAnsi" w:hAnsiTheme="minorHAnsi" w:cs="Arial"/>
                      <w:b/>
                      <w:bCs/>
                      <w:color w:val="FFFFFF"/>
                      <w:sz w:val="18"/>
                      <w:szCs w:val="18"/>
                    </w:rPr>
                  </w:pPr>
                  <w:r w:rsidRPr="0093235F">
                    <w:rPr>
                      <w:rFonts w:asciiTheme="minorHAnsi" w:hAnsiTheme="minorHAnsi" w:cs="Arial"/>
                      <w:b/>
                      <w:bCs/>
                      <w:color w:val="FFFFFF"/>
                      <w:sz w:val="18"/>
                      <w:szCs w:val="18"/>
                    </w:rPr>
                    <w:t>koniec 2019</w:t>
                  </w:r>
                </w:p>
              </w:tc>
              <w:tc>
                <w:tcPr>
                  <w:tcW w:w="1306"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0374D2B" w14:textId="77777777" w:rsidR="00921721" w:rsidRPr="0093235F" w:rsidRDefault="00921721" w:rsidP="00880D09">
                  <w:pPr>
                    <w:snapToGrid w:val="0"/>
                    <w:spacing w:before="20" w:after="20"/>
                    <w:jc w:val="center"/>
                    <w:rPr>
                      <w:rFonts w:asciiTheme="minorHAnsi" w:hAnsiTheme="minorHAnsi" w:cs="Arial"/>
                      <w:b/>
                      <w:bCs/>
                      <w:color w:val="FFFFFF"/>
                      <w:sz w:val="18"/>
                      <w:szCs w:val="18"/>
                    </w:rPr>
                  </w:pPr>
                  <w:r w:rsidRPr="0093235F">
                    <w:rPr>
                      <w:rFonts w:asciiTheme="minorHAnsi" w:hAnsiTheme="minorHAnsi" w:cs="Arial"/>
                      <w:b/>
                      <w:bCs/>
                      <w:color w:val="FFFFFF"/>
                      <w:sz w:val="18"/>
                      <w:szCs w:val="18"/>
                    </w:rPr>
                    <w:t>2030</w:t>
                  </w:r>
                </w:p>
              </w:tc>
              <w:tc>
                <w:tcPr>
                  <w:tcW w:w="1306" w:type="dxa"/>
                  <w:tcBorders>
                    <w:top w:val="single" w:sz="4" w:space="0" w:color="FFFFFF"/>
                    <w:left w:val="single" w:sz="4" w:space="0" w:color="FFFFFF"/>
                    <w:bottom w:val="single" w:sz="4" w:space="0" w:color="FFFFFF"/>
                    <w:right w:val="nil"/>
                  </w:tcBorders>
                  <w:shd w:val="clear" w:color="auto" w:fill="A6A6A6" w:themeFill="background1" w:themeFillShade="A6"/>
                </w:tcPr>
                <w:p w14:paraId="44984150" w14:textId="77777777" w:rsidR="00921721" w:rsidRPr="0093235F" w:rsidRDefault="00921721" w:rsidP="00880D09">
                  <w:pPr>
                    <w:snapToGrid w:val="0"/>
                    <w:spacing w:before="20" w:after="20"/>
                    <w:jc w:val="center"/>
                    <w:rPr>
                      <w:rFonts w:asciiTheme="minorHAnsi" w:hAnsiTheme="minorHAnsi" w:cs="Arial"/>
                      <w:b/>
                      <w:bCs/>
                      <w:color w:val="FFFFFF"/>
                      <w:sz w:val="18"/>
                      <w:szCs w:val="18"/>
                    </w:rPr>
                  </w:pPr>
                  <w:r w:rsidRPr="0093235F">
                    <w:rPr>
                      <w:rFonts w:asciiTheme="minorHAnsi" w:hAnsiTheme="minorHAnsi" w:cs="Arial"/>
                      <w:b/>
                      <w:bCs/>
                      <w:color w:val="FFFFFF"/>
                      <w:sz w:val="18"/>
                      <w:szCs w:val="18"/>
                    </w:rPr>
                    <w:t>2050</w:t>
                  </w:r>
                </w:p>
              </w:tc>
            </w:tr>
            <w:tr w:rsidR="00921721" w:rsidRPr="00F354E0" w14:paraId="7E381147" w14:textId="77777777" w:rsidTr="00880D09">
              <w:trPr>
                <w:trHeight w:val="330"/>
              </w:trPr>
              <w:tc>
                <w:tcPr>
                  <w:tcW w:w="260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6A0C1D" w14:textId="77777777" w:rsidR="00921721" w:rsidRPr="0093235F" w:rsidRDefault="00921721" w:rsidP="00880D09">
                  <w:pP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Spalinowe</w:t>
                  </w:r>
                </w:p>
              </w:tc>
              <w:tc>
                <w:tcPr>
                  <w:tcW w:w="1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5F9964"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100,00%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8C578A"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92,20%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E07042D"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66,90%</w:t>
                  </w:r>
                </w:p>
              </w:tc>
            </w:tr>
            <w:tr w:rsidR="00921721" w:rsidRPr="00F354E0" w14:paraId="1A94E37D" w14:textId="77777777" w:rsidTr="00880D09">
              <w:trPr>
                <w:trHeight w:val="330"/>
              </w:trPr>
              <w:tc>
                <w:tcPr>
                  <w:tcW w:w="260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FBD651" w14:textId="77777777" w:rsidR="00921721" w:rsidRPr="0093235F" w:rsidRDefault="00921721" w:rsidP="00880D09">
                  <w:pP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Elektryczne</w:t>
                  </w:r>
                </w:p>
              </w:tc>
              <w:tc>
                <w:tcPr>
                  <w:tcW w:w="1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59AF47"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0,00%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A60611"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7,80%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439AC1"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33,10%</w:t>
                  </w:r>
                </w:p>
              </w:tc>
            </w:tr>
          </w:tbl>
          <w:p w14:paraId="5CE7F22C" w14:textId="77777777" w:rsidR="00921721" w:rsidRPr="00F354E0" w:rsidRDefault="00921721" w:rsidP="00880D09">
            <w:pPr>
              <w:pStyle w:val="anxnormal"/>
              <w:ind w:left="0"/>
              <w:rPr>
                <w:rFonts w:asciiTheme="minorHAnsi" w:hAnsiTheme="minorHAnsi" w:cstheme="minorHAnsi"/>
                <w:b/>
                <w:i/>
                <w:lang w:eastAsia="en-US"/>
              </w:rPr>
            </w:pPr>
            <w:r w:rsidRPr="00F354E0">
              <w:rPr>
                <w:rStyle w:val="jlqj4b"/>
                <w:rFonts w:asciiTheme="minorHAnsi" w:hAnsiTheme="minorHAnsi" w:cstheme="minorHAnsi"/>
                <w:b/>
                <w:i/>
                <w:color w:val="000000"/>
              </w:rPr>
              <w:t>Powyższe prognozy dotyczące udziałów pojazdów elektrycznych należy zweryfikować w</w:t>
            </w:r>
            <w:r>
              <w:rPr>
                <w:rStyle w:val="jlqj4b"/>
                <w:rFonts w:asciiTheme="minorHAnsi" w:hAnsiTheme="minorHAnsi" w:cstheme="minorHAnsi"/>
                <w:b/>
                <w:i/>
                <w:color w:val="000000"/>
              </w:rPr>
              <w:t> </w:t>
            </w:r>
            <w:r w:rsidRPr="00F354E0">
              <w:rPr>
                <w:rStyle w:val="jlqj4b"/>
                <w:rFonts w:asciiTheme="minorHAnsi" w:hAnsiTheme="minorHAnsi" w:cstheme="minorHAnsi"/>
                <w:b/>
                <w:i/>
                <w:color w:val="000000"/>
              </w:rPr>
              <w:t>okresie programowania finansowego 2021-2027, gdy tylko dostępne będą aktualne i wiarygodne prognozy dla Polski.</w:t>
            </w:r>
          </w:p>
          <w:p w14:paraId="494271ED" w14:textId="77777777" w:rsidR="00921721" w:rsidRDefault="00921721" w:rsidP="00880D09">
            <w:pPr>
              <w:pStyle w:val="anxnormal"/>
              <w:ind w:left="0"/>
              <w:rPr>
                <w:rFonts w:asciiTheme="minorHAnsi" w:hAnsiTheme="minorHAnsi"/>
                <w:u w:val="single"/>
                <w:lang w:eastAsia="en-US"/>
              </w:rPr>
            </w:pPr>
          </w:p>
          <w:p w14:paraId="1519792D" w14:textId="77777777" w:rsidR="00921721" w:rsidRDefault="00921721" w:rsidP="00880D09">
            <w:pPr>
              <w:pStyle w:val="anxnormal"/>
              <w:ind w:left="0"/>
              <w:rPr>
                <w:rFonts w:asciiTheme="minorHAnsi" w:hAnsiTheme="minorHAnsi"/>
                <w:u w:val="single"/>
                <w:lang w:eastAsia="en-US"/>
              </w:rPr>
            </w:pPr>
            <w:r>
              <w:rPr>
                <w:rFonts w:asciiTheme="minorHAnsi" w:hAnsiTheme="minorHAnsi"/>
                <w:u w:val="single"/>
                <w:lang w:eastAsia="en-US"/>
              </w:rPr>
              <w:t>Pojazdy HGV – skład floty</w:t>
            </w:r>
          </w:p>
          <w:p w14:paraId="0D4A724A" w14:textId="77777777" w:rsidR="00921721" w:rsidRPr="001569CA" w:rsidRDefault="00921721" w:rsidP="00880D09">
            <w:pPr>
              <w:pStyle w:val="anxnormal"/>
              <w:ind w:left="0"/>
              <w:rPr>
                <w:rFonts w:asciiTheme="minorHAnsi" w:hAnsiTheme="minorHAnsi"/>
                <w:lang w:eastAsia="en-US"/>
              </w:rPr>
            </w:pPr>
            <w:r w:rsidRPr="001569CA">
              <w:rPr>
                <w:rFonts w:asciiTheme="minorHAnsi" w:hAnsiTheme="minorHAnsi"/>
                <w:lang w:eastAsia="en-US"/>
              </w:rPr>
              <w:t xml:space="preserve">Zakłada się, </w:t>
            </w:r>
            <w:r>
              <w:rPr>
                <w:rFonts w:asciiTheme="minorHAnsi" w:hAnsiTheme="minorHAnsi"/>
                <w:lang w:eastAsia="en-US"/>
              </w:rPr>
              <w:t>że</w:t>
            </w:r>
            <w:r w:rsidRPr="001569CA">
              <w:rPr>
                <w:rFonts w:asciiTheme="minorHAnsi" w:hAnsiTheme="minorHAnsi"/>
                <w:lang w:eastAsia="en-US"/>
              </w:rPr>
              <w:t xml:space="preserve"> struktura floty pojazdów kategorii HGV pozostanie w 1</w:t>
            </w:r>
            <w:r>
              <w:rPr>
                <w:rFonts w:asciiTheme="minorHAnsi" w:hAnsiTheme="minorHAnsi"/>
                <w:lang w:eastAsia="en-US"/>
              </w:rPr>
              <w:t>00% oparta na oleju napędowym w </w:t>
            </w:r>
            <w:r w:rsidRPr="001569CA">
              <w:rPr>
                <w:rFonts w:asciiTheme="minorHAnsi" w:hAnsiTheme="minorHAnsi"/>
                <w:lang w:eastAsia="en-US"/>
              </w:rPr>
              <w:t>okresie analizy.</w:t>
            </w:r>
          </w:p>
          <w:bookmarkEnd w:id="124"/>
          <w:p w14:paraId="7C0F4A89" w14:textId="77777777" w:rsidR="00921721" w:rsidRDefault="00921721" w:rsidP="00880D09">
            <w:pPr>
              <w:pStyle w:val="anxnormal"/>
              <w:ind w:left="0"/>
              <w:rPr>
                <w:rFonts w:asciiTheme="minorHAnsi" w:hAnsiTheme="minorHAnsi"/>
                <w:u w:val="single"/>
                <w:lang w:eastAsia="en-US"/>
              </w:rPr>
            </w:pPr>
          </w:p>
          <w:p w14:paraId="71AB58D0" w14:textId="77777777" w:rsidR="00921721" w:rsidRDefault="00921721" w:rsidP="00880D09">
            <w:pPr>
              <w:pStyle w:val="anxnormal"/>
              <w:ind w:left="0"/>
              <w:rPr>
                <w:rFonts w:asciiTheme="minorHAnsi" w:hAnsiTheme="minorHAnsi"/>
                <w:u w:val="single"/>
                <w:lang w:eastAsia="en-US"/>
              </w:rPr>
            </w:pPr>
          </w:p>
          <w:p w14:paraId="557B04E5"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lastRenderedPageBreak/>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6B779D3B" w14:textId="77777777" w:rsidR="00921721" w:rsidRPr="00AD3A1D" w:rsidRDefault="00921721" w:rsidP="00880D09">
            <w:pPr>
              <w:pStyle w:val="anxnormal"/>
              <w:ind w:left="0"/>
              <w:rPr>
                <w:rFonts w:asciiTheme="minorHAnsi" w:hAnsiTheme="minorHAnsi"/>
                <w:lang w:eastAsia="en-US"/>
              </w:rPr>
            </w:pPr>
            <w:r w:rsidRPr="00731E4E">
              <w:rPr>
                <w:rFonts w:asciiTheme="minorHAnsi" w:hAnsiTheme="minorHAnsi"/>
                <w:lang w:eastAsia="en-US"/>
              </w:rPr>
              <w:t>Zakłada się brak realnego wzrostu jednostkowych kosztów eksploatacji pojazdów w</w:t>
            </w:r>
            <w:r>
              <w:rPr>
                <w:rFonts w:asciiTheme="minorHAnsi" w:hAnsiTheme="minorHAnsi"/>
                <w:lang w:eastAsia="en-US"/>
              </w:rPr>
              <w:t> </w:t>
            </w:r>
            <w:r w:rsidRPr="00731E4E">
              <w:rPr>
                <w:rFonts w:asciiTheme="minorHAnsi" w:hAnsiTheme="minorHAnsi"/>
                <w:lang w:eastAsia="en-US"/>
              </w:rPr>
              <w:t>czasie.</w:t>
            </w:r>
            <w:r w:rsidRPr="002C6855">
              <w:rPr>
                <w:rFonts w:asciiTheme="minorHAnsi" w:hAnsiTheme="minorHAnsi"/>
                <w:lang w:eastAsia="en-US"/>
              </w:rPr>
              <w:t xml:space="preserve"> </w:t>
            </w:r>
            <w:r w:rsidRPr="00B72029">
              <w:rPr>
                <w:rFonts w:asciiTheme="minorHAnsi" w:hAnsiTheme="minorHAnsi"/>
                <w:lang w:eastAsia="en-US"/>
              </w:rPr>
              <w:t>Należy jedynie uwzględnić indeksację nominalną wskaźnikiem polskiej inflacji CPI do poziomu cenowego właściwego dla roku bazowego, kiedy rok bazowy zmieni się z obecnie przyjętego (202</w:t>
            </w:r>
            <w:r>
              <w:rPr>
                <w:rFonts w:asciiTheme="minorHAnsi" w:hAnsiTheme="minorHAnsi"/>
                <w:lang w:eastAsia="en-US"/>
              </w:rPr>
              <w:t>1</w:t>
            </w:r>
            <w:r w:rsidRPr="00B72029">
              <w:rPr>
                <w:rFonts w:asciiTheme="minorHAnsi" w:hAnsiTheme="minorHAnsi"/>
                <w:lang w:eastAsia="en-US"/>
              </w:rPr>
              <w:t>) na późniejszy.</w:t>
            </w:r>
          </w:p>
          <w:p w14:paraId="66D7CAAE" w14:textId="77777777" w:rsidR="00921721" w:rsidRDefault="00921721" w:rsidP="00880D09">
            <w:pPr>
              <w:pStyle w:val="anxnormal"/>
              <w:ind w:left="0"/>
              <w:rPr>
                <w:rFonts w:asciiTheme="minorHAnsi" w:hAnsiTheme="minorHAnsi"/>
                <w:lang w:eastAsia="en-US"/>
              </w:rPr>
            </w:pPr>
          </w:p>
          <w:p w14:paraId="7F8764ED" w14:textId="77777777" w:rsidR="00921721" w:rsidRPr="00B72029" w:rsidRDefault="00921721" w:rsidP="00880D09">
            <w:pPr>
              <w:pStyle w:val="anxnormal"/>
              <w:ind w:left="0"/>
              <w:rPr>
                <w:rFonts w:asciiTheme="minorHAnsi" w:hAnsiTheme="minorHAnsi" w:cs="Arial-Narrow,Bold"/>
                <w:b/>
                <w:bCs/>
                <w:color w:val="4F81BD" w:themeColor="accent1"/>
                <w:sz w:val="23"/>
                <w:szCs w:val="23"/>
                <w:lang w:eastAsia="en-GB"/>
              </w:rPr>
            </w:pPr>
            <w:r w:rsidRPr="006854F1">
              <w:rPr>
                <w:rFonts w:asciiTheme="minorHAnsi" w:hAnsiTheme="minorHAnsi" w:cs="Arial-Narrow,Bold"/>
                <w:b/>
                <w:bCs/>
                <w:color w:val="4F81BD" w:themeColor="accent1"/>
                <w:sz w:val="23"/>
                <w:szCs w:val="23"/>
                <w:lang w:eastAsia="en-GB"/>
              </w:rPr>
              <w:t xml:space="preserve">5. </w:t>
            </w:r>
            <w:r w:rsidRPr="00B72029">
              <w:rPr>
                <w:rFonts w:asciiTheme="minorHAnsi" w:hAnsiTheme="minorHAnsi" w:cs="Arial-Narrow,Bold"/>
                <w:b/>
                <w:bCs/>
                <w:color w:val="4F81BD" w:themeColor="accent1"/>
                <w:sz w:val="23"/>
                <w:szCs w:val="23"/>
                <w:lang w:eastAsia="en-GB"/>
              </w:rPr>
              <w:t xml:space="preserve">Koszty wypadków drogowych </w:t>
            </w:r>
          </w:p>
          <w:p w14:paraId="0837D1A3" w14:textId="77777777" w:rsidR="00921721" w:rsidRPr="00731E4E" w:rsidRDefault="00921721" w:rsidP="00880D09">
            <w:pPr>
              <w:pStyle w:val="anxnormal"/>
              <w:spacing w:before="0"/>
              <w:ind w:left="0"/>
              <w:rPr>
                <w:rFonts w:asciiTheme="minorHAnsi" w:hAnsiTheme="minorHAnsi"/>
                <w:lang w:eastAsia="en-US"/>
              </w:rPr>
            </w:pPr>
            <w:r w:rsidRPr="00B72029">
              <w:rPr>
                <w:rFonts w:asciiTheme="minorHAnsi" w:hAnsiTheme="minorHAnsi"/>
                <w:lang w:eastAsia="en-US"/>
              </w:rPr>
              <w:t>Koszty jednostkowe zdarzeń drogowych (PLN/zdarzenie), ceny 202</w:t>
            </w:r>
            <w:r>
              <w:rPr>
                <w:rFonts w:asciiTheme="minorHAnsi" w:hAnsiTheme="minorHAnsi"/>
                <w:lang w:eastAsia="en-US"/>
              </w:rPr>
              <w:t xml:space="preserve">1 </w:t>
            </w:r>
          </w:p>
          <w:tbl>
            <w:tblPr>
              <w:tblW w:w="6553" w:type="dxa"/>
              <w:tblLayout w:type="fixed"/>
              <w:tblLook w:val="04A0" w:firstRow="1" w:lastRow="0" w:firstColumn="1" w:lastColumn="0" w:noHBand="0" w:noVBand="1"/>
            </w:tblPr>
            <w:tblGrid>
              <w:gridCol w:w="679"/>
              <w:gridCol w:w="1473"/>
              <w:gridCol w:w="1465"/>
              <w:gridCol w:w="1464"/>
              <w:gridCol w:w="1472"/>
            </w:tblGrid>
            <w:tr w:rsidR="00921721" w:rsidRPr="00CA444D" w14:paraId="3ABC8ED7" w14:textId="77777777" w:rsidTr="00880D09">
              <w:trPr>
                <w:trHeight w:hRule="exact" w:val="280"/>
              </w:trPr>
              <w:tc>
                <w:tcPr>
                  <w:tcW w:w="679"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071FF4D"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Rok</w:t>
                  </w:r>
                </w:p>
              </w:tc>
              <w:tc>
                <w:tcPr>
                  <w:tcW w:w="5874" w:type="dxa"/>
                  <w:gridSpan w:val="4"/>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05C29CE"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Koszty (PLN)</w:t>
                  </w:r>
                </w:p>
              </w:tc>
            </w:tr>
            <w:tr w:rsidR="00921721" w:rsidRPr="00CA444D" w14:paraId="2EC219A7" w14:textId="77777777" w:rsidTr="00880D09">
              <w:trPr>
                <w:trHeight w:hRule="exact" w:val="497"/>
              </w:trPr>
              <w:tc>
                <w:tcPr>
                  <w:tcW w:w="679"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EC0A120" w14:textId="77777777" w:rsidR="00921721" w:rsidRPr="00CA444D" w:rsidRDefault="00921721" w:rsidP="00880D09">
                  <w:pPr>
                    <w:jc w:val="center"/>
                    <w:rPr>
                      <w:rFonts w:asciiTheme="minorHAnsi" w:hAnsiTheme="minorHAnsi" w:cs="Arial"/>
                      <w:b/>
                      <w:bCs/>
                      <w:color w:val="FFFFFF"/>
                      <w:sz w:val="14"/>
                      <w:szCs w:val="14"/>
                    </w:rPr>
                  </w:pPr>
                </w:p>
              </w:tc>
              <w:tc>
                <w:tcPr>
                  <w:tcW w:w="14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EF22C5A"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Ofiar</w:t>
                  </w:r>
                  <w:r w:rsidRPr="00CA444D">
                    <w:rPr>
                      <w:rFonts w:asciiTheme="minorHAnsi" w:hAnsiTheme="minorHAnsi" w:cs="Arial"/>
                      <w:b/>
                      <w:bCs/>
                      <w:color w:val="FFFFFF"/>
                      <w:sz w:val="14"/>
                      <w:szCs w:val="14"/>
                    </w:rPr>
                    <w:br/>
                    <w:t>śmiertelnych</w:t>
                  </w:r>
                </w:p>
              </w:tc>
              <w:tc>
                <w:tcPr>
                  <w:tcW w:w="146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B9C6FE8"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 xml:space="preserve">Ciężko </w:t>
                  </w:r>
                  <w:r>
                    <w:rPr>
                      <w:rFonts w:asciiTheme="minorHAnsi" w:hAnsiTheme="minorHAnsi" w:cs="Arial"/>
                      <w:b/>
                      <w:bCs/>
                      <w:color w:val="FFFFFF"/>
                      <w:sz w:val="14"/>
                      <w:szCs w:val="14"/>
                    </w:rPr>
                    <w:t>r</w:t>
                  </w:r>
                  <w:r w:rsidRPr="00CA444D">
                    <w:rPr>
                      <w:rFonts w:asciiTheme="minorHAnsi" w:hAnsiTheme="minorHAnsi" w:cs="Arial"/>
                      <w:b/>
                      <w:bCs/>
                      <w:color w:val="FFFFFF"/>
                      <w:sz w:val="14"/>
                      <w:szCs w:val="14"/>
                    </w:rPr>
                    <w:t>annych</w:t>
                  </w:r>
                </w:p>
              </w:tc>
              <w:tc>
                <w:tcPr>
                  <w:tcW w:w="146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B7DF0D3"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Pr>
                      <w:rFonts w:asciiTheme="minorHAnsi" w:hAnsiTheme="minorHAnsi" w:cs="Arial"/>
                      <w:b/>
                      <w:bCs/>
                      <w:color w:val="FFFFFF"/>
                      <w:sz w:val="14"/>
                      <w:szCs w:val="14"/>
                    </w:rPr>
                    <w:t>Lekko r</w:t>
                  </w:r>
                  <w:r w:rsidRPr="00CA444D">
                    <w:rPr>
                      <w:rFonts w:asciiTheme="minorHAnsi" w:hAnsiTheme="minorHAnsi" w:cs="Arial"/>
                      <w:b/>
                      <w:bCs/>
                      <w:color w:val="FFFFFF"/>
                      <w:sz w:val="14"/>
                      <w:szCs w:val="14"/>
                    </w:rPr>
                    <w:t>annych</w:t>
                  </w:r>
                </w:p>
              </w:tc>
              <w:tc>
                <w:tcPr>
                  <w:tcW w:w="1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98C8473"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Straty materialne</w:t>
                  </w:r>
                </w:p>
              </w:tc>
            </w:tr>
            <w:tr w:rsidR="00921721" w:rsidRPr="00CA444D" w14:paraId="2F07D99A"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5EE864"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06448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572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886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7FE71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367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D0C3A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805</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EED255"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548</w:t>
                  </w:r>
                </w:p>
              </w:tc>
            </w:tr>
            <w:tr w:rsidR="00921721" w:rsidRPr="00CA444D" w14:paraId="5D122B9D"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33B0CD"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1289BA" w14:textId="77777777" w:rsidR="00921721" w:rsidRPr="00CA444D" w:rsidRDefault="00921721" w:rsidP="00880D09">
                  <w:pPr>
                    <w:jc w:val="center"/>
                    <w:rPr>
                      <w:rFonts w:asciiTheme="minorHAnsi" w:hAnsiTheme="minorHAnsi" w:cs="Calibri"/>
                      <w:color w:val="4F81BD" w:themeColor="accent1"/>
                      <w:sz w:val="14"/>
                      <w:szCs w:val="14"/>
                      <w:lang w:eastAsia="en-GB"/>
                    </w:rPr>
                  </w:pPr>
                  <w:r w:rsidRPr="0082420E">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82420E">
                    <w:rPr>
                      <w:rFonts w:asciiTheme="minorHAnsi" w:hAnsiTheme="minorHAnsi" w:cs="Arial"/>
                      <w:color w:val="4F81BD" w:themeColor="accent1"/>
                      <w:sz w:val="15"/>
                      <w:szCs w:val="15"/>
                    </w:rPr>
                    <w:t>677</w:t>
                  </w:r>
                  <w:r>
                    <w:rPr>
                      <w:rFonts w:asciiTheme="minorHAnsi" w:hAnsiTheme="minorHAnsi" w:cs="Arial"/>
                      <w:color w:val="4F81BD" w:themeColor="accent1"/>
                      <w:sz w:val="15"/>
                      <w:szCs w:val="15"/>
                    </w:rPr>
                    <w:t xml:space="preserve"> </w:t>
                  </w:r>
                  <w:r w:rsidRPr="0082420E">
                    <w:rPr>
                      <w:rFonts w:asciiTheme="minorHAnsi" w:hAnsiTheme="minorHAnsi" w:cs="Arial"/>
                      <w:color w:val="4F81BD" w:themeColor="accent1"/>
                      <w:sz w:val="15"/>
                      <w:szCs w:val="15"/>
                    </w:rPr>
                    <w:t xml:space="preserve">571 </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3A9BE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704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190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7CE0D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912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CB4B3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221</w:t>
                  </w:r>
                </w:p>
              </w:tc>
            </w:tr>
            <w:tr w:rsidR="00921721" w:rsidRPr="00CA444D" w14:paraId="3A5CD96A"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2018AE"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5F7B3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780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07BD8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FFEE1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983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5DCBB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882</w:t>
                  </w:r>
                </w:p>
              </w:tc>
            </w:tr>
            <w:tr w:rsidR="00921721" w:rsidRPr="00CA444D" w14:paraId="2DE2268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70D7840"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CAE05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0CCF6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7CA69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0EB27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18442</w:t>
                  </w:r>
                </w:p>
              </w:tc>
            </w:tr>
            <w:tr w:rsidR="00921721" w:rsidRPr="00CA444D" w14:paraId="7635C56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ECB6AC"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28D61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141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A97ED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736262"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921B7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993</w:t>
                  </w:r>
                </w:p>
              </w:tc>
            </w:tr>
            <w:tr w:rsidR="00921721" w:rsidRPr="00CA444D" w14:paraId="48803232"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E3F531"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41FF6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041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779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EF67B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041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6A766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246</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4E0E1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563</w:t>
                  </w:r>
                </w:p>
              </w:tc>
            </w:tr>
            <w:tr w:rsidR="00921721" w:rsidRPr="00CA444D" w14:paraId="48563C1B"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1282D3"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31D09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1CE98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977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37DFB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093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8E837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153</w:t>
                  </w:r>
                </w:p>
              </w:tc>
            </w:tr>
            <w:tr w:rsidR="00921721" w:rsidRPr="00CA444D" w14:paraId="6F72D97F"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4CB1CC"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4DBEB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018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9A69FE"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E1043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955</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E6CCFF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748</w:t>
                  </w:r>
                </w:p>
              </w:tc>
            </w:tr>
            <w:tr w:rsidR="00921721" w:rsidRPr="00CA444D" w14:paraId="25704C3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0EC1C4"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2C53F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126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9D394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727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ABA592"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5FBBC37"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347</w:t>
                  </w:r>
                </w:p>
              </w:tc>
            </w:tr>
            <w:tr w:rsidR="00921721" w:rsidRPr="00CA444D" w14:paraId="6678F719"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28C9B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7CEAB3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8A8ED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717</w:t>
                  </w:r>
                  <w:r w:rsidRPr="00AC34A6" w:rsidDel="001F00C4">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9649E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661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9E42E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932</w:t>
                  </w:r>
                </w:p>
              </w:tc>
            </w:tr>
            <w:tr w:rsidR="00921721" w:rsidRPr="00CA444D" w14:paraId="6E7F511A"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AC64DB"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A5F92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552875"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FE0D1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442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49C7B6" w14:textId="77777777" w:rsidR="00921721" w:rsidRPr="00CA444D" w:rsidRDefault="00921721" w:rsidP="00880D09">
                  <w:pPr>
                    <w:jc w:val="center"/>
                    <w:rPr>
                      <w:rFonts w:asciiTheme="minorHAnsi" w:hAnsiTheme="minorHAnsi" w:cs="Calibri"/>
                      <w:color w:val="4F81BD" w:themeColor="accent1"/>
                      <w:sz w:val="14"/>
                      <w:szCs w:val="14"/>
                      <w:lang w:eastAsia="en-GB"/>
                    </w:rPr>
                  </w:pPr>
                  <w:r w:rsidRPr="00AC34A6">
                    <w:rPr>
                      <w:rFonts w:asciiTheme="minorHAnsi" w:hAnsiTheme="minorHAnsi" w:cs="Arial"/>
                      <w:color w:val="4F81BD" w:themeColor="accent1"/>
                      <w:sz w:val="15"/>
                      <w:szCs w:val="15"/>
                    </w:rPr>
                    <w:t>22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501</w:t>
                  </w:r>
                </w:p>
              </w:tc>
            </w:tr>
            <w:tr w:rsidR="00921721" w:rsidRPr="00CA444D" w14:paraId="721E6C6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57574C"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BCB40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587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53844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075F4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E00B4E"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070</w:t>
                  </w:r>
                </w:p>
              </w:tc>
            </w:tr>
            <w:tr w:rsidR="00921721" w:rsidRPr="00CA444D" w14:paraId="2EC57111"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3186AF"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08A457"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95835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DD2D85"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284400"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639</w:t>
                  </w:r>
                </w:p>
              </w:tc>
            </w:tr>
            <w:tr w:rsidR="00921721" w:rsidRPr="00CA444D" w14:paraId="25EF56EF"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8F7470"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572CFA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95AAF0"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534</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CB8E8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778</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27CCF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205</w:t>
                  </w:r>
                </w:p>
              </w:tc>
            </w:tr>
            <w:tr w:rsidR="00921721" w:rsidRPr="00CA444D" w14:paraId="1AC947F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E6C69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5CAE4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96881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F00AA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FD5DE9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769</w:t>
                  </w:r>
                </w:p>
              </w:tc>
            </w:tr>
            <w:tr w:rsidR="00921721" w:rsidRPr="00CA444D" w14:paraId="76FB2A9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6DA5A9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D1615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90195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287360"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359</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DEE4C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349</w:t>
                  </w:r>
                </w:p>
              </w:tc>
            </w:tr>
            <w:tr w:rsidR="00921721" w:rsidRPr="00CA444D" w14:paraId="0C9E1574"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C9CBDCA"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29C26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893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12CE7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576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395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87932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1253CE7"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925</w:t>
                  </w:r>
                </w:p>
              </w:tc>
            </w:tr>
            <w:tr w:rsidR="00921721" w:rsidRPr="00CA444D" w14:paraId="6C5554E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A9CB13"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E0654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699BD3B"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FD423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E24A9E"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w:t>
                  </w:r>
                </w:p>
              </w:tc>
            </w:tr>
            <w:tr w:rsidR="00921721" w:rsidRPr="00CA444D" w14:paraId="5552778F"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A81DE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8F1E7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90EAB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89318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3E6AC7" w14:textId="77777777" w:rsidR="00921721" w:rsidRPr="00AA7E38"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059</w:t>
                  </w:r>
                </w:p>
                <w:p w14:paraId="06932080" w14:textId="77777777" w:rsidR="00921721" w:rsidRPr="00CA444D" w:rsidRDefault="00921721" w:rsidP="00880D09">
                  <w:pPr>
                    <w:jc w:val="center"/>
                    <w:rPr>
                      <w:rFonts w:asciiTheme="minorHAnsi" w:hAnsiTheme="minorHAnsi" w:cs="Calibri"/>
                      <w:color w:val="4F81BD" w:themeColor="accent1"/>
                      <w:sz w:val="14"/>
                      <w:szCs w:val="14"/>
                      <w:lang w:eastAsia="en-GB"/>
                    </w:rPr>
                  </w:pPr>
                </w:p>
              </w:tc>
            </w:tr>
            <w:tr w:rsidR="00921721" w:rsidRPr="00CA444D" w14:paraId="751A843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C19778"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DCAD5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747</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4F3894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E7118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978D7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615</w:t>
                  </w:r>
                </w:p>
              </w:tc>
            </w:tr>
            <w:tr w:rsidR="00921721" w:rsidRPr="00CA444D" w14:paraId="724CD4F1"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4E18C1"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186C91"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813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09E950"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057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489EF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076223"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162</w:t>
                  </w:r>
                </w:p>
              </w:tc>
            </w:tr>
            <w:tr w:rsidR="00921721" w:rsidRPr="00CA444D" w14:paraId="57CBBC3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92280D"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172FF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262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992919"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CA674C"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E97F76"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699</w:t>
                  </w:r>
                </w:p>
              </w:tc>
            </w:tr>
            <w:tr w:rsidR="00921721" w:rsidRPr="00CA444D" w14:paraId="711815E7"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FF73F9"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10FEF0"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934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10EAB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143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0A65A6"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EA56FE"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224</w:t>
                  </w:r>
                </w:p>
              </w:tc>
            </w:tr>
            <w:tr w:rsidR="00921721" w:rsidRPr="00CA444D" w14:paraId="7CC5F4E9"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0D31A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lastRenderedPageBreak/>
                    <w:t>2044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35F149"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766AC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EAB49A"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1F31CA"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760</w:t>
                  </w:r>
                </w:p>
              </w:tc>
            </w:tr>
            <w:tr w:rsidR="00921721" w:rsidRPr="00CA444D" w14:paraId="235B2A7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518960"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10161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644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2C77FA"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514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0382D1"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808</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E735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284</w:t>
                  </w:r>
                </w:p>
              </w:tc>
            </w:tr>
            <w:tr w:rsidR="00921721" w:rsidRPr="00CA444D" w14:paraId="42A0DF8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7905F9"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E70D20"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787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825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6EF8593"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E4497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E35E2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793</w:t>
                  </w:r>
                </w:p>
              </w:tc>
            </w:tr>
            <w:tr w:rsidR="00921721" w:rsidRPr="00CA444D" w14:paraId="4A0E9FAB"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AC2F90" w14:textId="77777777" w:rsidR="00921721" w:rsidRPr="00CA444D" w:rsidRDefault="00921721" w:rsidP="00880D09">
                  <w:pPr>
                    <w:spacing w:before="20"/>
                    <w:jc w:val="center"/>
                    <w:rPr>
                      <w:rFonts w:asciiTheme="minorHAnsi" w:hAnsiTheme="minorHAnsi" w:cs="Arial"/>
                      <w:color w:val="4F81BD" w:themeColor="accent1"/>
                      <w:sz w:val="14"/>
                      <w:szCs w:val="14"/>
                    </w:rPr>
                  </w:pPr>
                  <w:r w:rsidRPr="00F354E0">
                    <w:rPr>
                      <w:rFonts w:asciiTheme="minorHAnsi" w:hAnsiTheme="minorHAnsi" w:cs="Arial"/>
                      <w:color w:val="4F81BD" w:themeColor="accent1"/>
                      <w:sz w:val="15"/>
                      <w:szCs w:val="15"/>
                    </w:rPr>
                    <w:t>2047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A961E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1DDCC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159</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AB4317"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026</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3994CE"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312</w:t>
                  </w:r>
                </w:p>
              </w:tc>
            </w:tr>
            <w:tr w:rsidR="00921721" w:rsidRPr="00CA444D" w14:paraId="554B0D03"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102E20" w14:textId="77777777" w:rsidR="00921721" w:rsidRPr="00CA444D" w:rsidRDefault="00921721" w:rsidP="00880D09">
                  <w:pPr>
                    <w:spacing w:before="20"/>
                    <w:jc w:val="center"/>
                    <w:rPr>
                      <w:rFonts w:asciiTheme="minorHAnsi" w:hAnsiTheme="minorHAnsi" w:cs="Arial"/>
                      <w:color w:val="4F81BD" w:themeColor="accent1"/>
                      <w:sz w:val="14"/>
                      <w:szCs w:val="14"/>
                    </w:rPr>
                  </w:pPr>
                  <w:r w:rsidRPr="00F354E0">
                    <w:rPr>
                      <w:rFonts w:asciiTheme="minorHAnsi" w:hAnsiTheme="minorHAnsi" w:cs="Arial"/>
                      <w:color w:val="4F81BD" w:themeColor="accent1"/>
                      <w:sz w:val="15"/>
                      <w:szCs w:val="15"/>
                    </w:rPr>
                    <w:t>2048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C654A5"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AA21AB"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476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DA9442"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603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767A9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815</w:t>
                  </w:r>
                </w:p>
              </w:tc>
            </w:tr>
            <w:tr w:rsidR="00921721" w:rsidRPr="00CA444D" w14:paraId="709DE3D2"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3F1178" w14:textId="77777777" w:rsidR="00921721" w:rsidRPr="00CA444D" w:rsidRDefault="00921721" w:rsidP="00880D09">
                  <w:pPr>
                    <w:spacing w:before="20"/>
                    <w:jc w:val="center"/>
                    <w:rPr>
                      <w:rFonts w:asciiTheme="minorHAnsi" w:hAnsiTheme="minorHAnsi" w:cs="Arial"/>
                      <w:color w:val="4F81BD" w:themeColor="accent1"/>
                      <w:sz w:val="14"/>
                      <w:szCs w:val="14"/>
                    </w:rPr>
                  </w:pPr>
                  <w:r w:rsidRPr="00F354E0">
                    <w:rPr>
                      <w:rFonts w:asciiTheme="minorHAnsi" w:hAnsiTheme="minorHAnsi" w:cs="Arial"/>
                      <w:color w:val="4F81BD" w:themeColor="accent1"/>
                      <w:sz w:val="15"/>
                      <w:szCs w:val="15"/>
                    </w:rPr>
                    <w:t>2049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8DF937"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9E9DE7"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719</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1C888D"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AF56B2"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328</w:t>
                  </w:r>
                </w:p>
              </w:tc>
            </w:tr>
            <w:tr w:rsidR="00921721" w:rsidRPr="00CA444D" w14:paraId="275D838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39E479" w14:textId="77777777" w:rsidR="00921721" w:rsidRPr="00CA444D" w:rsidRDefault="00921721" w:rsidP="00880D09">
                  <w:pPr>
                    <w:jc w:val="center"/>
                    <w:rPr>
                      <w:rFonts w:asciiTheme="minorHAnsi" w:hAnsiTheme="minorHAnsi" w:cs="Calibri"/>
                      <w:color w:val="4F81BD" w:themeColor="accent1"/>
                      <w:sz w:val="14"/>
                      <w:szCs w:val="14"/>
                      <w:lang w:eastAsia="en-GB"/>
                    </w:rPr>
                  </w:pPr>
                  <w:r w:rsidRPr="00F354E0">
                    <w:rPr>
                      <w:rFonts w:asciiTheme="minorHAnsi" w:hAnsiTheme="minorHAnsi" w:cs="Arial"/>
                      <w:color w:val="4F81BD" w:themeColor="accent1"/>
                      <w:sz w:val="15"/>
                      <w:szCs w:val="15"/>
                    </w:rPr>
                    <w:t>2050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FEF97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586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B4CEF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065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908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742B33"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AA2515"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850</w:t>
                  </w:r>
                </w:p>
              </w:tc>
            </w:tr>
            <w:tr w:rsidR="00921721" w:rsidRPr="00CA444D" w14:paraId="64A96E2D"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8A9C7E"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A26331"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185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C42B57"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BF6897"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419</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31C6DB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354</w:t>
                  </w:r>
                </w:p>
              </w:tc>
            </w:tr>
            <w:tr w:rsidR="00921721" w:rsidRPr="00CA444D" w14:paraId="6713EDE4"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F4A1BE"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EDD75C"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264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6B960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67477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2D474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861</w:t>
                  </w:r>
                </w:p>
              </w:tc>
            </w:tr>
            <w:tr w:rsidR="00921721" w:rsidRPr="00CA444D" w14:paraId="0F43C175"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9A3D24"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2284479"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D7D138"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394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303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82141B"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4A239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376</w:t>
                  </w:r>
                </w:p>
              </w:tc>
            </w:tr>
            <w:tr w:rsidR="00921721" w:rsidRPr="00CA444D" w14:paraId="6076EF2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614D11"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D65B6A"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7DF45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797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134069"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257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9AECAF"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899</w:t>
                  </w:r>
                </w:p>
              </w:tc>
            </w:tr>
            <w:tr w:rsidR="00921721" w:rsidRPr="00CA444D" w14:paraId="34668AF5"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C2B058"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F40ABE"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0</w:t>
                  </w: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4CEEA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6BFEB1"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919</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16A28B"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430</w:t>
                  </w:r>
                </w:p>
              </w:tc>
            </w:tr>
            <w:tr w:rsidR="00921721" w:rsidRPr="00CA444D" w14:paraId="49207E0D"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EDB863"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6C79093"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644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020C60"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A1A8D3"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607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2D67A5A"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969</w:t>
                  </w:r>
                </w:p>
              </w:tc>
            </w:tr>
            <w:tr w:rsidR="00921721" w:rsidRPr="00CA444D" w14:paraId="7FC2D68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908AC4"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287D70"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729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E60EB7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651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35C310"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893BAA"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516</w:t>
                  </w:r>
                </w:p>
              </w:tc>
            </w:tr>
            <w:tr w:rsidR="00921721" w:rsidRPr="00CA444D" w14:paraId="50531237"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ACD6DA"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BB52EC"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68E699"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980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6364A2"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1867CD"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101</w:t>
                  </w:r>
                </w:p>
              </w:tc>
            </w:tr>
            <w:tr w:rsidR="00921721" w:rsidRPr="00CA444D" w14:paraId="00B8B5F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EEB3CE"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74A7EC"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071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5AEA8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E3A55E"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012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4BD1B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696</w:t>
                  </w:r>
                </w:p>
              </w:tc>
            </w:tr>
            <w:tr w:rsidR="00921721" w:rsidRPr="00CA444D" w14:paraId="5735D7D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299AD3"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2060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255F2D"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C13471"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238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058687"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902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06BAB8"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299</w:t>
                  </w:r>
                </w:p>
              </w:tc>
            </w:tr>
          </w:tbl>
          <w:p w14:paraId="47A7543D" w14:textId="77777777" w:rsidR="00921721" w:rsidRPr="00731E4E"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Źródło: opracowanie własne</w:t>
            </w:r>
            <w:r w:rsidRPr="008E4306">
              <w:rPr>
                <w:rFonts w:asciiTheme="minorHAnsi" w:hAnsiTheme="minorHAnsi" w:cs="Arial"/>
                <w:b/>
                <w:i/>
                <w:sz w:val="16"/>
                <w:szCs w:val="16"/>
              </w:rPr>
              <w:t xml:space="preserve"> CUPT-JASPERS </w:t>
            </w:r>
            <w:r>
              <w:rPr>
                <w:rFonts w:asciiTheme="minorHAnsi" w:hAnsiTheme="minorHAnsi" w:cs="Arial"/>
                <w:b/>
                <w:i/>
                <w:sz w:val="16"/>
                <w:szCs w:val="16"/>
              </w:rPr>
              <w:t>w oparciu o "Wycena kosztów wypadków i </w:t>
            </w:r>
            <w:r w:rsidRPr="008E4306">
              <w:rPr>
                <w:rFonts w:asciiTheme="minorHAnsi" w:hAnsiTheme="minorHAnsi" w:cs="Arial"/>
                <w:b/>
                <w:i/>
                <w:sz w:val="16"/>
                <w:szCs w:val="16"/>
              </w:rPr>
              <w:t>ko</w:t>
            </w:r>
            <w:r>
              <w:rPr>
                <w:rFonts w:asciiTheme="minorHAnsi" w:hAnsiTheme="minorHAnsi" w:cs="Arial"/>
                <w:b/>
                <w:i/>
                <w:sz w:val="16"/>
                <w:szCs w:val="16"/>
              </w:rPr>
              <w:t>lizji drogowych na sieci dróg w </w:t>
            </w:r>
            <w:r w:rsidRPr="008E4306">
              <w:rPr>
                <w:rFonts w:asciiTheme="minorHAnsi" w:hAnsiTheme="minorHAnsi" w:cs="Arial"/>
                <w:b/>
                <w:i/>
                <w:sz w:val="16"/>
                <w:szCs w:val="16"/>
              </w:rPr>
              <w:t>Polsce na koniec roku 2018, z</w:t>
            </w:r>
            <w:r>
              <w:rPr>
                <w:rFonts w:asciiTheme="minorHAnsi" w:hAnsiTheme="minorHAnsi" w:cs="Arial"/>
                <w:b/>
                <w:i/>
                <w:sz w:val="16"/>
                <w:szCs w:val="16"/>
              </w:rPr>
              <w:t> </w:t>
            </w:r>
            <w:r w:rsidRPr="008E4306">
              <w:rPr>
                <w:rFonts w:asciiTheme="minorHAnsi" w:hAnsiTheme="minorHAnsi" w:cs="Arial"/>
                <w:b/>
                <w:i/>
                <w:sz w:val="16"/>
                <w:szCs w:val="16"/>
              </w:rPr>
              <w:t>wyodrębnieniem średnich kosztów społeczno-ekonomicznych wypadków na transeuropejskiej sieci transportowej", Krajowa Rada Bezpieczeństwa Ruchu Drogowego, grudzień 20</w:t>
            </w:r>
            <w:r>
              <w:rPr>
                <w:rFonts w:asciiTheme="minorHAnsi" w:hAnsiTheme="minorHAnsi" w:cs="Arial"/>
                <w:b/>
                <w:i/>
                <w:sz w:val="16"/>
                <w:szCs w:val="16"/>
              </w:rPr>
              <w:t>19, Tabela 6.2, str. </w:t>
            </w:r>
            <w:r w:rsidRPr="008E4306">
              <w:rPr>
                <w:rFonts w:asciiTheme="minorHAnsi" w:hAnsiTheme="minorHAnsi" w:cs="Arial"/>
                <w:b/>
                <w:i/>
                <w:sz w:val="16"/>
                <w:szCs w:val="16"/>
              </w:rPr>
              <w:t>36</w:t>
            </w:r>
            <w:r>
              <w:rPr>
                <w:rFonts w:asciiTheme="minorHAnsi" w:hAnsiTheme="minorHAnsi" w:cs="Arial"/>
                <w:b/>
                <w:i/>
                <w:sz w:val="16"/>
                <w:szCs w:val="16"/>
              </w:rPr>
              <w:t>.</w:t>
            </w:r>
          </w:p>
          <w:p w14:paraId="79578AEA" w14:textId="77777777" w:rsidR="00921721" w:rsidRDefault="00921721" w:rsidP="00880D09">
            <w:pPr>
              <w:pStyle w:val="anxnormal"/>
              <w:ind w:left="0"/>
              <w:rPr>
                <w:rFonts w:asciiTheme="minorHAnsi" w:hAnsiTheme="minorHAnsi"/>
                <w:u w:val="single"/>
                <w:lang w:eastAsia="en-US"/>
              </w:rPr>
            </w:pPr>
          </w:p>
          <w:p w14:paraId="2E791C49"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773ED7EF"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Prognoza zmiany jednostkowych kosztów wypadków drogowych</w:t>
            </w:r>
            <w:r>
              <w:rPr>
                <w:rFonts w:asciiTheme="minorHAnsi" w:hAnsiTheme="minorHAnsi"/>
                <w:lang w:eastAsia="en-US"/>
              </w:rPr>
              <w:t xml:space="preserve"> w </w:t>
            </w:r>
            <w:r w:rsidRPr="00731E4E">
              <w:rPr>
                <w:rFonts w:asciiTheme="minorHAnsi" w:hAnsiTheme="minorHAnsi"/>
                <w:lang w:eastAsia="en-US"/>
              </w:rPr>
              <w:t>czasie (w</w:t>
            </w:r>
            <w:r>
              <w:rPr>
                <w:rFonts w:asciiTheme="minorHAnsi" w:hAnsiTheme="minorHAnsi"/>
                <w:lang w:eastAsia="en-US"/>
              </w:rPr>
              <w:t> </w:t>
            </w:r>
            <w:r w:rsidRPr="00731E4E">
              <w:rPr>
                <w:rFonts w:asciiTheme="minorHAnsi" w:hAnsiTheme="minorHAnsi"/>
                <w:lang w:eastAsia="en-US"/>
              </w:rPr>
              <w:t xml:space="preserve">tabeli powyżej) jest </w:t>
            </w:r>
            <w:r w:rsidRPr="001C1044">
              <w:rPr>
                <w:rFonts w:asciiTheme="minorHAnsi" w:hAnsiTheme="minorHAnsi"/>
                <w:lang w:eastAsia="en-US"/>
              </w:rPr>
              <w:t>oparta o </w:t>
            </w:r>
            <w:r>
              <w:rPr>
                <w:rFonts w:asciiTheme="minorHAnsi" w:hAnsiTheme="minorHAnsi"/>
                <w:lang w:eastAsia="en-US"/>
              </w:rPr>
              <w:t>prognozowany wzrost PKB na 1 </w:t>
            </w:r>
            <w:r w:rsidRPr="002C6855">
              <w:rPr>
                <w:rFonts w:asciiTheme="minorHAnsi" w:hAnsiTheme="minorHAnsi"/>
                <w:lang w:eastAsia="en-US"/>
              </w:rPr>
              <w:t>mieszkańca</w:t>
            </w:r>
            <w:r>
              <w:rPr>
                <w:rFonts w:asciiTheme="minorHAnsi" w:hAnsiTheme="minorHAnsi"/>
                <w:lang w:eastAsia="en-US"/>
              </w:rPr>
              <w:t xml:space="preserve"> (wartości podane w punkcie </w:t>
            </w:r>
            <w:r w:rsidRPr="002C6855">
              <w:rPr>
                <w:rFonts w:asciiTheme="minorHAnsi" w:hAnsiTheme="minorHAnsi"/>
                <w:lang w:eastAsia="en-US"/>
              </w:rPr>
              <w:t>2)</w:t>
            </w:r>
            <w:r w:rsidRPr="001C1044">
              <w:rPr>
                <w:rFonts w:asciiTheme="minorHAnsi" w:hAnsiTheme="minorHAnsi"/>
                <w:lang w:eastAsia="en-US"/>
              </w:rPr>
              <w:t xml:space="preserve"> przy zastosowaniu współczynnika elastyczności 0</w:t>
            </w:r>
            <w:r>
              <w:rPr>
                <w:rFonts w:asciiTheme="minorHAnsi" w:hAnsiTheme="minorHAnsi"/>
                <w:lang w:eastAsia="en-US"/>
              </w:rPr>
              <w:t>,</w:t>
            </w:r>
            <w:r w:rsidRPr="001C1044">
              <w:rPr>
                <w:rFonts w:asciiTheme="minorHAnsi" w:hAnsiTheme="minorHAnsi"/>
                <w:lang w:eastAsia="en-US"/>
              </w:rPr>
              <w:t>8.</w:t>
            </w:r>
          </w:p>
          <w:p w14:paraId="40EEED9A" w14:textId="77777777" w:rsidR="00921721" w:rsidRDefault="00921721" w:rsidP="00880D09">
            <w:pPr>
              <w:pStyle w:val="anxnormal"/>
              <w:ind w:left="0"/>
              <w:rPr>
                <w:rFonts w:asciiTheme="minorHAnsi" w:hAnsiTheme="minorHAnsi"/>
                <w:lang w:eastAsia="en-US"/>
              </w:rPr>
            </w:pPr>
          </w:p>
          <w:p w14:paraId="291DF780" w14:textId="77777777" w:rsidR="00921721" w:rsidRDefault="00921721" w:rsidP="00880D09">
            <w:pPr>
              <w:pStyle w:val="anxnormal"/>
              <w:ind w:left="0"/>
              <w:rPr>
                <w:rFonts w:asciiTheme="minorHAnsi" w:hAnsiTheme="minorHAnsi"/>
                <w:lang w:eastAsia="en-US"/>
              </w:rPr>
            </w:pPr>
          </w:p>
          <w:p w14:paraId="7DACB912" w14:textId="77777777" w:rsidR="00921721" w:rsidRDefault="00921721" w:rsidP="00880D09">
            <w:pPr>
              <w:pStyle w:val="anxnormal"/>
              <w:ind w:left="0"/>
              <w:rPr>
                <w:rFonts w:asciiTheme="minorHAnsi" w:hAnsiTheme="minorHAnsi"/>
                <w:lang w:eastAsia="en-US"/>
              </w:rPr>
            </w:pPr>
          </w:p>
          <w:p w14:paraId="6644E3FE" w14:textId="77777777" w:rsidR="00921721" w:rsidRDefault="00921721" w:rsidP="00880D09">
            <w:pPr>
              <w:pStyle w:val="anxnormal"/>
              <w:ind w:left="0"/>
              <w:rPr>
                <w:rFonts w:asciiTheme="minorHAnsi" w:hAnsiTheme="minorHAnsi"/>
                <w:lang w:eastAsia="en-US"/>
              </w:rPr>
            </w:pPr>
          </w:p>
          <w:p w14:paraId="7BEB7C3C" w14:textId="77777777" w:rsidR="00921721" w:rsidRDefault="00921721" w:rsidP="00880D09">
            <w:pPr>
              <w:pStyle w:val="anxnormal"/>
              <w:ind w:left="0"/>
              <w:rPr>
                <w:rFonts w:asciiTheme="minorHAnsi" w:hAnsiTheme="minorHAnsi"/>
                <w:lang w:eastAsia="en-US"/>
              </w:rPr>
            </w:pPr>
          </w:p>
          <w:p w14:paraId="1409F865" w14:textId="77777777" w:rsidR="00921721" w:rsidRDefault="00921721" w:rsidP="00880D09">
            <w:pPr>
              <w:pStyle w:val="anxnormal"/>
              <w:ind w:left="0"/>
              <w:rPr>
                <w:rFonts w:asciiTheme="minorHAnsi" w:hAnsiTheme="minorHAnsi"/>
                <w:lang w:eastAsia="en-US"/>
              </w:rPr>
            </w:pPr>
          </w:p>
          <w:p w14:paraId="5D8AF210" w14:textId="77777777" w:rsidR="00921721" w:rsidRDefault="00921721" w:rsidP="00880D09">
            <w:pPr>
              <w:pStyle w:val="anxnormal"/>
              <w:ind w:left="0"/>
              <w:rPr>
                <w:rFonts w:asciiTheme="minorHAnsi" w:hAnsiTheme="minorHAnsi"/>
                <w:lang w:eastAsia="en-US"/>
              </w:rPr>
            </w:pPr>
          </w:p>
          <w:p w14:paraId="36753292" w14:textId="77777777" w:rsidR="00921721" w:rsidRPr="00CA444D" w:rsidRDefault="00921721" w:rsidP="00880D09">
            <w:pPr>
              <w:pStyle w:val="anxnormal"/>
              <w:ind w:left="0"/>
              <w:rPr>
                <w:rFonts w:asciiTheme="minorHAnsi" w:hAnsiTheme="minorHAnsi" w:cs="Arial-Narrow,Bold"/>
                <w:b/>
                <w:bCs/>
                <w:color w:val="4F81BD" w:themeColor="accent1"/>
                <w:sz w:val="23"/>
                <w:szCs w:val="23"/>
                <w:lang w:eastAsia="en-GB"/>
              </w:rPr>
            </w:pPr>
            <w:r w:rsidRPr="00CA444D">
              <w:rPr>
                <w:rFonts w:asciiTheme="minorHAnsi" w:hAnsiTheme="minorHAnsi" w:cs="Arial-Narrow,Bold"/>
                <w:b/>
                <w:bCs/>
                <w:color w:val="4F81BD" w:themeColor="accent1"/>
                <w:sz w:val="23"/>
                <w:szCs w:val="23"/>
                <w:lang w:eastAsia="en-GB"/>
              </w:rPr>
              <w:lastRenderedPageBreak/>
              <w:t>6. Koszty zanieczyszczeń powietrza</w:t>
            </w:r>
          </w:p>
          <w:p w14:paraId="4921CDF3"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Jednostkowe koszty ekonomiczne zanieczyszczeń powietrza</w:t>
            </w:r>
            <w:r>
              <w:rPr>
                <w:rFonts w:asciiTheme="minorHAnsi" w:hAnsiTheme="minorHAnsi"/>
                <w:lang w:eastAsia="en-US"/>
              </w:rPr>
              <w:t xml:space="preserve"> przez pojazdy drogowe</w:t>
            </w:r>
            <w:r w:rsidRPr="00731E4E">
              <w:rPr>
                <w:rFonts w:asciiTheme="minorHAnsi" w:hAnsiTheme="minorHAnsi"/>
                <w:lang w:eastAsia="en-US"/>
              </w:rPr>
              <w:t xml:space="preserve"> [PLN/</w:t>
            </w:r>
            <w:proofErr w:type="spellStart"/>
            <w:r w:rsidRPr="00731E4E">
              <w:rPr>
                <w:rFonts w:asciiTheme="minorHAnsi" w:hAnsiTheme="minorHAnsi"/>
                <w:lang w:eastAsia="en-US"/>
              </w:rPr>
              <w:t>poj</w:t>
            </w:r>
            <w:proofErr w:type="spellEnd"/>
            <w:r w:rsidRPr="00731E4E">
              <w:rPr>
                <w:rFonts w:asciiTheme="minorHAnsi" w:hAnsiTheme="minorHAnsi"/>
                <w:lang w:eastAsia="en-US"/>
              </w:rPr>
              <w:t xml:space="preserve">-km], ceny </w:t>
            </w:r>
            <w:r>
              <w:rPr>
                <w:rFonts w:asciiTheme="minorHAnsi" w:hAnsiTheme="minorHAnsi"/>
                <w:lang w:eastAsia="en-US"/>
              </w:rPr>
              <w:t>2021</w:t>
            </w:r>
          </w:p>
          <w:tbl>
            <w:tblPr>
              <w:tblW w:w="6441" w:type="dxa"/>
              <w:tblLayout w:type="fixed"/>
              <w:tblLook w:val="04A0" w:firstRow="1" w:lastRow="0" w:firstColumn="1" w:lastColumn="0" w:noHBand="0" w:noVBand="1"/>
            </w:tblPr>
            <w:tblGrid>
              <w:gridCol w:w="2571"/>
              <w:gridCol w:w="1290"/>
              <w:gridCol w:w="1290"/>
              <w:gridCol w:w="1290"/>
            </w:tblGrid>
            <w:tr w:rsidR="00921721" w:rsidRPr="0037609A" w14:paraId="1D841C03" w14:textId="77777777" w:rsidTr="00880D09">
              <w:trPr>
                <w:trHeight w:hRule="exact" w:val="1128"/>
              </w:trPr>
              <w:tc>
                <w:tcPr>
                  <w:tcW w:w="257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0E6C4FC" w14:textId="77777777" w:rsidR="00921721" w:rsidRPr="00265281"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Jednostkowe koszty zanieczyszczeń powietrza –teren płaski (nawierzchnia po remoncie/</w:t>
                  </w:r>
                  <w:r>
                    <w:rPr>
                      <w:rFonts w:asciiTheme="minorHAnsi" w:hAnsiTheme="minorHAnsi" w:cs="Arial"/>
                      <w:b/>
                      <w:bCs/>
                      <w:color w:val="FFFFFF"/>
                      <w:sz w:val="18"/>
                      <w:szCs w:val="18"/>
                    </w:rPr>
                    <w:t xml:space="preserve"> </w:t>
                  </w:r>
                  <w:r w:rsidRPr="00731E4E">
                    <w:rPr>
                      <w:rFonts w:asciiTheme="minorHAnsi" w:hAnsiTheme="minorHAnsi" w:cs="Arial"/>
                      <w:b/>
                      <w:bCs/>
                      <w:color w:val="FFFFFF"/>
                      <w:sz w:val="18"/>
                      <w:szCs w:val="18"/>
                    </w:rPr>
                    <w:t>budowie</w:t>
                  </w:r>
                  <w:r w:rsidRPr="0037609A">
                    <w:rPr>
                      <w:rFonts w:asciiTheme="minorHAnsi" w:hAnsiTheme="minorHAnsi" w:cs="Arial"/>
                      <w:b/>
                      <w:bCs/>
                      <w:color w:val="FFFFFF"/>
                      <w:sz w:val="18"/>
                      <w:szCs w:val="18"/>
                    </w:rPr>
                    <w:t>  (</w:t>
                  </w:r>
                  <w:r w:rsidRPr="00265281">
                    <w:rPr>
                      <w:rFonts w:asciiTheme="minorHAnsi" w:hAnsiTheme="minorHAnsi" w:cs="Arial"/>
                      <w:b/>
                      <w:bCs/>
                      <w:color w:val="FFFFFF"/>
                      <w:sz w:val="18"/>
                      <w:szCs w:val="18"/>
                    </w:rPr>
                    <w:t>PLN/</w:t>
                  </w:r>
                  <w:proofErr w:type="spellStart"/>
                  <w:r w:rsidRPr="00265281">
                    <w:rPr>
                      <w:rFonts w:asciiTheme="minorHAnsi" w:hAnsiTheme="minorHAnsi" w:cs="Arial"/>
                      <w:b/>
                      <w:bCs/>
                      <w:color w:val="FFFFFF"/>
                      <w:sz w:val="18"/>
                      <w:szCs w:val="18"/>
                    </w:rPr>
                    <w:t>poj</w:t>
                  </w:r>
                  <w:proofErr w:type="spellEnd"/>
                  <w:r w:rsidRPr="00265281">
                    <w:rPr>
                      <w:rFonts w:asciiTheme="minorHAnsi" w:hAnsiTheme="minorHAnsi" w:cs="Arial"/>
                      <w:b/>
                      <w:bCs/>
                      <w:color w:val="FFFFFF"/>
                      <w:sz w:val="18"/>
                      <w:szCs w:val="18"/>
                    </w:rPr>
                    <w:t>-km)</w:t>
                  </w:r>
                </w:p>
              </w:tc>
              <w:tc>
                <w:tcPr>
                  <w:tcW w:w="1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01FCBFE" w14:textId="77777777" w:rsidR="00921721" w:rsidRPr="0037609A" w:rsidRDefault="00921721" w:rsidP="00880D09">
                  <w:pPr>
                    <w:snapToGrid w:val="0"/>
                    <w:spacing w:before="20" w:after="20"/>
                    <w:jc w:val="center"/>
                    <w:rPr>
                      <w:rFonts w:asciiTheme="minorHAnsi" w:hAnsiTheme="minorHAnsi" w:cs="Arial"/>
                      <w:b/>
                      <w:bCs/>
                      <w:color w:val="FFFFFF"/>
                      <w:sz w:val="18"/>
                      <w:szCs w:val="18"/>
                    </w:rPr>
                  </w:pPr>
                  <w:r w:rsidRPr="0037609A">
                    <w:rPr>
                      <w:rFonts w:asciiTheme="minorHAnsi" w:hAnsiTheme="minorHAnsi" w:cs="Arial"/>
                      <w:b/>
                      <w:bCs/>
                      <w:color w:val="FFFFFF"/>
                      <w:sz w:val="18"/>
                      <w:szCs w:val="18"/>
                    </w:rPr>
                    <w:t>Drogi klasy</w:t>
                  </w:r>
                  <w:r>
                    <w:rPr>
                      <w:rFonts w:asciiTheme="minorHAnsi" w:hAnsiTheme="minorHAnsi" w:cs="Arial"/>
                      <w:b/>
                      <w:bCs/>
                      <w:color w:val="FFFFFF"/>
                      <w:sz w:val="18"/>
                      <w:szCs w:val="18"/>
                    </w:rPr>
                    <w:t xml:space="preserve"> </w:t>
                  </w:r>
                  <w:r w:rsidRPr="0037609A">
                    <w:rPr>
                      <w:rFonts w:asciiTheme="minorHAnsi" w:hAnsiTheme="minorHAnsi" w:cs="Arial"/>
                      <w:b/>
                      <w:bCs/>
                      <w:color w:val="FFFFFF"/>
                      <w:sz w:val="18"/>
                      <w:szCs w:val="18"/>
                    </w:rPr>
                    <w:t xml:space="preserve">A i S </w:t>
                  </w:r>
                </w:p>
              </w:tc>
              <w:tc>
                <w:tcPr>
                  <w:tcW w:w="129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7EE19DF2" w14:textId="77777777" w:rsidR="00921721" w:rsidRPr="0037609A" w:rsidRDefault="00921721" w:rsidP="00880D09">
                  <w:pPr>
                    <w:snapToGrid w:val="0"/>
                    <w:spacing w:before="20" w:after="20"/>
                    <w:jc w:val="center"/>
                    <w:rPr>
                      <w:rFonts w:asciiTheme="minorHAnsi" w:hAnsiTheme="minorHAnsi" w:cs="Arial"/>
                      <w:b/>
                      <w:bCs/>
                      <w:color w:val="FFFFFF"/>
                      <w:sz w:val="18"/>
                      <w:szCs w:val="18"/>
                    </w:rPr>
                  </w:pPr>
                  <w:r w:rsidRPr="0037609A">
                    <w:rPr>
                      <w:rFonts w:asciiTheme="minorHAnsi" w:hAnsiTheme="minorHAnsi" w:cs="Arial"/>
                      <w:b/>
                      <w:bCs/>
                      <w:color w:val="FFFFFF"/>
                      <w:sz w:val="18"/>
                      <w:szCs w:val="18"/>
                    </w:rPr>
                    <w:t>Drogi miejskie</w:t>
                  </w:r>
                  <w:r>
                    <w:rPr>
                      <w:rFonts w:asciiTheme="minorHAnsi" w:hAnsiTheme="minorHAnsi" w:cs="Arial"/>
                      <w:b/>
                      <w:bCs/>
                      <w:color w:val="FFFFFF"/>
                      <w:sz w:val="18"/>
                      <w:szCs w:val="18"/>
                    </w:rPr>
                    <w:t xml:space="preserve"> </w:t>
                  </w:r>
                  <w:r w:rsidRPr="0037609A">
                    <w:rPr>
                      <w:rFonts w:asciiTheme="minorHAnsi" w:hAnsiTheme="minorHAnsi" w:cs="Arial"/>
                      <w:b/>
                      <w:bCs/>
                      <w:color w:val="FFFFFF"/>
                      <w:sz w:val="18"/>
                      <w:szCs w:val="18"/>
                    </w:rPr>
                    <w:t>(inne niż A, S)</w:t>
                  </w:r>
                </w:p>
              </w:tc>
              <w:tc>
                <w:tcPr>
                  <w:tcW w:w="1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075427A" w14:textId="77777777" w:rsidR="00921721" w:rsidRPr="0037609A" w:rsidRDefault="00921721" w:rsidP="00880D09">
                  <w:pPr>
                    <w:snapToGrid w:val="0"/>
                    <w:spacing w:before="20" w:after="20"/>
                    <w:jc w:val="center"/>
                    <w:rPr>
                      <w:rFonts w:asciiTheme="minorHAnsi" w:hAnsiTheme="minorHAnsi" w:cs="Arial"/>
                      <w:b/>
                      <w:bCs/>
                      <w:color w:val="FFFFFF"/>
                      <w:sz w:val="18"/>
                      <w:szCs w:val="18"/>
                    </w:rPr>
                  </w:pPr>
                  <w:r w:rsidRPr="0037609A">
                    <w:rPr>
                      <w:rFonts w:asciiTheme="minorHAnsi" w:hAnsiTheme="minorHAnsi" w:cs="Arial"/>
                      <w:b/>
                      <w:bCs/>
                      <w:color w:val="FFFFFF"/>
                      <w:sz w:val="18"/>
                      <w:szCs w:val="18"/>
                    </w:rPr>
                    <w:t>Drogi za</w:t>
                  </w:r>
                  <w:r>
                    <w:rPr>
                      <w:rFonts w:asciiTheme="minorHAnsi" w:hAnsiTheme="minorHAnsi" w:cs="Arial"/>
                      <w:b/>
                      <w:bCs/>
                      <w:color w:val="FFFFFF"/>
                      <w:sz w:val="18"/>
                      <w:szCs w:val="18"/>
                    </w:rPr>
                    <w:t>m</w:t>
                  </w:r>
                  <w:r w:rsidRPr="0037609A">
                    <w:rPr>
                      <w:rFonts w:asciiTheme="minorHAnsi" w:hAnsiTheme="minorHAnsi" w:cs="Arial"/>
                      <w:b/>
                      <w:bCs/>
                      <w:color w:val="FFFFFF"/>
                      <w:sz w:val="18"/>
                      <w:szCs w:val="18"/>
                    </w:rPr>
                    <w:t>iejskie (inne niż A i S</w:t>
                  </w:r>
                  <w:r w:rsidRPr="002C6855">
                    <w:rPr>
                      <w:rFonts w:asciiTheme="minorHAnsi" w:hAnsiTheme="minorHAnsi" w:cs="Arial"/>
                      <w:b/>
                      <w:bCs/>
                      <w:color w:val="FFFFFF"/>
                      <w:sz w:val="18"/>
                      <w:szCs w:val="18"/>
                    </w:rPr>
                    <w:t>)</w:t>
                  </w:r>
                </w:p>
              </w:tc>
            </w:tr>
            <w:tr w:rsidR="00921721" w:rsidRPr="00115F68" w14:paraId="1FB2E6EA"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3362D3"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LV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631A4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0,029</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AF43012"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0,038</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E4FC6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0,020</w:t>
                  </w:r>
                </w:p>
              </w:tc>
            </w:tr>
            <w:tr w:rsidR="00921721" w:rsidRPr="00115F68" w14:paraId="5DA37DB7"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515209"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HGV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C4F17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0,203</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57160E3"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0,499</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9ED6C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0,198</w:t>
                  </w:r>
                </w:p>
              </w:tc>
            </w:tr>
            <w:tr w:rsidR="00921721" w:rsidRPr="00115F68" w14:paraId="4B9E27AF"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1AD070"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Elektryczne LV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BB354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0,004</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FF891ED"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0,003</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E0331E7"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0,003</w:t>
                  </w:r>
                </w:p>
              </w:tc>
            </w:tr>
            <w:tr w:rsidR="00921721" w:rsidRPr="00115F68" w14:paraId="5C3EC3E9"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654A55"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Elektryczne autobusy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1E1459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0,007</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A3894B7"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0,022</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7AE13E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0,009</w:t>
                  </w:r>
                </w:p>
              </w:tc>
            </w:tr>
          </w:tbl>
          <w:p w14:paraId="6EEE9B8E" w14:textId="77777777" w:rsidR="00921721" w:rsidRPr="00E544D2" w:rsidRDefault="00921721" w:rsidP="00880D09">
            <w:pPr>
              <w:ind w:right="170"/>
              <w:jc w:val="both"/>
              <w:rPr>
                <w:rFonts w:asciiTheme="minorHAnsi" w:hAnsiTheme="minorHAnsi"/>
                <w:b/>
                <w:i/>
                <w:sz w:val="16"/>
                <w:szCs w:val="16"/>
              </w:rPr>
            </w:pPr>
            <w:r w:rsidRPr="00E544D2">
              <w:rPr>
                <w:rFonts w:asciiTheme="minorHAnsi" w:hAnsiTheme="minorHAnsi" w:cs="Arial"/>
                <w:b/>
                <w:i/>
                <w:sz w:val="16"/>
                <w:szCs w:val="16"/>
              </w:rPr>
              <w:t xml:space="preserve">Źródło: Opracowanie własne CUPT-JASPERS w oparciu o </w:t>
            </w:r>
            <w:proofErr w:type="spellStart"/>
            <w:r w:rsidRPr="00E544D2">
              <w:rPr>
                <w:rFonts w:asciiTheme="minorHAnsi" w:hAnsiTheme="minorHAnsi" w:cs="Arial"/>
                <w:b/>
                <w:i/>
                <w:sz w:val="16"/>
                <w:szCs w:val="16"/>
              </w:rPr>
              <w:t>Handbook</w:t>
            </w:r>
            <w:proofErr w:type="spellEnd"/>
            <w:r w:rsidRPr="00E544D2">
              <w:rPr>
                <w:rFonts w:asciiTheme="minorHAnsi" w:hAnsiTheme="minorHAnsi" w:cs="Arial"/>
                <w:b/>
                <w:i/>
                <w:sz w:val="16"/>
                <w:szCs w:val="16"/>
              </w:rPr>
              <w:t xml:space="preserve"> on the </w:t>
            </w:r>
            <w:proofErr w:type="spellStart"/>
            <w:r w:rsidRPr="00E544D2">
              <w:rPr>
                <w:rFonts w:asciiTheme="minorHAnsi" w:hAnsiTheme="minorHAnsi" w:cs="Arial"/>
                <w:b/>
                <w:i/>
                <w:sz w:val="16"/>
                <w:szCs w:val="16"/>
              </w:rPr>
              <w:t>External</w:t>
            </w:r>
            <w:proofErr w:type="spellEnd"/>
            <w:r w:rsidRPr="00E544D2">
              <w:rPr>
                <w:rFonts w:asciiTheme="minorHAnsi" w:hAnsiTheme="minorHAnsi" w:cs="Arial"/>
                <w:b/>
                <w:i/>
                <w:sz w:val="16"/>
                <w:szCs w:val="16"/>
              </w:rPr>
              <w:t xml:space="preserve"> </w:t>
            </w:r>
            <w:proofErr w:type="spellStart"/>
            <w:r w:rsidRPr="00E544D2">
              <w:rPr>
                <w:rFonts w:asciiTheme="minorHAnsi" w:hAnsiTheme="minorHAnsi" w:cs="Arial"/>
                <w:b/>
                <w:i/>
                <w:sz w:val="16"/>
                <w:szCs w:val="16"/>
              </w:rPr>
              <w:t>Costs</w:t>
            </w:r>
            <w:proofErr w:type="spellEnd"/>
            <w:r w:rsidRPr="00E544D2">
              <w:rPr>
                <w:rFonts w:asciiTheme="minorHAnsi" w:hAnsiTheme="minorHAnsi" w:cs="Arial"/>
                <w:b/>
                <w:i/>
                <w:sz w:val="16"/>
                <w:szCs w:val="16"/>
              </w:rPr>
              <w:t xml:space="preserve"> of Transport (January 2019).</w:t>
            </w:r>
          </w:p>
          <w:p w14:paraId="52D29597" w14:textId="77777777" w:rsidR="00921721" w:rsidRPr="00F4393F" w:rsidRDefault="00921721" w:rsidP="00880D09">
            <w:pPr>
              <w:pStyle w:val="anxnormal"/>
              <w:spacing w:after="120"/>
              <w:ind w:left="0"/>
              <w:rPr>
                <w:rFonts w:asciiTheme="minorHAnsi" w:hAnsiTheme="minorHAnsi"/>
                <w:lang w:eastAsia="en-US"/>
              </w:rPr>
            </w:pPr>
            <w:r>
              <w:rPr>
                <w:rFonts w:asciiTheme="minorHAnsi" w:hAnsiTheme="minorHAnsi"/>
                <w:lang w:eastAsia="en-US"/>
              </w:rPr>
              <w:t>Założenia co </w:t>
            </w:r>
            <w:r w:rsidRPr="001569CA">
              <w:rPr>
                <w:rFonts w:asciiTheme="minorHAnsi" w:hAnsiTheme="minorHAnsi"/>
                <w:lang w:eastAsia="en-US"/>
              </w:rPr>
              <w:t xml:space="preserve">do struktury floty </w:t>
            </w:r>
            <w:r>
              <w:rPr>
                <w:rFonts w:asciiTheme="minorHAnsi" w:hAnsiTheme="minorHAnsi"/>
                <w:lang w:eastAsia="en-US"/>
              </w:rPr>
              <w:t>(pod względem rodzajów stosowanego paliwa)</w:t>
            </w:r>
            <w:r w:rsidRPr="00983DF9">
              <w:rPr>
                <w:rFonts w:asciiTheme="minorHAnsi" w:hAnsiTheme="minorHAnsi"/>
                <w:lang w:eastAsia="en-US"/>
              </w:rPr>
              <w:t xml:space="preserve"> </w:t>
            </w:r>
            <w:r>
              <w:rPr>
                <w:rFonts w:asciiTheme="minorHAnsi" w:hAnsiTheme="minorHAnsi"/>
                <w:lang w:eastAsia="en-US"/>
              </w:rPr>
              <w:t xml:space="preserve">i jej ewolucji w czasie przyjęto takie same, </w:t>
            </w:r>
            <w:r w:rsidRPr="00983DF9">
              <w:rPr>
                <w:rFonts w:asciiTheme="minorHAnsi" w:hAnsiTheme="minorHAnsi"/>
                <w:lang w:eastAsia="en-US"/>
              </w:rPr>
              <w:t xml:space="preserve">jak </w:t>
            </w:r>
            <w:r>
              <w:rPr>
                <w:rFonts w:asciiTheme="minorHAnsi" w:hAnsiTheme="minorHAnsi"/>
                <w:lang w:eastAsia="en-US"/>
              </w:rPr>
              <w:t>dla obliczeń</w:t>
            </w:r>
            <w:r w:rsidRPr="00983DF9">
              <w:rPr>
                <w:rFonts w:asciiTheme="minorHAnsi" w:hAnsiTheme="minorHAnsi"/>
                <w:lang w:eastAsia="en-US"/>
              </w:rPr>
              <w:t xml:space="preserve"> kosztów eksploatacji (VOC).</w:t>
            </w:r>
            <w:r>
              <w:rPr>
                <w:rFonts w:asciiTheme="minorHAnsi" w:hAnsiTheme="minorHAnsi"/>
                <w:lang w:eastAsia="en-US"/>
              </w:rPr>
              <w:t xml:space="preserve"> </w:t>
            </w:r>
            <w:r w:rsidRPr="00B72029">
              <w:rPr>
                <w:rFonts w:asciiTheme="minorHAnsi" w:hAnsiTheme="minorHAnsi"/>
                <w:lang w:eastAsia="en-US"/>
              </w:rPr>
              <w:t>Dlatego te same założenia</w:t>
            </w:r>
            <w:r w:rsidRPr="00B72029" w:rsidDel="00F438F4">
              <w:rPr>
                <w:rFonts w:asciiTheme="minorHAnsi" w:hAnsiTheme="minorHAnsi"/>
                <w:lang w:eastAsia="en-US"/>
              </w:rPr>
              <w:t xml:space="preserve"> </w:t>
            </w:r>
            <w:r>
              <w:rPr>
                <w:rFonts w:asciiTheme="minorHAnsi" w:hAnsiTheme="minorHAnsi"/>
                <w:lang w:eastAsia="en-US"/>
              </w:rPr>
              <w:t>dotyczące ewolucji floty LV w </w:t>
            </w:r>
            <w:r w:rsidRPr="00B72029">
              <w:rPr>
                <w:rFonts w:asciiTheme="minorHAnsi" w:hAnsiTheme="minorHAnsi"/>
                <w:lang w:eastAsia="en-US"/>
              </w:rPr>
              <w:t>okresie analizy (według rodzajów stosowanego paliwa), należy zastosować do obliczeń kosztów zanieczyszczenia powietrza</w:t>
            </w:r>
            <w:r w:rsidRPr="00F4393F">
              <w:rPr>
                <w:rFonts w:asciiTheme="minorHAnsi" w:hAnsiTheme="minorHAnsi"/>
                <w:lang w:eastAsia="en-US"/>
              </w:rPr>
              <w:t>.</w:t>
            </w:r>
          </w:p>
          <w:p w14:paraId="73C19732" w14:textId="77777777" w:rsidR="00921721" w:rsidRDefault="00921721" w:rsidP="00880D09">
            <w:pPr>
              <w:pStyle w:val="anxnormal"/>
              <w:spacing w:after="120"/>
              <w:ind w:left="0"/>
              <w:rPr>
                <w:rFonts w:asciiTheme="minorHAnsi" w:hAnsiTheme="minorHAnsi"/>
                <w:lang w:eastAsia="en-US"/>
              </w:rPr>
            </w:pPr>
            <w:r w:rsidRPr="00731A1C">
              <w:rPr>
                <w:rFonts w:asciiTheme="minorHAnsi" w:hAnsiTheme="minorHAnsi"/>
                <w:lang w:eastAsia="en-US"/>
              </w:rPr>
              <w:t>Wpływ nachylenia drogi na emisje zanieczyszczeń powietrza przez pojazdy drogowe przyjęto na takim samym poziomie, jak wpływ na zużycie paliwa.</w:t>
            </w:r>
            <w:r>
              <w:rPr>
                <w:rFonts w:asciiTheme="minorHAnsi" w:hAnsiTheme="minorHAnsi"/>
                <w:lang w:eastAsia="en-US"/>
              </w:rPr>
              <w:t xml:space="preserve"> Przyjmuje się, że teren falisty zwiększa zużycie paliwa pojazdów lekkich o 15%. W przypadku HGV, odpowiedni współczynnik uzyskano w oparciu o zastosowane równania do wyliczania zużycia paliwa. </w:t>
            </w:r>
          </w:p>
          <w:p w14:paraId="64D25518" w14:textId="77777777" w:rsidR="00921721" w:rsidRDefault="00921721" w:rsidP="00880D09">
            <w:pPr>
              <w:pStyle w:val="anxnormal"/>
              <w:spacing w:after="120"/>
              <w:ind w:left="0"/>
              <w:rPr>
                <w:rFonts w:asciiTheme="minorHAnsi" w:hAnsiTheme="minorHAnsi"/>
                <w:lang w:eastAsia="en-US"/>
              </w:rPr>
            </w:pPr>
          </w:p>
          <w:p w14:paraId="74176457"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Wskaźniki wzrostu kosztów ze względu na nachylenie drogi.</w:t>
            </w:r>
          </w:p>
          <w:tbl>
            <w:tblPr>
              <w:tblW w:w="3580" w:type="dxa"/>
              <w:tblLayout w:type="fixed"/>
              <w:tblLook w:val="04A0" w:firstRow="1" w:lastRow="0" w:firstColumn="1" w:lastColumn="0" w:noHBand="0" w:noVBand="1"/>
            </w:tblPr>
            <w:tblGrid>
              <w:gridCol w:w="1778"/>
              <w:gridCol w:w="901"/>
              <w:gridCol w:w="901"/>
            </w:tblGrid>
            <w:tr w:rsidR="00921721" w:rsidRPr="00731E4E" w14:paraId="14A755E2" w14:textId="77777777" w:rsidTr="00880D09">
              <w:trPr>
                <w:trHeight w:hRule="exact" w:val="309"/>
              </w:trPr>
              <w:tc>
                <w:tcPr>
                  <w:tcW w:w="17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7149A7"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52362CF"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992828E"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HGV</w:t>
                  </w:r>
                </w:p>
              </w:tc>
            </w:tr>
            <w:tr w:rsidR="00921721" w:rsidRPr="00731E4E" w14:paraId="44636C40"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967FD6" w14:textId="77777777" w:rsidR="00921721" w:rsidRPr="00CA444D"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B3328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A6FDC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6078B252"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3CB7E1" w14:textId="77777777" w:rsidR="00921721" w:rsidRPr="00CA444D" w:rsidRDefault="00921721" w:rsidP="00880D09">
                  <w:pPr>
                    <w:spacing w:before="20"/>
                    <w:jc w:val="center"/>
                    <w:rPr>
                      <w:rFonts w:asciiTheme="minorHAnsi" w:hAnsiTheme="minorHAnsi" w:cs="Arial"/>
                      <w:color w:val="4F81BD" w:themeColor="accent1"/>
                      <w:sz w:val="18"/>
                      <w:szCs w:val="18"/>
                    </w:rPr>
                  </w:pPr>
                  <w:r w:rsidRPr="00CA444D">
                    <w:rPr>
                      <w:rFonts w:asciiTheme="minorHAnsi" w:hAnsiTheme="minorHAnsi" w:cs="Arial"/>
                      <w:color w:val="4F81BD" w:themeColor="accent1"/>
                      <w:sz w:val="18"/>
                      <w:szCs w:val="18"/>
                    </w:rPr>
                    <w:t>Falist</w:t>
                  </w:r>
                  <w:r>
                    <w:rPr>
                      <w:rFonts w:asciiTheme="minorHAnsi" w:hAnsiTheme="minorHAnsi" w:cs="Arial"/>
                      <w:color w:val="4F81BD" w:themeColor="accent1"/>
                      <w:sz w:val="18"/>
                      <w:szCs w:val="18"/>
                    </w:rPr>
                    <w:t>y</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5670A67" w14:textId="77777777" w:rsidR="00921721" w:rsidRPr="002C6855"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1,150 </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06FF31" w14:textId="77777777" w:rsidR="00921721" w:rsidRPr="002C6855"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1,697 </w:t>
                  </w:r>
                </w:p>
              </w:tc>
            </w:tr>
          </w:tbl>
          <w:p w14:paraId="115DE47C"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CUPT-JASPERS.</w:t>
            </w:r>
          </w:p>
          <w:p w14:paraId="5A1323B7" w14:textId="77777777" w:rsidR="00921721" w:rsidRDefault="00921721" w:rsidP="00880D09">
            <w:pPr>
              <w:pStyle w:val="anxnormal"/>
              <w:spacing w:after="120"/>
              <w:ind w:left="0"/>
              <w:rPr>
                <w:rFonts w:asciiTheme="minorHAnsi" w:hAnsiTheme="minorHAnsi"/>
                <w:lang w:eastAsia="en-US"/>
              </w:rPr>
            </w:pPr>
          </w:p>
          <w:p w14:paraId="2B4E05F0" w14:textId="77777777" w:rsidR="00921721" w:rsidRDefault="00921721" w:rsidP="00880D09">
            <w:pPr>
              <w:pStyle w:val="anxnormal"/>
              <w:spacing w:after="120"/>
              <w:ind w:left="0"/>
              <w:rPr>
                <w:rFonts w:asciiTheme="minorHAnsi" w:hAnsiTheme="minorHAnsi"/>
                <w:lang w:eastAsia="en-US"/>
              </w:rPr>
            </w:pPr>
          </w:p>
          <w:p w14:paraId="6B469596" w14:textId="77777777" w:rsidR="00921721" w:rsidRDefault="00921721" w:rsidP="00880D09">
            <w:pPr>
              <w:pStyle w:val="anxnormal"/>
              <w:spacing w:after="120"/>
              <w:ind w:left="0"/>
              <w:rPr>
                <w:rFonts w:asciiTheme="minorHAnsi" w:hAnsiTheme="minorHAnsi"/>
                <w:lang w:eastAsia="en-US"/>
              </w:rPr>
            </w:pPr>
          </w:p>
          <w:p w14:paraId="0DE58DB0" w14:textId="77777777" w:rsidR="00921721" w:rsidRPr="00F4393F" w:rsidRDefault="00921721" w:rsidP="00880D09">
            <w:pPr>
              <w:pStyle w:val="anxnormal"/>
              <w:spacing w:after="120"/>
              <w:ind w:left="0"/>
              <w:rPr>
                <w:rFonts w:asciiTheme="minorHAnsi" w:hAnsiTheme="minorHAnsi"/>
                <w:lang w:eastAsia="en-US"/>
              </w:rPr>
            </w:pPr>
            <w:r>
              <w:rPr>
                <w:rFonts w:asciiTheme="minorHAnsi" w:hAnsiTheme="minorHAnsi"/>
                <w:lang w:eastAsia="en-US"/>
              </w:rPr>
              <w:lastRenderedPageBreak/>
              <w:t>Wskaźniki wzrostu kosztów w </w:t>
            </w:r>
            <w:r w:rsidRPr="00F4393F">
              <w:rPr>
                <w:rFonts w:asciiTheme="minorHAnsi" w:hAnsiTheme="minorHAnsi"/>
                <w:lang w:eastAsia="en-US"/>
              </w:rPr>
              <w:t>zależności od stanu nawierzchni</w:t>
            </w:r>
          </w:p>
          <w:tbl>
            <w:tblPr>
              <w:tblW w:w="6733" w:type="dxa"/>
              <w:tblLayout w:type="fixed"/>
              <w:tblLook w:val="04A0" w:firstRow="1" w:lastRow="0" w:firstColumn="1" w:lastColumn="0" w:noHBand="0" w:noVBand="1"/>
            </w:tblPr>
            <w:tblGrid>
              <w:gridCol w:w="3538"/>
              <w:gridCol w:w="1508"/>
              <w:gridCol w:w="1687"/>
            </w:tblGrid>
            <w:tr w:rsidR="00921721" w:rsidRPr="00CF54F6" w14:paraId="022FB705" w14:textId="77777777" w:rsidTr="00880D09">
              <w:trPr>
                <w:trHeight w:hRule="exact" w:val="261"/>
              </w:trPr>
              <w:tc>
                <w:tcPr>
                  <w:tcW w:w="35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A794585"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Stan nawierzchni</w:t>
                  </w:r>
                </w:p>
              </w:tc>
              <w:tc>
                <w:tcPr>
                  <w:tcW w:w="150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96CDC14"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sidRPr="008E4306">
                    <w:rPr>
                      <w:rFonts w:asciiTheme="minorHAnsi" w:hAnsiTheme="minorHAnsi" w:cs="Arial"/>
                      <w:b/>
                      <w:bCs/>
                      <w:color w:val="FFFFFF"/>
                      <w:sz w:val="18"/>
                      <w:szCs w:val="18"/>
                    </w:rPr>
                    <w:t>LV</w:t>
                  </w:r>
                </w:p>
              </w:tc>
              <w:tc>
                <w:tcPr>
                  <w:tcW w:w="168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43C029"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sidRPr="008E4306">
                    <w:rPr>
                      <w:rFonts w:asciiTheme="minorHAnsi" w:hAnsiTheme="minorHAnsi" w:cs="Arial"/>
                      <w:b/>
                      <w:bCs/>
                      <w:color w:val="FFFFFF"/>
                      <w:sz w:val="18"/>
                      <w:szCs w:val="18"/>
                    </w:rPr>
                    <w:t>HGV</w:t>
                  </w:r>
                </w:p>
              </w:tc>
            </w:tr>
            <w:tr w:rsidR="00921721" w:rsidRPr="00CF54F6" w14:paraId="4D4B5B58" w14:textId="77777777" w:rsidTr="00880D09">
              <w:trPr>
                <w:trHeight w:hRule="exact" w:val="261"/>
              </w:trPr>
              <w:tc>
                <w:tcPr>
                  <w:tcW w:w="35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8CF14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Dobry (nawierzchnia po remoncie/</w:t>
                  </w:r>
                  <w:r>
                    <w:rPr>
                      <w:rFonts w:asciiTheme="minorHAnsi" w:hAnsiTheme="minorHAnsi" w:cs="Arial"/>
                      <w:color w:val="4F81BD" w:themeColor="accent1"/>
                      <w:sz w:val="18"/>
                      <w:szCs w:val="18"/>
                    </w:rPr>
                    <w:t xml:space="preserve"> </w:t>
                  </w:r>
                  <w:r w:rsidRPr="002C6855">
                    <w:rPr>
                      <w:rFonts w:asciiTheme="minorHAnsi" w:hAnsiTheme="minorHAnsi" w:cs="Arial"/>
                      <w:color w:val="4F81BD" w:themeColor="accent1"/>
                      <w:sz w:val="18"/>
                      <w:szCs w:val="18"/>
                    </w:rPr>
                    <w:t>budowie)</w:t>
                  </w:r>
                </w:p>
              </w:tc>
              <w:tc>
                <w:tcPr>
                  <w:tcW w:w="150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117FBF"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168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5EA777"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CF54F6" w14:paraId="780462AA" w14:textId="77777777" w:rsidTr="00880D09">
              <w:trPr>
                <w:trHeight w:hRule="exact" w:val="261"/>
              </w:trPr>
              <w:tc>
                <w:tcPr>
                  <w:tcW w:w="35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FC1403" w14:textId="77777777" w:rsidR="00921721" w:rsidRPr="002C6855"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N</w:t>
                  </w:r>
                  <w:r w:rsidRPr="002C6855">
                    <w:rPr>
                      <w:rFonts w:asciiTheme="minorHAnsi" w:hAnsiTheme="minorHAnsi" w:cs="Arial"/>
                      <w:color w:val="4F81BD" w:themeColor="accent1"/>
                      <w:sz w:val="18"/>
                      <w:szCs w:val="18"/>
                    </w:rPr>
                    <w:t>awierzchnia zdegradowana</w:t>
                  </w:r>
                </w:p>
              </w:tc>
              <w:tc>
                <w:tcPr>
                  <w:tcW w:w="150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989727"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169</w:t>
                  </w:r>
                </w:p>
              </w:tc>
              <w:tc>
                <w:tcPr>
                  <w:tcW w:w="168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3EB6167"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bl>
          <w:p w14:paraId="5B4A0114"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 xml:space="preserve">CUPT-JASPERS </w:t>
            </w:r>
            <w:r>
              <w:rPr>
                <w:rFonts w:asciiTheme="minorHAnsi" w:hAnsiTheme="minorHAnsi" w:cs="Arial"/>
                <w:b/>
                <w:i/>
                <w:sz w:val="16"/>
                <w:szCs w:val="16"/>
              </w:rPr>
              <w:t>na </w:t>
            </w:r>
            <w:r w:rsidRPr="00731E4E">
              <w:rPr>
                <w:rFonts w:asciiTheme="minorHAnsi" w:hAnsiTheme="minorHAnsi" w:cs="Arial"/>
                <w:b/>
                <w:i/>
                <w:sz w:val="16"/>
                <w:szCs w:val="16"/>
              </w:rPr>
              <w:t xml:space="preserve">podstawie </w:t>
            </w:r>
            <w:r>
              <w:rPr>
                <w:rFonts w:asciiTheme="minorHAnsi" w:hAnsiTheme="minorHAnsi" w:cs="Arial"/>
                <w:b/>
                <w:i/>
                <w:sz w:val="16"/>
                <w:szCs w:val="16"/>
              </w:rPr>
              <w:t>„</w:t>
            </w:r>
            <w:proofErr w:type="spellStart"/>
            <w:r w:rsidRPr="00983DF9">
              <w:rPr>
                <w:rFonts w:asciiTheme="minorHAnsi" w:hAnsiTheme="minorHAnsi" w:cs="Arial"/>
                <w:b/>
                <w:i/>
                <w:sz w:val="16"/>
                <w:szCs w:val="16"/>
              </w:rPr>
              <w:t>Optimisation</w:t>
            </w:r>
            <w:proofErr w:type="spellEnd"/>
            <w:r w:rsidRPr="00983DF9">
              <w:rPr>
                <w:rFonts w:asciiTheme="minorHAnsi" w:hAnsiTheme="minorHAnsi" w:cs="Arial"/>
                <w:b/>
                <w:i/>
                <w:sz w:val="16"/>
                <w:szCs w:val="16"/>
              </w:rPr>
              <w:t xml:space="preserve"> of </w:t>
            </w:r>
            <w:proofErr w:type="spellStart"/>
            <w:r w:rsidRPr="00983DF9">
              <w:rPr>
                <w:rFonts w:asciiTheme="minorHAnsi" w:hAnsiTheme="minorHAnsi" w:cs="Arial"/>
                <w:b/>
                <w:i/>
                <w:sz w:val="16"/>
                <w:szCs w:val="16"/>
              </w:rPr>
              <w:t>Maintenance</w:t>
            </w:r>
            <w:proofErr w:type="spellEnd"/>
            <w:r w:rsidRPr="00983DF9">
              <w:rPr>
                <w:rFonts w:asciiTheme="minorHAnsi" w:hAnsiTheme="minorHAnsi" w:cs="Arial"/>
                <w:b/>
                <w:i/>
                <w:sz w:val="16"/>
                <w:szCs w:val="16"/>
              </w:rPr>
              <w:t>", OECD/ITF 2012.</w:t>
            </w:r>
          </w:p>
          <w:p w14:paraId="411836B4"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p>
          <w:p w14:paraId="58F77A72"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p>
          <w:p w14:paraId="29214633"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p>
          <w:p w14:paraId="7C8EE3BF"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r>
              <w:rPr>
                <w:rFonts w:asciiTheme="minorHAnsi" w:hAnsiTheme="minorHAnsi" w:cs="Arial"/>
                <w:snapToGrid w:val="0"/>
                <w:sz w:val="20"/>
                <w:szCs w:val="20"/>
                <w:u w:val="single"/>
                <w:lang w:eastAsia="en-US"/>
              </w:rPr>
              <w:t>T</w:t>
            </w:r>
            <w:r w:rsidRPr="002B7802">
              <w:rPr>
                <w:rFonts w:asciiTheme="minorHAnsi" w:hAnsiTheme="minorHAnsi" w:cs="Arial"/>
                <w:snapToGrid w:val="0"/>
                <w:sz w:val="20"/>
                <w:szCs w:val="20"/>
                <w:u w:val="single"/>
                <w:lang w:eastAsia="en-US"/>
              </w:rPr>
              <w:t>ransport kolejowy</w:t>
            </w:r>
          </w:p>
          <w:p w14:paraId="10C412B2"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r w:rsidRPr="002C6855">
              <w:rPr>
                <w:rFonts w:asciiTheme="minorHAnsi" w:hAnsiTheme="minorHAnsi" w:cs="Arial"/>
                <w:snapToGrid w:val="0"/>
                <w:sz w:val="20"/>
                <w:szCs w:val="20"/>
                <w:lang w:eastAsia="en-US"/>
              </w:rPr>
              <w:t>Krańcowe koszty jednostkowe zanieczyszczenia powietrza PLN/</w:t>
            </w:r>
            <w:proofErr w:type="spellStart"/>
            <w:r>
              <w:rPr>
                <w:rFonts w:asciiTheme="minorHAnsi" w:hAnsiTheme="minorHAnsi" w:cs="Arial"/>
                <w:snapToGrid w:val="0"/>
                <w:sz w:val="20"/>
                <w:szCs w:val="20"/>
                <w:lang w:eastAsia="en-US"/>
              </w:rPr>
              <w:t>poc</w:t>
            </w:r>
            <w:proofErr w:type="spellEnd"/>
            <w:r>
              <w:rPr>
                <w:rFonts w:asciiTheme="minorHAnsi" w:hAnsiTheme="minorHAnsi" w:cs="Arial"/>
                <w:snapToGrid w:val="0"/>
                <w:sz w:val="20"/>
                <w:szCs w:val="20"/>
                <w:lang w:eastAsia="en-US"/>
              </w:rPr>
              <w:t>-</w:t>
            </w:r>
            <w:r w:rsidRPr="002C6855">
              <w:rPr>
                <w:rFonts w:asciiTheme="minorHAnsi" w:hAnsiTheme="minorHAnsi" w:cs="Arial"/>
                <w:snapToGrid w:val="0"/>
                <w:sz w:val="20"/>
                <w:szCs w:val="20"/>
                <w:lang w:eastAsia="en-US"/>
              </w:rPr>
              <w:t>km, ceny 202</w:t>
            </w:r>
            <w:r>
              <w:rPr>
                <w:rFonts w:asciiTheme="minorHAnsi" w:hAnsiTheme="minorHAnsi" w:cs="Arial"/>
                <w:snapToGrid w:val="0"/>
                <w:sz w:val="20"/>
                <w:szCs w:val="20"/>
                <w:lang w:eastAsia="en-US"/>
              </w:rPr>
              <w:t>1</w:t>
            </w:r>
          </w:p>
          <w:tbl>
            <w:tblPr>
              <w:tblW w:w="6513" w:type="dxa"/>
              <w:tblLayout w:type="fixed"/>
              <w:tblLook w:val="04A0" w:firstRow="1" w:lastRow="0" w:firstColumn="1" w:lastColumn="0" w:noHBand="0" w:noVBand="1"/>
            </w:tblPr>
            <w:tblGrid>
              <w:gridCol w:w="1338"/>
              <w:gridCol w:w="1917"/>
              <w:gridCol w:w="1086"/>
              <w:gridCol w:w="1086"/>
              <w:gridCol w:w="1086"/>
            </w:tblGrid>
            <w:tr w:rsidR="00921721" w:rsidRPr="003E7EB2" w14:paraId="681C60E6" w14:textId="77777777" w:rsidTr="00880D09">
              <w:trPr>
                <w:trHeight w:hRule="exact" w:val="1119"/>
              </w:trPr>
              <w:tc>
                <w:tcPr>
                  <w:tcW w:w="13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D0DF754" w14:textId="77777777" w:rsidR="00921721"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Pociągi </w:t>
                  </w:r>
                </w:p>
                <w:p w14:paraId="2BD621F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pasa</w:t>
                  </w:r>
                  <w:r>
                    <w:rPr>
                      <w:rFonts w:asciiTheme="minorHAnsi" w:hAnsiTheme="minorHAnsi" w:cs="Arial"/>
                      <w:b/>
                      <w:bCs/>
                      <w:color w:val="FFFFFF"/>
                      <w:sz w:val="18"/>
                      <w:szCs w:val="18"/>
                    </w:rPr>
                    <w:t>ż</w:t>
                  </w:r>
                  <w:r w:rsidRPr="002C6855">
                    <w:rPr>
                      <w:rFonts w:asciiTheme="minorHAnsi" w:hAnsiTheme="minorHAnsi" w:cs="Arial"/>
                      <w:b/>
                      <w:bCs/>
                      <w:color w:val="FFFFFF"/>
                      <w:sz w:val="18"/>
                      <w:szCs w:val="18"/>
                    </w:rPr>
                    <w:t>erskie</w:t>
                  </w:r>
                </w:p>
                <w:p w14:paraId="50E2C3E5"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PLN/ </w:t>
                  </w:r>
                  <w:proofErr w:type="spellStart"/>
                  <w:r w:rsidRPr="002C6855">
                    <w:rPr>
                      <w:rFonts w:asciiTheme="minorHAnsi" w:hAnsiTheme="minorHAnsi" w:cs="Arial"/>
                      <w:b/>
                      <w:bCs/>
                      <w:color w:val="FFFFFF"/>
                      <w:sz w:val="18"/>
                      <w:szCs w:val="18"/>
                    </w:rPr>
                    <w:t>poc</w:t>
                  </w:r>
                  <w:proofErr w:type="spellEnd"/>
                  <w:r w:rsidRPr="002C6855">
                    <w:rPr>
                      <w:rFonts w:asciiTheme="minorHAnsi" w:hAnsiTheme="minorHAnsi" w:cs="Arial"/>
                      <w:b/>
                      <w:bCs/>
                      <w:color w:val="FFFFFF"/>
                      <w:sz w:val="18"/>
                      <w:szCs w:val="18"/>
                    </w:rPr>
                    <w:t>-km</w:t>
                  </w:r>
                </w:p>
              </w:tc>
              <w:tc>
                <w:tcPr>
                  <w:tcW w:w="191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68211FE"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108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66F90308" w14:textId="77777777" w:rsidR="00921721" w:rsidRPr="005C29AF" w:rsidRDefault="00921721" w:rsidP="00880D09">
                  <w:pPr>
                    <w:snapToGrid w:val="0"/>
                    <w:spacing w:before="20" w:after="20"/>
                    <w:jc w:val="center"/>
                    <w:rPr>
                      <w:rFonts w:asciiTheme="minorHAnsi" w:hAnsiTheme="minorHAnsi" w:cs="Arial"/>
                      <w:b/>
                      <w:bCs/>
                      <w:color w:val="FFFFFF"/>
                      <w:sz w:val="18"/>
                      <w:szCs w:val="18"/>
                    </w:rPr>
                  </w:pPr>
                  <w:r w:rsidRPr="005C29AF">
                    <w:rPr>
                      <w:rFonts w:asciiTheme="minorHAnsi" w:hAnsiTheme="minorHAnsi" w:cs="Arial"/>
                      <w:b/>
                      <w:bCs/>
                      <w:color w:val="FFFFFF"/>
                      <w:sz w:val="18"/>
                      <w:szCs w:val="18"/>
                    </w:rPr>
                    <w:t>Metropolia (*)</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9F627DD" w14:textId="77777777" w:rsidR="00921721" w:rsidRPr="005C29AF" w:rsidRDefault="00921721" w:rsidP="00880D09">
                  <w:pPr>
                    <w:snapToGrid w:val="0"/>
                    <w:spacing w:before="20" w:after="20"/>
                    <w:jc w:val="center"/>
                    <w:rPr>
                      <w:rFonts w:asciiTheme="minorHAnsi" w:hAnsiTheme="minorHAnsi" w:cs="Arial"/>
                      <w:b/>
                      <w:bCs/>
                      <w:color w:val="FFFFFF"/>
                      <w:sz w:val="18"/>
                      <w:szCs w:val="18"/>
                    </w:rPr>
                  </w:pPr>
                  <w:r w:rsidRPr="005C29AF">
                    <w:rPr>
                      <w:rFonts w:asciiTheme="minorHAnsi" w:hAnsiTheme="minorHAnsi" w:cs="Arial"/>
                      <w:b/>
                      <w:bCs/>
                      <w:color w:val="FFFFFF"/>
                      <w:sz w:val="18"/>
                      <w:szCs w:val="18"/>
                    </w:rPr>
                    <w:t xml:space="preserve">Obszar </w:t>
                  </w:r>
                  <w:r w:rsidRPr="005C29AF">
                    <w:rPr>
                      <w:rFonts w:asciiTheme="minorHAnsi" w:hAnsiTheme="minorHAnsi" w:cs="Arial"/>
                      <w:b/>
                      <w:bCs/>
                      <w:color w:val="FFFFFF"/>
                      <w:sz w:val="18"/>
                      <w:szCs w:val="18"/>
                    </w:rPr>
                    <w:br/>
                    <w:t>miejski</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736440F1" w14:textId="77777777" w:rsidR="00921721" w:rsidRPr="005C29AF" w:rsidRDefault="00921721" w:rsidP="00880D09">
                  <w:pPr>
                    <w:snapToGrid w:val="0"/>
                    <w:spacing w:before="20" w:after="20"/>
                    <w:jc w:val="center"/>
                    <w:rPr>
                      <w:rFonts w:asciiTheme="minorHAnsi" w:hAnsiTheme="minorHAnsi" w:cs="Arial"/>
                      <w:b/>
                      <w:bCs/>
                      <w:color w:val="FFFFFF"/>
                      <w:sz w:val="18"/>
                      <w:szCs w:val="18"/>
                    </w:rPr>
                  </w:pPr>
                  <w:r w:rsidRPr="005C29AF">
                    <w:rPr>
                      <w:rFonts w:asciiTheme="minorHAnsi" w:hAnsiTheme="minorHAnsi" w:cs="Arial"/>
                      <w:b/>
                      <w:bCs/>
                      <w:color w:val="FFFFFF"/>
                      <w:sz w:val="18"/>
                      <w:szCs w:val="18"/>
                    </w:rPr>
                    <w:t xml:space="preserve">Obszar </w:t>
                  </w:r>
                  <w:r w:rsidRPr="005C29AF">
                    <w:rPr>
                      <w:rFonts w:asciiTheme="minorHAnsi" w:hAnsiTheme="minorHAnsi" w:cs="Arial"/>
                      <w:b/>
                      <w:bCs/>
                      <w:color w:val="FFFFFF"/>
                      <w:sz w:val="18"/>
                      <w:szCs w:val="18"/>
                    </w:rPr>
                    <w:br/>
                    <w:t>zamiejski</w:t>
                  </w:r>
                </w:p>
              </w:tc>
            </w:tr>
            <w:tr w:rsidR="00921721" w:rsidRPr="006856C6" w14:paraId="5DD7C97C" w14:textId="77777777" w:rsidTr="00880D09">
              <w:trPr>
                <w:trHeight w:val="250"/>
              </w:trPr>
              <w:tc>
                <w:tcPr>
                  <w:tcW w:w="1338" w:type="dxa"/>
                  <w:vMerge w:val="restart"/>
                  <w:tcBorders>
                    <w:top w:val="single" w:sz="4" w:space="0" w:color="FFFFFF"/>
                    <w:left w:val="single" w:sz="4" w:space="0" w:color="FFFFFF"/>
                    <w:right w:val="nil"/>
                  </w:tcBorders>
                  <w:shd w:val="clear" w:color="auto" w:fill="DBE5F1" w:themeFill="accent1" w:themeFillTint="33"/>
                  <w:vAlign w:val="center"/>
                </w:tcPr>
                <w:p w14:paraId="23BE416E"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Elektryczne</w:t>
                  </w: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4E0E5B0"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Dużych prędkości</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2D86AC7"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38525F7"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360E4E1F" w14:textId="77777777" w:rsidR="00921721" w:rsidRPr="005C29AF" w:rsidRDefault="00921721" w:rsidP="00880D09">
                  <w:pPr>
                    <w:spacing w:before="20"/>
                    <w:jc w:val="center"/>
                    <w:rPr>
                      <w:rFonts w:asciiTheme="minorHAnsi" w:hAnsiTheme="minorHAnsi" w:cs="Arial"/>
                      <w:color w:val="4F81BD" w:themeColor="accent1"/>
                      <w:sz w:val="18"/>
                      <w:szCs w:val="18"/>
                    </w:rPr>
                  </w:pPr>
                </w:p>
              </w:tc>
            </w:tr>
            <w:tr w:rsidR="00921721" w:rsidRPr="006856C6" w14:paraId="1BFD9FD9"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3A598C2A"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862F33D"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Międzyaglomeracyjne</w:t>
                  </w:r>
                  <w:proofErr w:type="spellEnd"/>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271A25A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010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312458BB"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010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5A6CD39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010</w:t>
                  </w:r>
                </w:p>
              </w:tc>
            </w:tr>
            <w:tr w:rsidR="00921721" w:rsidRPr="006856C6" w14:paraId="090626F5"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6BE9FB75"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A60971E"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Regionalne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369204AF" w14:textId="77777777" w:rsidR="00921721" w:rsidRPr="005C29AF" w:rsidRDefault="00921721" w:rsidP="00880D09">
                  <w:pPr>
                    <w:spacing w:before="20"/>
                    <w:jc w:val="center"/>
                    <w:rPr>
                      <w:rFonts w:asciiTheme="minorHAnsi" w:hAnsiTheme="minorHAnsi" w:cs="Arial"/>
                      <w:color w:val="4F81BD" w:themeColor="accent1"/>
                      <w:sz w:val="18"/>
                      <w:szCs w:val="18"/>
                    </w:rPr>
                  </w:pPr>
                  <w:r w:rsidRPr="00117A7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117A79">
                    <w:rPr>
                      <w:rFonts w:asciiTheme="minorHAnsi" w:hAnsiTheme="minorHAnsi" w:cs="Arial"/>
                      <w:color w:val="4F81BD" w:themeColor="accent1"/>
                      <w:sz w:val="18"/>
                      <w:szCs w:val="18"/>
                      <w:lang w:val="en-GB"/>
                    </w:rPr>
                    <w:t>016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1ACA7C8D" w14:textId="77777777" w:rsidR="00921721" w:rsidRPr="005C29AF" w:rsidRDefault="00921721" w:rsidP="00880D09">
                  <w:pPr>
                    <w:spacing w:before="20"/>
                    <w:jc w:val="center"/>
                    <w:rPr>
                      <w:rFonts w:asciiTheme="minorHAnsi" w:hAnsiTheme="minorHAnsi" w:cs="Arial"/>
                      <w:color w:val="4F81BD" w:themeColor="accent1"/>
                      <w:sz w:val="18"/>
                      <w:szCs w:val="18"/>
                    </w:rPr>
                  </w:pPr>
                  <w:r w:rsidRPr="00117A7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117A79">
                    <w:rPr>
                      <w:rFonts w:asciiTheme="minorHAnsi" w:hAnsiTheme="minorHAnsi" w:cs="Arial"/>
                      <w:color w:val="4F81BD" w:themeColor="accent1"/>
                      <w:sz w:val="18"/>
                      <w:szCs w:val="18"/>
                      <w:lang w:val="en-GB"/>
                    </w:rPr>
                    <w:t>016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6518F1EE" w14:textId="77777777" w:rsidR="00921721" w:rsidRPr="005C29AF" w:rsidRDefault="00921721" w:rsidP="00880D09">
                  <w:pPr>
                    <w:spacing w:before="20"/>
                    <w:jc w:val="center"/>
                    <w:rPr>
                      <w:rFonts w:asciiTheme="minorHAnsi" w:hAnsiTheme="minorHAnsi" w:cs="Arial"/>
                      <w:color w:val="4F81BD" w:themeColor="accent1"/>
                      <w:sz w:val="18"/>
                      <w:szCs w:val="18"/>
                    </w:rPr>
                  </w:pPr>
                  <w:r w:rsidRPr="00117A7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117A79">
                    <w:rPr>
                      <w:rFonts w:asciiTheme="minorHAnsi" w:hAnsiTheme="minorHAnsi" w:cs="Arial"/>
                      <w:color w:val="4F81BD" w:themeColor="accent1"/>
                      <w:sz w:val="18"/>
                      <w:szCs w:val="18"/>
                      <w:lang w:val="en-GB"/>
                    </w:rPr>
                    <w:t>016</w:t>
                  </w:r>
                </w:p>
              </w:tc>
            </w:tr>
            <w:tr w:rsidR="00921721" w:rsidRPr="003E7EB2" w14:paraId="46E7357A" w14:textId="77777777" w:rsidTr="00880D09">
              <w:trPr>
                <w:trHeight w:val="250"/>
              </w:trPr>
              <w:tc>
                <w:tcPr>
                  <w:tcW w:w="1338" w:type="dxa"/>
                  <w:vMerge w:val="restart"/>
                  <w:tcBorders>
                    <w:top w:val="single" w:sz="4" w:space="0" w:color="FFFFFF"/>
                    <w:left w:val="single" w:sz="4" w:space="0" w:color="FFFFFF"/>
                    <w:right w:val="nil"/>
                  </w:tcBorders>
                  <w:shd w:val="clear" w:color="auto" w:fill="DBE5F1" w:themeFill="accent1" w:themeFillTint="33"/>
                  <w:vAlign w:val="center"/>
                </w:tcPr>
                <w:p w14:paraId="4C114345" w14:textId="77777777" w:rsidR="00921721" w:rsidRPr="003E7EB2" w:rsidRDefault="00921721" w:rsidP="00880D09">
                  <w:pPr>
                    <w:spacing w:before="20"/>
                    <w:jc w:val="center"/>
                    <w:rPr>
                      <w:rFonts w:ascii="Calibri" w:hAnsi="Calibri" w:cs="Calibri"/>
                      <w:color w:val="000000"/>
                      <w:sz w:val="18"/>
                      <w:szCs w:val="18"/>
                    </w:rPr>
                  </w:pPr>
                  <w:r w:rsidRPr="005C29AF">
                    <w:rPr>
                      <w:rFonts w:asciiTheme="minorHAnsi" w:hAnsiTheme="minorHAnsi" w:cs="Arial"/>
                      <w:color w:val="4F81BD" w:themeColor="accent1"/>
                      <w:sz w:val="18"/>
                      <w:szCs w:val="18"/>
                    </w:rPr>
                    <w:t>Diesel</w:t>
                  </w: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D4E85BB"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Międzyaglomeracyjne</w:t>
                  </w:r>
                  <w:proofErr w:type="spellEnd"/>
                  <w:r w:rsidRPr="005C29AF">
                    <w:rPr>
                      <w:rFonts w:asciiTheme="minorHAnsi" w:hAnsiTheme="minorHAnsi" w:cs="Arial"/>
                      <w:color w:val="4F81BD" w:themeColor="accent1"/>
                      <w:sz w:val="18"/>
                      <w:szCs w:val="18"/>
                    </w:rPr>
                    <w:t xml:space="preserv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586D44B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3</w:t>
                  </w:r>
                  <w:r>
                    <w:rPr>
                      <w:rFonts w:asciiTheme="minorHAnsi" w:hAnsiTheme="minorHAnsi" w:cs="Arial"/>
                      <w:color w:val="4F81BD" w:themeColor="accent1"/>
                      <w:sz w:val="18"/>
                      <w:szCs w:val="18"/>
                      <w:lang w:val="en-GB"/>
                    </w:rPr>
                    <w:t>42</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72F18B3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89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37760D41"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59</w:t>
                  </w:r>
                </w:p>
              </w:tc>
            </w:tr>
            <w:tr w:rsidR="00921721" w:rsidRPr="003E7EB2" w14:paraId="30DDEC1F"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2EFB725F"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F5F734F"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Międzyaglomeracyjne</w:t>
                  </w:r>
                  <w:proofErr w:type="spellEnd"/>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BD7A4E0"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ADCCC8F"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9</w:t>
                  </w:r>
                  <w:r>
                    <w:rPr>
                      <w:rFonts w:asciiTheme="minorHAnsi" w:hAnsiTheme="minorHAnsi" w:cs="Arial"/>
                      <w:color w:val="4F81BD" w:themeColor="accent1"/>
                      <w:sz w:val="18"/>
                      <w:szCs w:val="18"/>
                      <w:lang w:val="en-GB"/>
                    </w:rPr>
                    <w:t>36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3A08A1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1</w:t>
                  </w:r>
                </w:p>
              </w:tc>
            </w:tr>
            <w:tr w:rsidR="00921721" w:rsidRPr="003E7EB2" w14:paraId="1E575EFE"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4CB82658"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A3E9F1"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Regionalne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E52929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5</w:t>
                  </w:r>
                  <w:r>
                    <w:rPr>
                      <w:rFonts w:asciiTheme="minorHAnsi" w:hAnsiTheme="minorHAnsi" w:cs="Arial"/>
                      <w:color w:val="4F81BD" w:themeColor="accent1"/>
                      <w:sz w:val="18"/>
                      <w:szCs w:val="18"/>
                      <w:lang w:val="en-GB"/>
                    </w:rPr>
                    <w:t>57</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0CDEAF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,194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6BAFBB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7</w:t>
                  </w:r>
                  <w:r>
                    <w:rPr>
                      <w:rFonts w:asciiTheme="minorHAnsi" w:hAnsiTheme="minorHAnsi" w:cs="Arial"/>
                      <w:color w:val="4F81BD" w:themeColor="accent1"/>
                      <w:sz w:val="18"/>
                      <w:szCs w:val="18"/>
                      <w:lang w:val="en-GB"/>
                    </w:rPr>
                    <w:t>28</w:t>
                  </w:r>
                </w:p>
              </w:tc>
            </w:tr>
            <w:tr w:rsidR="00921721" w:rsidRPr="003E7EB2" w14:paraId="13B222E1" w14:textId="77777777" w:rsidTr="00880D09">
              <w:trPr>
                <w:trHeight w:val="250"/>
              </w:trPr>
              <w:tc>
                <w:tcPr>
                  <w:tcW w:w="1338" w:type="dxa"/>
                  <w:vMerge/>
                  <w:tcBorders>
                    <w:left w:val="single" w:sz="4" w:space="0" w:color="FFFFFF"/>
                    <w:bottom w:val="single" w:sz="4" w:space="0" w:color="FFFFFF"/>
                    <w:right w:val="nil"/>
                  </w:tcBorders>
                  <w:shd w:val="clear" w:color="auto" w:fill="DBE5F1" w:themeFill="accent1" w:themeFillTint="33"/>
                  <w:vAlign w:val="center"/>
                </w:tcPr>
                <w:p w14:paraId="18E40301"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E53F0D6"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Regionalne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754B39C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55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61F460D5"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36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7733A79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28</w:t>
                  </w:r>
                </w:p>
              </w:tc>
            </w:tr>
          </w:tbl>
          <w:p w14:paraId="33F0DA7F" w14:textId="77777777" w:rsidR="00921721" w:rsidRDefault="00921721" w:rsidP="00880D09">
            <w:pPr>
              <w:spacing w:before="120" w:after="120"/>
              <w:ind w:right="170"/>
              <w:jc w:val="both"/>
              <w:rPr>
                <w:rFonts w:asciiTheme="minorHAnsi" w:hAnsiTheme="minorHAnsi" w:cs="Arial"/>
                <w:b/>
                <w:i/>
                <w:sz w:val="16"/>
                <w:szCs w:val="16"/>
              </w:rPr>
            </w:pPr>
          </w:p>
          <w:p w14:paraId="39FAFBED" w14:textId="77777777" w:rsidR="00921721" w:rsidRDefault="00921721" w:rsidP="00880D09">
            <w:pPr>
              <w:spacing w:before="120" w:after="120"/>
              <w:ind w:right="170"/>
              <w:jc w:val="both"/>
              <w:rPr>
                <w:rFonts w:asciiTheme="minorHAnsi" w:hAnsiTheme="minorHAnsi" w:cs="Arial"/>
                <w:b/>
                <w:i/>
                <w:sz w:val="16"/>
                <w:szCs w:val="16"/>
              </w:rPr>
            </w:pPr>
          </w:p>
          <w:p w14:paraId="6C9F7901" w14:textId="77777777" w:rsidR="00921721" w:rsidRDefault="00921721" w:rsidP="00880D09">
            <w:pPr>
              <w:spacing w:before="120" w:after="120"/>
              <w:ind w:right="170"/>
              <w:jc w:val="both"/>
              <w:rPr>
                <w:rFonts w:asciiTheme="minorHAnsi" w:hAnsiTheme="minorHAnsi" w:cs="Arial"/>
                <w:b/>
                <w:i/>
                <w:sz w:val="16"/>
                <w:szCs w:val="16"/>
              </w:rPr>
            </w:pPr>
          </w:p>
          <w:p w14:paraId="3CF20743" w14:textId="77777777" w:rsidR="00921721" w:rsidRDefault="00921721" w:rsidP="00880D09">
            <w:pPr>
              <w:spacing w:before="120" w:after="120"/>
              <w:ind w:right="170"/>
              <w:jc w:val="both"/>
              <w:rPr>
                <w:rFonts w:asciiTheme="minorHAnsi" w:hAnsiTheme="minorHAnsi" w:cs="Arial"/>
                <w:b/>
                <w:i/>
                <w:sz w:val="16"/>
                <w:szCs w:val="16"/>
              </w:rPr>
            </w:pPr>
          </w:p>
          <w:p w14:paraId="2C0D5E65" w14:textId="77777777" w:rsidR="00921721" w:rsidRDefault="00921721" w:rsidP="00880D09">
            <w:pPr>
              <w:spacing w:before="120" w:after="120"/>
              <w:ind w:right="170"/>
              <w:jc w:val="both"/>
              <w:rPr>
                <w:rFonts w:asciiTheme="minorHAnsi" w:hAnsiTheme="minorHAnsi" w:cs="Arial"/>
                <w:b/>
                <w:i/>
                <w:sz w:val="16"/>
                <w:szCs w:val="16"/>
              </w:rPr>
            </w:pPr>
          </w:p>
          <w:p w14:paraId="17EB265B" w14:textId="77777777" w:rsidR="00921721" w:rsidRPr="005C29AF" w:rsidRDefault="00921721" w:rsidP="00880D09">
            <w:pPr>
              <w:spacing w:before="120" w:after="120"/>
              <w:ind w:right="170"/>
              <w:jc w:val="both"/>
              <w:rPr>
                <w:rFonts w:asciiTheme="minorHAnsi" w:hAnsiTheme="minorHAnsi" w:cs="Arial"/>
                <w:b/>
                <w:i/>
                <w:sz w:val="16"/>
                <w:szCs w:val="16"/>
              </w:rPr>
            </w:pPr>
          </w:p>
          <w:tbl>
            <w:tblPr>
              <w:tblW w:w="6510" w:type="dxa"/>
              <w:tblLayout w:type="fixed"/>
              <w:tblLook w:val="04A0" w:firstRow="1" w:lastRow="0" w:firstColumn="1" w:lastColumn="0" w:noHBand="0" w:noVBand="1"/>
            </w:tblPr>
            <w:tblGrid>
              <w:gridCol w:w="1337"/>
              <w:gridCol w:w="1915"/>
              <w:gridCol w:w="1086"/>
              <w:gridCol w:w="1086"/>
              <w:gridCol w:w="1086"/>
            </w:tblGrid>
            <w:tr w:rsidR="00921721" w:rsidRPr="002B7802" w14:paraId="3870A40D" w14:textId="77777777" w:rsidTr="00880D09">
              <w:trPr>
                <w:trHeight w:hRule="exact" w:val="828"/>
              </w:trPr>
              <w:tc>
                <w:tcPr>
                  <w:tcW w:w="133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32B267C" w14:textId="77777777" w:rsidR="00921721"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lastRenderedPageBreak/>
                    <w:t xml:space="preserve">Pociągi </w:t>
                  </w:r>
                </w:p>
                <w:p w14:paraId="19702A15" w14:textId="77777777" w:rsidR="00921721"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towarowe</w:t>
                  </w:r>
                </w:p>
                <w:p w14:paraId="7F0B2298"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 xml:space="preserve">PLN/ </w:t>
                  </w:r>
                  <w:proofErr w:type="spellStart"/>
                  <w:r w:rsidRPr="002B7802">
                    <w:rPr>
                      <w:rFonts w:asciiTheme="minorHAnsi" w:hAnsiTheme="minorHAnsi" w:cs="Arial"/>
                      <w:b/>
                      <w:bCs/>
                      <w:color w:val="FFFFFF"/>
                      <w:sz w:val="18"/>
                      <w:szCs w:val="18"/>
                    </w:rPr>
                    <w:t>poc</w:t>
                  </w:r>
                  <w:proofErr w:type="spellEnd"/>
                  <w:r w:rsidRPr="002B7802">
                    <w:rPr>
                      <w:rFonts w:asciiTheme="minorHAnsi" w:hAnsiTheme="minorHAnsi" w:cs="Arial"/>
                      <w:b/>
                      <w:bCs/>
                      <w:color w:val="FFFFFF"/>
                      <w:sz w:val="18"/>
                      <w:szCs w:val="18"/>
                    </w:rPr>
                    <w:t>-km</w:t>
                  </w:r>
                </w:p>
              </w:tc>
              <w:tc>
                <w:tcPr>
                  <w:tcW w:w="191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93B1F8C"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p>
              </w:tc>
              <w:tc>
                <w:tcPr>
                  <w:tcW w:w="108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1C36214B"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Metropolia (*)</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A7EF25"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 xml:space="preserve">Obszar </w:t>
                  </w:r>
                  <w:r w:rsidRPr="002B7802">
                    <w:rPr>
                      <w:rFonts w:asciiTheme="minorHAnsi" w:hAnsiTheme="minorHAnsi" w:cs="Arial"/>
                      <w:b/>
                      <w:bCs/>
                      <w:color w:val="FFFFFF"/>
                      <w:sz w:val="18"/>
                      <w:szCs w:val="18"/>
                    </w:rPr>
                    <w:br/>
                    <w:t>miejski</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C8E416C"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 xml:space="preserve">Obszar </w:t>
                  </w:r>
                  <w:r w:rsidRPr="002B7802">
                    <w:rPr>
                      <w:rFonts w:asciiTheme="minorHAnsi" w:hAnsiTheme="minorHAnsi" w:cs="Arial"/>
                      <w:b/>
                      <w:bCs/>
                      <w:color w:val="FFFFFF"/>
                      <w:sz w:val="18"/>
                      <w:szCs w:val="18"/>
                    </w:rPr>
                    <w:br/>
                    <w:t>zamiejski</w:t>
                  </w:r>
                </w:p>
              </w:tc>
            </w:tr>
            <w:tr w:rsidR="00921721" w:rsidRPr="006856C6" w14:paraId="14B7D5D3" w14:textId="77777777" w:rsidTr="00880D09">
              <w:trPr>
                <w:trHeight w:val="185"/>
              </w:trPr>
              <w:tc>
                <w:tcPr>
                  <w:tcW w:w="1337" w:type="dxa"/>
                  <w:vMerge w:val="restart"/>
                  <w:tcBorders>
                    <w:top w:val="single" w:sz="4" w:space="0" w:color="FFFFFF"/>
                    <w:left w:val="single" w:sz="4" w:space="0" w:color="FFFFFF"/>
                    <w:right w:val="nil"/>
                  </w:tcBorders>
                  <w:shd w:val="clear" w:color="auto" w:fill="DBE5F1" w:themeFill="accent1" w:themeFillTint="33"/>
                  <w:vAlign w:val="center"/>
                </w:tcPr>
                <w:p w14:paraId="54525C11" w14:textId="77777777" w:rsidR="00921721" w:rsidRPr="002B7802" w:rsidRDefault="00921721" w:rsidP="00880D09">
                  <w:pPr>
                    <w:spacing w:before="20"/>
                    <w:jc w:val="center"/>
                    <w:rPr>
                      <w:rFonts w:asciiTheme="minorHAnsi" w:hAnsiTheme="minorHAnsi" w:cs="Arial"/>
                      <w:color w:val="4F81BD" w:themeColor="accent1"/>
                      <w:sz w:val="18"/>
                      <w:szCs w:val="18"/>
                    </w:rPr>
                  </w:pPr>
                  <w:r w:rsidRPr="002B7802">
                    <w:rPr>
                      <w:rFonts w:asciiTheme="minorHAnsi" w:hAnsiTheme="minorHAnsi" w:cs="Arial"/>
                      <w:color w:val="4F81BD" w:themeColor="accent1"/>
                      <w:sz w:val="18"/>
                      <w:szCs w:val="18"/>
                    </w:rPr>
                    <w:t>Elektryczne</w:t>
                  </w: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A2CDBE"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EBBDC7F"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06D25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BF79F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r>
            <w:tr w:rsidR="00921721" w:rsidRPr="006856C6" w14:paraId="70A60904"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6B92BD3E"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772D933"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C03661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970AE90"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E5B03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r>
            <w:tr w:rsidR="00921721" w:rsidRPr="006856C6" w14:paraId="7AD1887F"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2CB4D2F8"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00E38F4"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2CABBFB5"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3E65F2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DCC07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r>
            <w:tr w:rsidR="00921721" w:rsidRPr="006856C6" w14:paraId="727B73E1"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536E7176"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03A97D"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A89F04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8D3EC1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1645A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r>
            <w:tr w:rsidR="00921721" w:rsidRPr="002B7802" w14:paraId="2EA964F9" w14:textId="77777777" w:rsidTr="00880D09">
              <w:trPr>
                <w:trHeight w:val="185"/>
              </w:trPr>
              <w:tc>
                <w:tcPr>
                  <w:tcW w:w="1337" w:type="dxa"/>
                  <w:vMerge w:val="restart"/>
                  <w:tcBorders>
                    <w:top w:val="single" w:sz="4" w:space="0" w:color="FFFFFF"/>
                    <w:left w:val="single" w:sz="4" w:space="0" w:color="FFFFFF"/>
                    <w:right w:val="nil"/>
                  </w:tcBorders>
                  <w:shd w:val="clear" w:color="auto" w:fill="DBE5F1" w:themeFill="accent1" w:themeFillTint="33"/>
                  <w:vAlign w:val="center"/>
                </w:tcPr>
                <w:p w14:paraId="051978F3" w14:textId="77777777" w:rsidR="00921721" w:rsidRPr="003E7EB2" w:rsidRDefault="00921721" w:rsidP="00880D09">
                  <w:pPr>
                    <w:jc w:val="center"/>
                    <w:rPr>
                      <w:rFonts w:ascii="Calibri" w:hAnsi="Calibri" w:cs="Calibri"/>
                      <w:color w:val="000000"/>
                      <w:sz w:val="18"/>
                      <w:szCs w:val="18"/>
                    </w:rPr>
                  </w:pPr>
                  <w:r w:rsidRPr="002B7802">
                    <w:rPr>
                      <w:rFonts w:asciiTheme="minorHAnsi" w:hAnsiTheme="minorHAnsi" w:cs="Arial"/>
                      <w:color w:val="4F81BD" w:themeColor="accent1"/>
                      <w:sz w:val="18"/>
                      <w:szCs w:val="18"/>
                    </w:rPr>
                    <w:t>Diesel</w:t>
                  </w: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41BFA5"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kontenerowe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E61EDB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8</w:t>
                  </w:r>
                  <w:r>
                    <w:rPr>
                      <w:rFonts w:asciiTheme="minorHAnsi" w:hAnsiTheme="minorHAnsi" w:cs="Arial"/>
                      <w:color w:val="4F81BD" w:themeColor="accent1"/>
                      <w:sz w:val="18"/>
                      <w:szCs w:val="18"/>
                    </w:rPr>
                    <w:t>29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E957F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9</w:t>
                  </w:r>
                  <w:r>
                    <w:rPr>
                      <w:rFonts w:asciiTheme="minorHAnsi" w:hAnsiTheme="minorHAnsi" w:cs="Arial"/>
                      <w:color w:val="4F81BD" w:themeColor="accent1"/>
                      <w:sz w:val="18"/>
                      <w:szCs w:val="18"/>
                    </w:rPr>
                    <w:t>25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BE0EB2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24</w:t>
                  </w:r>
                </w:p>
              </w:tc>
            </w:tr>
            <w:tr w:rsidR="00921721" w:rsidRPr="002B7802" w14:paraId="3C9531B7"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33937468" w14:textId="77777777" w:rsidR="00921721" w:rsidRPr="002B780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AE58C5A"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34638FB"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14,964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804B85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24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81FF20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30</w:t>
                  </w:r>
                </w:p>
              </w:tc>
            </w:tr>
            <w:tr w:rsidR="00921721" w:rsidRPr="002B7802" w14:paraId="64E00A74"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42A10947"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6EDD3CB"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masowe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CE2D4E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8</w:t>
                  </w:r>
                  <w:r>
                    <w:rPr>
                      <w:rFonts w:asciiTheme="minorHAnsi" w:hAnsiTheme="minorHAnsi" w:cs="Arial"/>
                      <w:color w:val="4F81BD" w:themeColor="accent1"/>
                      <w:sz w:val="18"/>
                      <w:szCs w:val="18"/>
                    </w:rPr>
                    <w:t>45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0EB109"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9</w:t>
                  </w:r>
                  <w:r>
                    <w:rPr>
                      <w:rFonts w:asciiTheme="minorHAnsi" w:hAnsiTheme="minorHAnsi" w:cs="Arial"/>
                      <w:color w:val="4F81BD" w:themeColor="accent1"/>
                      <w:sz w:val="18"/>
                      <w:szCs w:val="18"/>
                    </w:rPr>
                    <w:t>41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AA573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39</w:t>
                  </w:r>
                </w:p>
              </w:tc>
            </w:tr>
            <w:tr w:rsidR="00921721" w:rsidRPr="002B7802" w14:paraId="33AF0EDF"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01FDF68F"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6E88D71"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2286D217"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14,980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368301"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,240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4C92F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46</w:t>
                  </w:r>
                </w:p>
              </w:tc>
            </w:tr>
            <w:tr w:rsidR="00921721" w:rsidRPr="002B7802" w14:paraId="6545CE6A"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5DDA49E1"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511C29"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kontenerowe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4B223C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,886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112EBFF"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5,982</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F46EA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,581</w:t>
                  </w:r>
                </w:p>
              </w:tc>
            </w:tr>
            <w:tr w:rsidR="00921721" w:rsidRPr="002B7802" w14:paraId="6AB78A42"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420C98DE" w14:textId="77777777" w:rsidR="00921721" w:rsidRPr="002B780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85146C0"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114263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15</w:t>
                  </w:r>
                  <w:r>
                    <w:rPr>
                      <w:rFonts w:asciiTheme="minorHAnsi" w:hAnsiTheme="minorHAnsi" w:cs="Arial"/>
                      <w:color w:val="4F81BD" w:themeColor="accent1"/>
                      <w:sz w:val="18"/>
                      <w:szCs w:val="18"/>
                    </w:rPr>
                    <w:t>,021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D0BE0F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,281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C2C97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,287</w:t>
                  </w:r>
                </w:p>
              </w:tc>
            </w:tr>
            <w:tr w:rsidR="00921721" w:rsidRPr="002B7802" w14:paraId="78317EE4"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1E3FF061"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F56A05"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masowe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2F0FED0"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6,899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6C1F7E"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5,995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9010BE1"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3,593</w:t>
                  </w:r>
                </w:p>
              </w:tc>
            </w:tr>
            <w:tr w:rsidR="00921721" w:rsidRPr="002B7802" w14:paraId="5129D0DB" w14:textId="77777777" w:rsidTr="00880D09">
              <w:trPr>
                <w:trHeight w:val="185"/>
              </w:trPr>
              <w:tc>
                <w:tcPr>
                  <w:tcW w:w="1337" w:type="dxa"/>
                  <w:vMerge/>
                  <w:tcBorders>
                    <w:left w:val="single" w:sz="4" w:space="0" w:color="FFFFFF"/>
                    <w:bottom w:val="single" w:sz="4" w:space="0" w:color="FFFFFF"/>
                    <w:right w:val="nil"/>
                  </w:tcBorders>
                  <w:shd w:val="clear" w:color="auto" w:fill="DBE5F1" w:themeFill="accent1" w:themeFillTint="33"/>
                  <w:vAlign w:val="center"/>
                </w:tcPr>
                <w:p w14:paraId="1DDDEDF6" w14:textId="77777777" w:rsidR="00921721" w:rsidRPr="002B780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5FEB707"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7C07E60"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15,033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EBD2C3A"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12,294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567095"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7,300</w:t>
                  </w:r>
                </w:p>
              </w:tc>
            </w:tr>
          </w:tbl>
          <w:p w14:paraId="4C3E3B66" w14:textId="77777777" w:rsidR="00921721" w:rsidRDefault="00921721" w:rsidP="00880D09">
            <w:pPr>
              <w:ind w:right="170"/>
              <w:jc w:val="both"/>
              <w:rPr>
                <w:rFonts w:asciiTheme="minorHAnsi" w:hAnsiTheme="minorHAnsi" w:cs="Arial"/>
                <w:b/>
                <w:i/>
                <w:sz w:val="16"/>
                <w:szCs w:val="16"/>
              </w:rPr>
            </w:pPr>
            <w:r w:rsidRPr="00DF0989">
              <w:rPr>
                <w:rFonts w:asciiTheme="minorHAnsi" w:hAnsiTheme="minorHAnsi" w:cs="Arial"/>
                <w:b/>
                <w:i/>
                <w:sz w:val="16"/>
                <w:szCs w:val="16"/>
              </w:rPr>
              <w:t>Źródło:</w:t>
            </w:r>
            <w:r w:rsidRPr="00DF0989">
              <w:t xml:space="preserve"> </w:t>
            </w:r>
            <w:r w:rsidRPr="00DF0989">
              <w:rPr>
                <w:rFonts w:asciiTheme="minorHAnsi" w:hAnsiTheme="minorHAnsi" w:cs="Arial"/>
                <w:b/>
                <w:i/>
                <w:sz w:val="16"/>
                <w:szCs w:val="16"/>
              </w:rPr>
              <w:t xml:space="preserve">Obliczenia własne na podstawie </w:t>
            </w:r>
            <w:proofErr w:type="spellStart"/>
            <w:r w:rsidRPr="00DF0989">
              <w:rPr>
                <w:rFonts w:asciiTheme="minorHAnsi" w:hAnsiTheme="minorHAnsi" w:cs="Arial"/>
                <w:b/>
                <w:i/>
                <w:sz w:val="16"/>
                <w:szCs w:val="16"/>
              </w:rPr>
              <w:t>Handbook</w:t>
            </w:r>
            <w:proofErr w:type="spellEnd"/>
            <w:r w:rsidRPr="00DF0989">
              <w:rPr>
                <w:rFonts w:asciiTheme="minorHAnsi" w:hAnsiTheme="minorHAnsi" w:cs="Arial"/>
                <w:b/>
                <w:i/>
                <w:sz w:val="16"/>
                <w:szCs w:val="16"/>
              </w:rPr>
              <w:t xml:space="preserve"> on the </w:t>
            </w:r>
            <w:proofErr w:type="spellStart"/>
            <w:r w:rsidRPr="00DF0989">
              <w:rPr>
                <w:rFonts w:asciiTheme="minorHAnsi" w:hAnsiTheme="minorHAnsi" w:cs="Arial"/>
                <w:b/>
                <w:i/>
                <w:sz w:val="16"/>
                <w:szCs w:val="16"/>
              </w:rPr>
              <w:t>External</w:t>
            </w:r>
            <w:proofErr w:type="spellEnd"/>
            <w:r w:rsidRPr="00DF0989">
              <w:rPr>
                <w:rFonts w:asciiTheme="minorHAnsi" w:hAnsiTheme="minorHAnsi" w:cs="Arial"/>
                <w:b/>
                <w:i/>
                <w:sz w:val="16"/>
                <w:szCs w:val="16"/>
              </w:rPr>
              <w:t xml:space="preserve"> </w:t>
            </w:r>
            <w:proofErr w:type="spellStart"/>
            <w:r w:rsidRPr="00DF0989">
              <w:rPr>
                <w:rFonts w:asciiTheme="minorHAnsi" w:hAnsiTheme="minorHAnsi" w:cs="Arial"/>
                <w:b/>
                <w:i/>
                <w:sz w:val="16"/>
                <w:szCs w:val="16"/>
              </w:rPr>
              <w:t>Costs</w:t>
            </w:r>
            <w:proofErr w:type="spellEnd"/>
            <w:r w:rsidRPr="00DF0989">
              <w:rPr>
                <w:rFonts w:asciiTheme="minorHAnsi" w:hAnsiTheme="minorHAnsi" w:cs="Arial"/>
                <w:b/>
                <w:i/>
                <w:sz w:val="16"/>
                <w:szCs w:val="16"/>
              </w:rPr>
              <w:t xml:space="preserve"> of Transport (January 2019). </w:t>
            </w:r>
          </w:p>
          <w:p w14:paraId="0A7989BB" w14:textId="77777777" w:rsidR="00921721" w:rsidRPr="002C6855" w:rsidRDefault="00921721" w:rsidP="00880D09">
            <w:pPr>
              <w:ind w:right="170"/>
              <w:jc w:val="both"/>
              <w:rPr>
                <w:rFonts w:asciiTheme="minorHAnsi" w:hAnsiTheme="minorHAnsi" w:cs="Arial"/>
                <w:snapToGrid w:val="0"/>
                <w:sz w:val="20"/>
                <w:szCs w:val="20"/>
                <w:lang w:eastAsia="en-US"/>
              </w:rPr>
            </w:pPr>
            <w:r w:rsidRPr="003E7EB2">
              <w:rPr>
                <w:rFonts w:asciiTheme="minorHAnsi" w:hAnsiTheme="minorHAnsi" w:cs="Arial"/>
                <w:b/>
                <w:i/>
                <w:sz w:val="16"/>
                <w:szCs w:val="16"/>
              </w:rPr>
              <w:t>(*)</w:t>
            </w:r>
            <w:r>
              <w:rPr>
                <w:rFonts w:asciiTheme="minorHAnsi" w:hAnsiTheme="minorHAnsi" w:cs="Arial"/>
                <w:b/>
                <w:i/>
                <w:sz w:val="16"/>
                <w:szCs w:val="16"/>
              </w:rPr>
              <w:t> </w:t>
            </w:r>
            <w:r w:rsidRPr="003E7EB2">
              <w:rPr>
                <w:rFonts w:asciiTheme="minorHAnsi" w:hAnsiTheme="minorHAnsi" w:cs="Arial"/>
                <w:b/>
                <w:i/>
                <w:sz w:val="16"/>
                <w:szCs w:val="16"/>
              </w:rPr>
              <w:t>Obszar metropolitalny: miasto lub aglomeracja o</w:t>
            </w:r>
            <w:r>
              <w:rPr>
                <w:rFonts w:asciiTheme="minorHAnsi" w:hAnsiTheme="minorHAnsi" w:cs="Arial"/>
                <w:b/>
                <w:i/>
                <w:sz w:val="16"/>
                <w:szCs w:val="16"/>
              </w:rPr>
              <w:t> </w:t>
            </w:r>
            <w:r w:rsidRPr="003E7EB2">
              <w:rPr>
                <w:rFonts w:asciiTheme="minorHAnsi" w:hAnsiTheme="minorHAnsi" w:cs="Arial"/>
                <w:b/>
                <w:i/>
                <w:sz w:val="16"/>
                <w:szCs w:val="16"/>
              </w:rPr>
              <w:t xml:space="preserve">liczbie </w:t>
            </w:r>
            <w:r>
              <w:rPr>
                <w:rFonts w:asciiTheme="minorHAnsi" w:hAnsiTheme="minorHAnsi" w:cs="Arial"/>
                <w:b/>
                <w:i/>
                <w:sz w:val="16"/>
                <w:szCs w:val="16"/>
              </w:rPr>
              <w:t>mieszkańców przekraczającej 0,5 </w:t>
            </w:r>
            <w:r w:rsidRPr="003E7EB2">
              <w:rPr>
                <w:rFonts w:asciiTheme="minorHAnsi" w:hAnsiTheme="minorHAnsi" w:cs="Arial"/>
                <w:b/>
                <w:i/>
                <w:sz w:val="16"/>
                <w:szCs w:val="16"/>
              </w:rPr>
              <w:t xml:space="preserve">miliona (definicja według </w:t>
            </w:r>
            <w:proofErr w:type="spellStart"/>
            <w:r w:rsidRPr="003E7EB2">
              <w:rPr>
                <w:rFonts w:asciiTheme="minorHAnsi" w:hAnsiTheme="minorHAnsi" w:cs="Arial"/>
                <w:b/>
                <w:i/>
                <w:sz w:val="16"/>
                <w:szCs w:val="16"/>
              </w:rPr>
              <w:t>Handbook</w:t>
            </w:r>
            <w:proofErr w:type="spellEnd"/>
            <w:r w:rsidRPr="003E7EB2">
              <w:rPr>
                <w:rFonts w:asciiTheme="minorHAnsi" w:hAnsiTheme="minorHAnsi" w:cs="Arial"/>
                <w:b/>
                <w:i/>
                <w:sz w:val="16"/>
                <w:szCs w:val="16"/>
              </w:rPr>
              <w:t xml:space="preserve"> on the </w:t>
            </w:r>
            <w:proofErr w:type="spellStart"/>
            <w:r w:rsidRPr="003E7EB2">
              <w:rPr>
                <w:rFonts w:asciiTheme="minorHAnsi" w:hAnsiTheme="minorHAnsi" w:cs="Arial"/>
                <w:b/>
                <w:i/>
                <w:sz w:val="16"/>
                <w:szCs w:val="16"/>
              </w:rPr>
              <w:t>External</w:t>
            </w:r>
            <w:proofErr w:type="spellEnd"/>
            <w:r w:rsidRPr="003E7EB2">
              <w:rPr>
                <w:rFonts w:asciiTheme="minorHAnsi" w:hAnsiTheme="minorHAnsi" w:cs="Arial"/>
                <w:b/>
                <w:i/>
                <w:sz w:val="16"/>
                <w:szCs w:val="16"/>
              </w:rPr>
              <w:t xml:space="preserve"> </w:t>
            </w:r>
            <w:proofErr w:type="spellStart"/>
            <w:r w:rsidRPr="003E7EB2">
              <w:rPr>
                <w:rFonts w:asciiTheme="minorHAnsi" w:hAnsiTheme="minorHAnsi" w:cs="Arial"/>
                <w:b/>
                <w:i/>
                <w:sz w:val="16"/>
                <w:szCs w:val="16"/>
              </w:rPr>
              <w:t>Costs</w:t>
            </w:r>
            <w:proofErr w:type="spellEnd"/>
            <w:r w:rsidRPr="003E7EB2">
              <w:rPr>
                <w:rFonts w:asciiTheme="minorHAnsi" w:hAnsiTheme="minorHAnsi" w:cs="Arial"/>
                <w:b/>
                <w:i/>
                <w:sz w:val="16"/>
                <w:szCs w:val="16"/>
              </w:rPr>
              <w:t xml:space="preserve"> of Transport, EC, January 2019)</w:t>
            </w:r>
          </w:p>
          <w:p w14:paraId="73A57DF5" w14:textId="77777777" w:rsidR="00921721" w:rsidRPr="003D4863" w:rsidRDefault="00921721" w:rsidP="00880D09">
            <w:pPr>
              <w:spacing w:after="120"/>
              <w:ind w:right="170"/>
              <w:jc w:val="both"/>
              <w:rPr>
                <w:rFonts w:asciiTheme="minorHAnsi" w:hAnsiTheme="minorHAnsi" w:cs="Arial"/>
                <w:b/>
                <w:i/>
                <w:sz w:val="16"/>
                <w:szCs w:val="16"/>
              </w:rPr>
            </w:pPr>
          </w:p>
          <w:p w14:paraId="2EDE1498" w14:textId="77777777" w:rsidR="00921721" w:rsidRPr="00614799" w:rsidRDefault="00921721" w:rsidP="00880D09">
            <w:pPr>
              <w:pStyle w:val="anxnormal"/>
              <w:spacing w:after="120"/>
              <w:ind w:left="0"/>
              <w:rPr>
                <w:rFonts w:asciiTheme="minorHAnsi" w:hAnsiTheme="minorHAnsi"/>
                <w:lang w:eastAsia="en-US"/>
              </w:rPr>
            </w:pPr>
          </w:p>
          <w:p w14:paraId="18C8D6F9"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6BEBDA6F" w14:textId="77777777" w:rsidR="00921721" w:rsidRPr="00731E4E" w:rsidRDefault="00921721" w:rsidP="00880D09">
            <w:pPr>
              <w:pStyle w:val="anxnormal"/>
              <w:ind w:left="0"/>
              <w:rPr>
                <w:rFonts w:asciiTheme="minorHAnsi" w:hAnsiTheme="minorHAnsi"/>
                <w:lang w:eastAsia="en-US"/>
              </w:rPr>
            </w:pPr>
            <w:r w:rsidRPr="00942EC3">
              <w:rPr>
                <w:rFonts w:asciiTheme="minorHAnsi" w:hAnsiTheme="minorHAnsi"/>
                <w:lang w:eastAsia="en-US"/>
              </w:rPr>
              <w:t xml:space="preserve">Prognoza zmiany jednostkowych kosztów zanieczyszczeń powietrza w czasie (do wyliczenia) powinna </w:t>
            </w:r>
            <w:r w:rsidRPr="00557E09">
              <w:rPr>
                <w:rFonts w:asciiTheme="minorHAnsi" w:hAnsiTheme="minorHAnsi"/>
                <w:lang w:eastAsia="en-US"/>
              </w:rPr>
              <w:t>być oparta</w:t>
            </w:r>
            <w:r>
              <w:rPr>
                <w:rFonts w:asciiTheme="minorHAnsi" w:hAnsiTheme="minorHAnsi"/>
                <w:lang w:eastAsia="en-US"/>
              </w:rPr>
              <w:t xml:space="preserve"> o prognozowany wzrost PKB na 1 </w:t>
            </w:r>
            <w:r w:rsidRPr="00557E09">
              <w:rPr>
                <w:rFonts w:asciiTheme="minorHAnsi" w:hAnsiTheme="minorHAnsi"/>
                <w:lang w:eastAsia="en-US"/>
              </w:rPr>
              <w:t>mieszk</w:t>
            </w:r>
            <w:r>
              <w:rPr>
                <w:rFonts w:asciiTheme="minorHAnsi" w:hAnsiTheme="minorHAnsi"/>
                <w:lang w:eastAsia="en-US"/>
              </w:rPr>
              <w:t>ańca (wartości podane w punkcie </w:t>
            </w:r>
            <w:r w:rsidRPr="00557E09">
              <w:rPr>
                <w:rFonts w:asciiTheme="minorHAnsi" w:hAnsiTheme="minorHAnsi"/>
                <w:lang w:eastAsia="en-US"/>
              </w:rPr>
              <w:t>2) przy</w:t>
            </w:r>
            <w:r w:rsidRPr="00942EC3">
              <w:rPr>
                <w:rFonts w:asciiTheme="minorHAnsi" w:hAnsiTheme="minorHAnsi"/>
                <w:lang w:eastAsia="en-US"/>
              </w:rPr>
              <w:t xml:space="preserve"> zastosowaniu współczynnika elastyczności 0,8.</w:t>
            </w:r>
          </w:p>
          <w:p w14:paraId="5227B535" w14:textId="77777777" w:rsidR="00921721" w:rsidRDefault="00921721" w:rsidP="00880D09">
            <w:pPr>
              <w:pStyle w:val="anxnormal"/>
              <w:ind w:left="0"/>
              <w:rPr>
                <w:rFonts w:asciiTheme="minorHAnsi" w:hAnsiTheme="minorHAnsi"/>
                <w:lang w:eastAsia="en-US"/>
              </w:rPr>
            </w:pPr>
          </w:p>
          <w:p w14:paraId="585F86D9" w14:textId="77777777" w:rsidR="00921721" w:rsidRDefault="00921721" w:rsidP="00880D09">
            <w:pPr>
              <w:pStyle w:val="anxnormal"/>
              <w:ind w:left="0"/>
              <w:rPr>
                <w:rFonts w:asciiTheme="minorHAnsi" w:hAnsiTheme="minorHAnsi"/>
                <w:lang w:eastAsia="en-US"/>
              </w:rPr>
            </w:pPr>
          </w:p>
          <w:p w14:paraId="63C50F71" w14:textId="77777777" w:rsidR="00921721" w:rsidRDefault="00921721" w:rsidP="00880D09">
            <w:pPr>
              <w:pStyle w:val="anxnormal"/>
              <w:ind w:left="0"/>
              <w:rPr>
                <w:rFonts w:asciiTheme="minorHAnsi" w:hAnsiTheme="minorHAnsi"/>
                <w:lang w:eastAsia="en-US"/>
              </w:rPr>
            </w:pPr>
          </w:p>
          <w:p w14:paraId="19EE4F60" w14:textId="77777777" w:rsidR="00921721" w:rsidRDefault="00921721" w:rsidP="00880D09">
            <w:pPr>
              <w:pStyle w:val="anxnormal"/>
              <w:ind w:left="0"/>
              <w:rPr>
                <w:rFonts w:asciiTheme="minorHAnsi" w:hAnsiTheme="minorHAnsi"/>
                <w:lang w:eastAsia="en-US"/>
              </w:rPr>
            </w:pPr>
          </w:p>
          <w:p w14:paraId="6667C9E0" w14:textId="77777777" w:rsidR="00921721" w:rsidRDefault="00921721" w:rsidP="00880D09">
            <w:pPr>
              <w:pStyle w:val="anxnormal"/>
              <w:ind w:left="0"/>
              <w:rPr>
                <w:rFonts w:asciiTheme="minorHAnsi" w:hAnsiTheme="minorHAnsi"/>
                <w:lang w:eastAsia="en-US"/>
              </w:rPr>
            </w:pPr>
          </w:p>
          <w:p w14:paraId="36B87276" w14:textId="77777777" w:rsidR="00921721" w:rsidRPr="00F20E10" w:rsidRDefault="00921721" w:rsidP="00880D09">
            <w:pPr>
              <w:pStyle w:val="anxnormal"/>
              <w:ind w:left="0"/>
              <w:rPr>
                <w:rFonts w:asciiTheme="minorHAnsi" w:hAnsiTheme="minorHAnsi" w:cs="Arial-Narrow,Bold"/>
                <w:b/>
                <w:bCs/>
                <w:color w:val="4F81BD" w:themeColor="accent1"/>
                <w:sz w:val="23"/>
                <w:szCs w:val="23"/>
                <w:lang w:eastAsia="en-GB"/>
              </w:rPr>
            </w:pPr>
            <w:r w:rsidRPr="00F20E10">
              <w:rPr>
                <w:rFonts w:asciiTheme="minorHAnsi" w:hAnsiTheme="minorHAnsi" w:cs="Arial-Narrow,Bold"/>
                <w:b/>
                <w:bCs/>
                <w:color w:val="4F81BD" w:themeColor="accent1"/>
                <w:sz w:val="23"/>
                <w:szCs w:val="23"/>
                <w:lang w:eastAsia="en-GB"/>
              </w:rPr>
              <w:lastRenderedPageBreak/>
              <w:t>7. Koszty zmian klimat</w:t>
            </w:r>
            <w:r>
              <w:rPr>
                <w:rFonts w:asciiTheme="minorHAnsi" w:hAnsiTheme="minorHAnsi" w:cs="Arial-Narrow,Bold"/>
                <w:b/>
                <w:bCs/>
                <w:color w:val="4F81BD" w:themeColor="accent1"/>
                <w:sz w:val="23"/>
                <w:szCs w:val="23"/>
                <w:lang w:eastAsia="en-GB"/>
              </w:rPr>
              <w:t>u</w:t>
            </w:r>
          </w:p>
          <w:p w14:paraId="5D0BFBC5" w14:textId="77777777" w:rsidR="00921721" w:rsidRDefault="00921721" w:rsidP="00880D09">
            <w:pPr>
              <w:pStyle w:val="anxnormal"/>
              <w:spacing w:after="120"/>
              <w:ind w:left="0"/>
              <w:rPr>
                <w:rFonts w:asciiTheme="minorHAnsi" w:hAnsiTheme="minorHAnsi"/>
                <w:lang w:eastAsia="en-US"/>
              </w:rPr>
            </w:pPr>
            <w:bookmarkStart w:id="125" w:name="_Hlk69476678"/>
            <w:r>
              <w:rPr>
                <w:rFonts w:asciiTheme="minorHAnsi" w:hAnsiTheme="minorHAnsi"/>
                <w:lang w:eastAsia="en-US"/>
              </w:rPr>
              <w:t xml:space="preserve">W poniższych tabelach przedstawiono współczynniki emisji dla pojazdów kategorii LV i HGV </w:t>
            </w:r>
            <w:r>
              <w:rPr>
                <w:rFonts w:asciiTheme="minorHAnsi" w:hAnsiTheme="minorHAnsi" w:cstheme="minorHAnsi"/>
                <w:lang w:eastAsia="en-US"/>
              </w:rPr>
              <w:t xml:space="preserve">w obecnie przyjętym roku bazowym (2021). </w:t>
            </w:r>
            <w:r>
              <w:rPr>
                <w:rFonts w:asciiTheme="minorHAnsi" w:hAnsiTheme="minorHAnsi"/>
                <w:lang w:eastAsia="en-US"/>
              </w:rPr>
              <w:t>Z</w:t>
            </w:r>
            <w:r w:rsidRPr="001569CA">
              <w:rPr>
                <w:rFonts w:asciiTheme="minorHAnsi" w:hAnsiTheme="minorHAnsi"/>
                <w:lang w:eastAsia="en-US"/>
              </w:rPr>
              <w:t>ałożenia co</w:t>
            </w:r>
            <w:r>
              <w:rPr>
                <w:rFonts w:asciiTheme="minorHAnsi" w:hAnsiTheme="minorHAnsi"/>
                <w:lang w:eastAsia="en-US"/>
              </w:rPr>
              <w:t> </w:t>
            </w:r>
            <w:r w:rsidRPr="001569CA">
              <w:rPr>
                <w:rFonts w:asciiTheme="minorHAnsi" w:hAnsiTheme="minorHAnsi"/>
                <w:lang w:eastAsia="en-US"/>
              </w:rPr>
              <w:t xml:space="preserve">do struktury floty </w:t>
            </w:r>
            <w:r>
              <w:rPr>
                <w:rFonts w:asciiTheme="minorHAnsi" w:hAnsiTheme="minorHAnsi"/>
                <w:lang w:eastAsia="en-US"/>
              </w:rPr>
              <w:t xml:space="preserve">(pod względem rodzajów stosowanego </w:t>
            </w:r>
            <w:r w:rsidRPr="001569CA">
              <w:rPr>
                <w:rFonts w:asciiTheme="minorHAnsi" w:hAnsiTheme="minorHAnsi"/>
                <w:lang w:eastAsia="en-US"/>
              </w:rPr>
              <w:t>paliwa</w:t>
            </w:r>
            <w:r>
              <w:rPr>
                <w:rFonts w:asciiTheme="minorHAnsi" w:hAnsiTheme="minorHAnsi"/>
                <w:lang w:eastAsia="en-US"/>
              </w:rPr>
              <w:t>)</w:t>
            </w:r>
            <w:r w:rsidRPr="00983DF9">
              <w:rPr>
                <w:rFonts w:asciiTheme="minorHAnsi" w:hAnsiTheme="minorHAnsi"/>
                <w:lang w:eastAsia="en-US"/>
              </w:rPr>
              <w:t xml:space="preserve"> </w:t>
            </w:r>
            <w:r>
              <w:rPr>
                <w:rFonts w:asciiTheme="minorHAnsi" w:hAnsiTheme="minorHAnsi"/>
                <w:lang w:eastAsia="en-US"/>
              </w:rPr>
              <w:t xml:space="preserve">i jej ewolucji w czasie przyjęto takie same, </w:t>
            </w:r>
            <w:r w:rsidRPr="00983DF9">
              <w:rPr>
                <w:rFonts w:asciiTheme="minorHAnsi" w:hAnsiTheme="minorHAnsi"/>
                <w:lang w:eastAsia="en-US"/>
              </w:rPr>
              <w:t xml:space="preserve">jak </w:t>
            </w:r>
            <w:r>
              <w:rPr>
                <w:rFonts w:asciiTheme="minorHAnsi" w:hAnsiTheme="minorHAnsi"/>
                <w:lang w:eastAsia="en-US"/>
              </w:rPr>
              <w:t>dla obliczeń kosztów eksploatacji i zanieczyszczenia powietrza.</w:t>
            </w:r>
          </w:p>
          <w:p w14:paraId="2FC6ABC7" w14:textId="77777777" w:rsidR="00921721" w:rsidRDefault="00921721" w:rsidP="00880D09">
            <w:pPr>
              <w:pStyle w:val="anxnormal"/>
              <w:spacing w:after="120"/>
              <w:ind w:left="0"/>
              <w:rPr>
                <w:rFonts w:asciiTheme="minorHAnsi" w:hAnsiTheme="minorHAnsi"/>
                <w:lang w:eastAsia="en-US"/>
              </w:rPr>
            </w:pPr>
            <w:r>
              <w:rPr>
                <w:rFonts w:asciiTheme="minorHAnsi" w:hAnsiTheme="minorHAnsi"/>
                <w:lang w:eastAsia="en-US"/>
              </w:rPr>
              <w:t>Współczynniki emisji w poniższej tabeli przedstawiono dla terenu płaskiego i nawierzchni w </w:t>
            </w:r>
            <w:r w:rsidRPr="00F4393F">
              <w:rPr>
                <w:rFonts w:asciiTheme="minorHAnsi" w:hAnsiTheme="minorHAnsi"/>
                <w:lang w:eastAsia="en-US"/>
              </w:rPr>
              <w:t>dobrym stanie (tzn. po budowie/remoncie) oraz drogi</w:t>
            </w:r>
            <w:r>
              <w:rPr>
                <w:rFonts w:asciiTheme="minorHAnsi" w:hAnsiTheme="minorHAnsi"/>
                <w:lang w:eastAsia="en-US"/>
              </w:rPr>
              <w:t xml:space="preserve"> o </w:t>
            </w:r>
            <w:r w:rsidRPr="00F4393F">
              <w:rPr>
                <w:rFonts w:asciiTheme="minorHAnsi" w:hAnsiTheme="minorHAnsi"/>
                <w:lang w:eastAsia="en-US"/>
              </w:rPr>
              <w:t>nawierzchni zdegradowanej. Podano r</w:t>
            </w:r>
            <w:r>
              <w:rPr>
                <w:rFonts w:asciiTheme="minorHAnsi" w:hAnsiTheme="minorHAnsi"/>
                <w:lang w:eastAsia="en-US"/>
              </w:rPr>
              <w:t>ównież współczynniki związane z </w:t>
            </w:r>
            <w:r w:rsidRPr="00F4393F">
              <w:rPr>
                <w:rFonts w:asciiTheme="minorHAnsi" w:hAnsiTheme="minorHAnsi"/>
                <w:lang w:eastAsia="en-US"/>
              </w:rPr>
              <w:t xml:space="preserve">wpływem </w:t>
            </w:r>
            <w:r>
              <w:rPr>
                <w:rFonts w:asciiTheme="minorHAnsi" w:hAnsiTheme="minorHAnsi"/>
                <w:lang w:eastAsia="en-US"/>
              </w:rPr>
              <w:t xml:space="preserve">nachylenia podłużnego </w:t>
            </w:r>
            <w:r w:rsidRPr="00F4393F">
              <w:rPr>
                <w:rFonts w:asciiTheme="minorHAnsi" w:hAnsiTheme="minorHAnsi"/>
                <w:lang w:eastAsia="en-US"/>
              </w:rPr>
              <w:t>drogi.</w:t>
            </w:r>
          </w:p>
          <w:p w14:paraId="73B8CAC1" w14:textId="77777777" w:rsidR="00921721" w:rsidRPr="00457ADB" w:rsidRDefault="00921721" w:rsidP="00880D09">
            <w:pPr>
              <w:jc w:val="both"/>
              <w:rPr>
                <w:rFonts w:asciiTheme="minorHAnsi" w:hAnsiTheme="minorHAnsi"/>
                <w:color w:val="000000"/>
                <w:sz w:val="20"/>
                <w:szCs w:val="20"/>
                <w:lang w:eastAsia="en-GB"/>
              </w:rPr>
            </w:pPr>
            <w:r w:rsidRPr="00457ADB">
              <w:rPr>
                <w:rFonts w:asciiTheme="minorHAnsi" w:hAnsiTheme="minorHAnsi"/>
                <w:color w:val="000000"/>
                <w:sz w:val="20"/>
                <w:szCs w:val="20"/>
                <w:lang w:eastAsia="en-GB"/>
              </w:rPr>
              <w:t>Emisje gazów cieplarnianych innych niż dwutlenek węgla CO</w:t>
            </w:r>
            <w:r w:rsidRPr="006E0836">
              <w:rPr>
                <w:rFonts w:asciiTheme="minorHAnsi" w:hAnsiTheme="minorHAnsi"/>
                <w:sz w:val="20"/>
                <w:szCs w:val="20"/>
                <w:vertAlign w:val="subscript"/>
              </w:rPr>
              <w:t>2</w:t>
            </w:r>
            <w:r w:rsidRPr="00457ADB">
              <w:rPr>
                <w:rFonts w:asciiTheme="minorHAnsi" w:hAnsiTheme="minorHAnsi"/>
                <w:color w:val="000000"/>
                <w:sz w:val="20"/>
                <w:szCs w:val="20"/>
                <w:lang w:eastAsia="en-GB"/>
              </w:rPr>
              <w:t xml:space="preserve"> (tj. metan CH</w:t>
            </w:r>
            <w:r w:rsidRPr="006E0836">
              <w:rPr>
                <w:rFonts w:asciiTheme="minorHAnsi" w:hAnsiTheme="minorHAnsi"/>
                <w:sz w:val="20"/>
                <w:szCs w:val="20"/>
                <w:vertAlign w:val="subscript"/>
              </w:rPr>
              <w:t>4</w:t>
            </w:r>
            <w:r w:rsidRPr="006E0836">
              <w:rPr>
                <w:rFonts w:asciiTheme="minorHAnsi" w:hAnsiTheme="minorHAnsi"/>
                <w:sz w:val="20"/>
                <w:szCs w:val="20"/>
              </w:rPr>
              <w:t xml:space="preserve"> </w:t>
            </w:r>
            <w:r>
              <w:rPr>
                <w:rFonts w:asciiTheme="minorHAnsi" w:hAnsiTheme="minorHAnsi"/>
                <w:color w:val="000000"/>
                <w:sz w:val="20"/>
                <w:szCs w:val="20"/>
                <w:lang w:eastAsia="en-GB"/>
              </w:rPr>
              <w:t>i </w:t>
            </w:r>
            <w:r w:rsidRPr="00457ADB">
              <w:rPr>
                <w:rFonts w:asciiTheme="minorHAnsi" w:hAnsiTheme="minorHAnsi"/>
                <w:color w:val="000000"/>
                <w:sz w:val="20"/>
                <w:szCs w:val="20"/>
                <w:lang w:eastAsia="en-GB"/>
              </w:rPr>
              <w:t>podtlenek azotu N</w:t>
            </w:r>
            <w:r w:rsidRPr="006E0836">
              <w:rPr>
                <w:rFonts w:asciiTheme="minorHAnsi" w:hAnsiTheme="minorHAnsi"/>
                <w:sz w:val="20"/>
                <w:szCs w:val="20"/>
                <w:vertAlign w:val="subscript"/>
              </w:rPr>
              <w:t>2</w:t>
            </w:r>
            <w:r>
              <w:rPr>
                <w:rFonts w:asciiTheme="minorHAnsi" w:hAnsiTheme="minorHAnsi"/>
                <w:color w:val="000000"/>
                <w:sz w:val="20"/>
                <w:szCs w:val="20"/>
                <w:lang w:eastAsia="en-GB"/>
              </w:rPr>
              <w:t>O) nie </w:t>
            </w:r>
            <w:r w:rsidRPr="00457ADB">
              <w:rPr>
                <w:rFonts w:asciiTheme="minorHAnsi" w:hAnsiTheme="minorHAnsi"/>
                <w:color w:val="000000"/>
                <w:sz w:val="20"/>
                <w:szCs w:val="20"/>
                <w:lang w:eastAsia="en-GB"/>
              </w:rPr>
              <w:t xml:space="preserve">są uwzględnione. </w:t>
            </w:r>
            <w:r>
              <w:rPr>
                <w:rFonts w:asciiTheme="minorHAnsi" w:hAnsiTheme="minorHAnsi"/>
                <w:color w:val="000000"/>
                <w:sz w:val="20"/>
                <w:szCs w:val="20"/>
                <w:lang w:eastAsia="en-GB"/>
              </w:rPr>
              <w:t>Jest to zgodne z Metodologiami</w:t>
            </w:r>
            <w:r w:rsidRPr="00457ADB">
              <w:rPr>
                <w:rFonts w:asciiTheme="minorHAnsi" w:hAnsiTheme="minorHAnsi"/>
                <w:color w:val="000000"/>
                <w:sz w:val="20"/>
                <w:szCs w:val="20"/>
                <w:lang w:eastAsia="en-GB"/>
              </w:rPr>
              <w:t xml:space="preserve"> </w:t>
            </w:r>
            <w:r>
              <w:rPr>
                <w:rFonts w:asciiTheme="minorHAnsi" w:hAnsiTheme="minorHAnsi"/>
                <w:color w:val="000000"/>
                <w:sz w:val="20"/>
                <w:szCs w:val="20"/>
                <w:lang w:eastAsia="en-GB"/>
              </w:rPr>
              <w:t>Obliczania Śladu Węglowego P</w:t>
            </w:r>
            <w:r w:rsidRPr="00457ADB">
              <w:rPr>
                <w:rFonts w:asciiTheme="minorHAnsi" w:hAnsiTheme="minorHAnsi"/>
                <w:color w:val="000000"/>
                <w:sz w:val="20"/>
                <w:szCs w:val="20"/>
                <w:lang w:eastAsia="en-GB"/>
              </w:rPr>
              <w:t>rojektu</w:t>
            </w:r>
            <w:r>
              <w:rPr>
                <w:rFonts w:asciiTheme="minorHAnsi" w:hAnsiTheme="minorHAnsi"/>
                <w:color w:val="000000"/>
                <w:sz w:val="20"/>
                <w:szCs w:val="20"/>
                <w:lang w:eastAsia="en-GB"/>
              </w:rPr>
              <w:t xml:space="preserve"> autorstwa EBI, wersja 11.1, lipiec 2020 </w:t>
            </w:r>
            <w:r w:rsidRPr="00457ADB">
              <w:rPr>
                <w:rFonts w:asciiTheme="minorHAnsi" w:hAnsiTheme="minorHAnsi"/>
                <w:color w:val="000000"/>
                <w:sz w:val="20"/>
                <w:szCs w:val="20"/>
                <w:lang w:eastAsia="en-GB"/>
              </w:rPr>
              <w:t>r. (Patrz Tabela A1.3 na stronie</w:t>
            </w:r>
            <w:r>
              <w:rPr>
                <w:rFonts w:asciiTheme="minorHAnsi" w:hAnsiTheme="minorHAnsi"/>
                <w:color w:val="000000"/>
                <w:sz w:val="20"/>
                <w:szCs w:val="20"/>
                <w:lang w:eastAsia="en-GB"/>
              </w:rPr>
              <w:t> </w:t>
            </w:r>
            <w:r w:rsidRPr="00457ADB">
              <w:rPr>
                <w:rFonts w:asciiTheme="minorHAnsi" w:hAnsiTheme="minorHAnsi"/>
                <w:color w:val="000000"/>
                <w:sz w:val="20"/>
                <w:szCs w:val="20"/>
                <w:lang w:eastAsia="en-GB"/>
              </w:rPr>
              <w:t>30): „Wpływ gazów cieplarnianych innych niż CO</w:t>
            </w:r>
            <w:r w:rsidRPr="006E0836">
              <w:rPr>
                <w:rFonts w:asciiTheme="minorHAnsi" w:hAnsiTheme="minorHAnsi"/>
                <w:sz w:val="20"/>
                <w:szCs w:val="20"/>
                <w:vertAlign w:val="subscript"/>
              </w:rPr>
              <w:t>2</w:t>
            </w:r>
            <w:r w:rsidRPr="006E0836">
              <w:rPr>
                <w:rFonts w:asciiTheme="minorHAnsi" w:hAnsiTheme="minorHAnsi"/>
                <w:sz w:val="20"/>
                <w:szCs w:val="20"/>
              </w:rPr>
              <w:t xml:space="preserve"> </w:t>
            </w:r>
            <w:r w:rsidRPr="00457ADB">
              <w:rPr>
                <w:rFonts w:asciiTheme="minorHAnsi" w:hAnsiTheme="minorHAnsi"/>
                <w:color w:val="000000"/>
                <w:sz w:val="20"/>
                <w:szCs w:val="20"/>
                <w:lang w:eastAsia="en-GB"/>
              </w:rPr>
              <w:t>jest nieistotny. Do celów obliczeniowych poniższe współczynniki można uznać za CO</w:t>
            </w:r>
            <w:r w:rsidRPr="006E0836">
              <w:rPr>
                <w:rFonts w:asciiTheme="minorHAnsi" w:hAnsiTheme="minorHAnsi"/>
                <w:sz w:val="20"/>
                <w:szCs w:val="20"/>
                <w:vertAlign w:val="subscript"/>
              </w:rPr>
              <w:t>2</w:t>
            </w:r>
            <w:r w:rsidRPr="00457ADB">
              <w:rPr>
                <w:rFonts w:asciiTheme="minorHAnsi" w:hAnsiTheme="minorHAnsi"/>
                <w:color w:val="000000"/>
                <w:sz w:val="20"/>
                <w:szCs w:val="20"/>
                <w:lang w:eastAsia="en-GB"/>
              </w:rPr>
              <w:t xml:space="preserve">e.” </w:t>
            </w:r>
          </w:p>
          <w:bookmarkEnd w:id="125"/>
          <w:p w14:paraId="30E21331" w14:textId="77777777" w:rsidR="00921721" w:rsidRDefault="00921721" w:rsidP="00880D09">
            <w:pPr>
              <w:pStyle w:val="anxnormal"/>
              <w:spacing w:after="120"/>
              <w:ind w:left="0"/>
              <w:rPr>
                <w:rFonts w:asciiTheme="minorHAnsi" w:hAnsiTheme="minorHAnsi"/>
                <w:lang w:eastAsia="en-US"/>
              </w:rPr>
            </w:pPr>
          </w:p>
          <w:p w14:paraId="6C07121E"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 xml:space="preserve">Jednostkowe współczynniki emisji </w:t>
            </w:r>
            <w:r>
              <w:rPr>
                <w:rFonts w:asciiTheme="minorHAnsi" w:hAnsiTheme="minorHAnsi"/>
                <w:lang w:eastAsia="en-US"/>
              </w:rPr>
              <w:t>gazów cieplarnianych</w:t>
            </w:r>
            <w:r w:rsidRPr="00731E4E">
              <w:rPr>
                <w:rFonts w:asciiTheme="minorHAnsi" w:hAnsiTheme="minorHAnsi"/>
                <w:lang w:eastAsia="en-US"/>
              </w:rPr>
              <w:t xml:space="preserve"> [</w:t>
            </w:r>
            <w:r>
              <w:rPr>
                <w:rFonts w:asciiTheme="minorHAnsi" w:hAnsiTheme="minorHAnsi"/>
                <w:lang w:eastAsia="en-US"/>
              </w:rPr>
              <w:t>g</w:t>
            </w:r>
            <w:r w:rsidRPr="00731E4E">
              <w:rPr>
                <w:rFonts w:asciiTheme="minorHAnsi" w:hAnsiTheme="minorHAnsi"/>
                <w:lang w:eastAsia="en-US"/>
              </w:rPr>
              <w:t>CO</w:t>
            </w:r>
            <w:r w:rsidRPr="003B7A23">
              <w:rPr>
                <w:rFonts w:asciiTheme="minorHAnsi" w:hAnsiTheme="minorHAnsi"/>
                <w:vertAlign w:val="subscript"/>
                <w:lang w:eastAsia="en-US"/>
              </w:rPr>
              <w:t>2</w:t>
            </w:r>
            <w:r>
              <w:rPr>
                <w:rFonts w:asciiTheme="minorHAnsi" w:hAnsiTheme="minorHAnsi"/>
                <w:lang w:eastAsia="en-US"/>
              </w:rPr>
              <w:t>e</w:t>
            </w:r>
            <w:r w:rsidRPr="00731E4E">
              <w:rPr>
                <w:rFonts w:asciiTheme="minorHAnsi" w:hAnsiTheme="minorHAnsi"/>
                <w:lang w:eastAsia="en-US"/>
              </w:rPr>
              <w:t>/</w:t>
            </w:r>
            <w:proofErr w:type="spellStart"/>
            <w:r w:rsidRPr="00731E4E">
              <w:rPr>
                <w:rFonts w:asciiTheme="minorHAnsi" w:hAnsiTheme="minorHAnsi"/>
                <w:lang w:eastAsia="en-US"/>
              </w:rPr>
              <w:t>poj</w:t>
            </w:r>
            <w:proofErr w:type="spellEnd"/>
            <w:r w:rsidRPr="00731E4E">
              <w:rPr>
                <w:rFonts w:asciiTheme="minorHAnsi" w:hAnsiTheme="minorHAnsi"/>
                <w:lang w:eastAsia="en-US"/>
              </w:rPr>
              <w:t>-km]</w:t>
            </w:r>
          </w:p>
          <w:tbl>
            <w:tblPr>
              <w:tblW w:w="6776" w:type="dxa"/>
              <w:tblLayout w:type="fixed"/>
              <w:tblLook w:val="04A0" w:firstRow="1" w:lastRow="0" w:firstColumn="1" w:lastColumn="0" w:noHBand="0" w:noVBand="1"/>
            </w:tblPr>
            <w:tblGrid>
              <w:gridCol w:w="2165"/>
              <w:gridCol w:w="2305"/>
              <w:gridCol w:w="2306"/>
            </w:tblGrid>
            <w:tr w:rsidR="00921721" w:rsidRPr="00731E4E" w14:paraId="6209D3A3" w14:textId="77777777" w:rsidTr="00880D09">
              <w:trPr>
                <w:trHeight w:hRule="exact" w:val="874"/>
              </w:trPr>
              <w:tc>
                <w:tcPr>
                  <w:tcW w:w="2165"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64F0880"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Prędkość</w:t>
                  </w:r>
                </w:p>
                <w:p w14:paraId="0105FD3B"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5DD07508"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611"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126A161"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Jednostkowe współczynniki emisji </w:t>
                  </w:r>
                  <w:r>
                    <w:rPr>
                      <w:rFonts w:asciiTheme="minorHAnsi" w:hAnsiTheme="minorHAnsi" w:cs="Arial"/>
                      <w:b/>
                      <w:bCs/>
                      <w:color w:val="FFFFFF"/>
                      <w:sz w:val="18"/>
                      <w:szCs w:val="18"/>
                    </w:rPr>
                    <w:t>gazów cieplarnianych</w:t>
                  </w:r>
                  <w:r w:rsidRPr="00731E4E">
                    <w:rPr>
                      <w:rFonts w:asciiTheme="minorHAnsi" w:hAnsiTheme="minorHAnsi" w:cs="Arial"/>
                      <w:b/>
                      <w:bCs/>
                      <w:color w:val="FFFFFF"/>
                      <w:sz w:val="18"/>
                      <w:szCs w:val="18"/>
                    </w:rPr>
                    <w:t xml:space="preserve"> – </w:t>
                  </w:r>
                  <w:r>
                    <w:rPr>
                      <w:rFonts w:asciiTheme="minorHAnsi" w:hAnsiTheme="minorHAnsi" w:cs="Arial"/>
                      <w:b/>
                      <w:bCs/>
                      <w:color w:val="FFFFFF"/>
                      <w:sz w:val="18"/>
                      <w:szCs w:val="18"/>
                    </w:rPr>
                    <w:t>g</w:t>
                  </w:r>
                  <w:r w:rsidRPr="00731E4E">
                    <w:rPr>
                      <w:rFonts w:asciiTheme="minorHAnsi" w:hAnsiTheme="minorHAnsi" w:cs="Arial"/>
                      <w:b/>
                      <w:bCs/>
                      <w:color w:val="FFFFFF"/>
                      <w:sz w:val="18"/>
                      <w:szCs w:val="18"/>
                    </w:rPr>
                    <w:t>CO</w:t>
                  </w:r>
                  <w:r w:rsidRPr="003B7A23">
                    <w:rPr>
                      <w:rFonts w:asciiTheme="minorHAnsi" w:hAnsiTheme="minorHAnsi" w:cs="Arial"/>
                      <w:b/>
                      <w:bCs/>
                      <w:color w:val="FFFFFF"/>
                      <w:sz w:val="18"/>
                      <w:szCs w:val="18"/>
                      <w:vertAlign w:val="subscript"/>
                    </w:rPr>
                    <w:t>2</w:t>
                  </w:r>
                  <w:r>
                    <w:rPr>
                      <w:rFonts w:asciiTheme="minorHAnsi" w:hAnsiTheme="minorHAnsi" w:cs="Arial"/>
                      <w:b/>
                      <w:bCs/>
                      <w:color w:val="FFFFFF"/>
                      <w:sz w:val="18"/>
                      <w:szCs w:val="18"/>
                    </w:rPr>
                    <w:t>e</w:t>
                  </w:r>
                  <w:r w:rsidRPr="00731E4E">
                    <w:rPr>
                      <w:rFonts w:asciiTheme="minorHAnsi" w:hAnsiTheme="minorHAnsi" w:cs="Arial"/>
                      <w:b/>
                      <w:bCs/>
                      <w:color w:val="FFFFFF"/>
                      <w:sz w:val="18"/>
                      <w:szCs w:val="18"/>
                    </w:rPr>
                    <w:t>/</w:t>
                  </w:r>
                  <w:proofErr w:type="spellStart"/>
                  <w:r w:rsidRPr="00731E4E">
                    <w:rPr>
                      <w:rFonts w:asciiTheme="minorHAnsi" w:hAnsiTheme="minorHAnsi" w:cs="Arial"/>
                      <w:b/>
                      <w:bCs/>
                      <w:color w:val="FFFFFF"/>
                      <w:sz w:val="18"/>
                      <w:szCs w:val="18"/>
                    </w:rPr>
                    <w:t>poj</w:t>
                  </w:r>
                  <w:proofErr w:type="spellEnd"/>
                  <w:r w:rsidRPr="00731E4E">
                    <w:rPr>
                      <w:rFonts w:asciiTheme="minorHAnsi" w:hAnsiTheme="minorHAnsi" w:cs="Arial"/>
                      <w:b/>
                      <w:bCs/>
                      <w:color w:val="FFFFFF"/>
                      <w:sz w:val="18"/>
                      <w:szCs w:val="18"/>
                    </w:rPr>
                    <w:t>-km – teren płaski (nawierzchnia po remoncie/budowie)</w:t>
                  </w:r>
                </w:p>
              </w:tc>
            </w:tr>
            <w:tr w:rsidR="00921721" w:rsidRPr="00407779" w14:paraId="43C0A3C6" w14:textId="77777777" w:rsidTr="00880D09">
              <w:trPr>
                <w:trHeight w:hRule="exact" w:val="318"/>
              </w:trPr>
              <w:tc>
                <w:tcPr>
                  <w:tcW w:w="2165"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E090668" w14:textId="77777777" w:rsidR="00921721" w:rsidRPr="00731E4E" w:rsidRDefault="00921721" w:rsidP="00880D09">
                  <w:pPr>
                    <w:jc w:val="center"/>
                    <w:rPr>
                      <w:rFonts w:asciiTheme="minorHAnsi" w:hAnsiTheme="minorHAnsi" w:cs="Arial"/>
                      <w:b/>
                      <w:bCs/>
                      <w:color w:val="FFFFFF"/>
                      <w:sz w:val="18"/>
                      <w:szCs w:val="18"/>
                    </w:rPr>
                  </w:pPr>
                </w:p>
              </w:tc>
              <w:tc>
                <w:tcPr>
                  <w:tcW w:w="23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4796BA" w14:textId="77777777" w:rsidR="00921721" w:rsidRPr="00E544D2" w:rsidRDefault="00921721" w:rsidP="00880D09">
                  <w:pPr>
                    <w:snapToGrid w:val="0"/>
                    <w:spacing w:before="20" w:after="20"/>
                    <w:jc w:val="center"/>
                    <w:rPr>
                      <w:rFonts w:asciiTheme="minorHAnsi" w:hAnsiTheme="minorHAnsi" w:cs="Arial"/>
                      <w:b/>
                      <w:bCs/>
                      <w:color w:val="FFFFFF"/>
                      <w:sz w:val="18"/>
                      <w:szCs w:val="18"/>
                    </w:rPr>
                  </w:pPr>
                  <w:r w:rsidRPr="00D1371C">
                    <w:rPr>
                      <w:rFonts w:asciiTheme="minorHAnsi" w:hAnsiTheme="minorHAnsi" w:cs="Arial"/>
                      <w:b/>
                      <w:bCs/>
                      <w:color w:val="FFFFFF"/>
                      <w:sz w:val="18"/>
                      <w:szCs w:val="18"/>
                    </w:rPr>
                    <w:t>LV</w:t>
                  </w:r>
                </w:p>
              </w:tc>
              <w:tc>
                <w:tcPr>
                  <w:tcW w:w="230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46E3A54" w14:textId="77777777" w:rsidR="00921721" w:rsidRPr="00E544D2" w:rsidRDefault="00921721" w:rsidP="00880D09">
                  <w:pPr>
                    <w:snapToGrid w:val="0"/>
                    <w:spacing w:before="20" w:after="20"/>
                    <w:jc w:val="center"/>
                    <w:rPr>
                      <w:rFonts w:asciiTheme="minorHAnsi" w:hAnsiTheme="minorHAnsi" w:cs="Arial"/>
                      <w:b/>
                      <w:bCs/>
                      <w:color w:val="FFFFFF"/>
                      <w:sz w:val="18"/>
                      <w:szCs w:val="18"/>
                    </w:rPr>
                  </w:pPr>
                  <w:r w:rsidRPr="00E544D2">
                    <w:rPr>
                      <w:rFonts w:asciiTheme="minorHAnsi" w:hAnsiTheme="minorHAnsi" w:cs="Arial"/>
                      <w:b/>
                      <w:bCs/>
                      <w:color w:val="FFFFFF"/>
                      <w:sz w:val="18"/>
                      <w:szCs w:val="18"/>
                    </w:rPr>
                    <w:t>HGV</w:t>
                  </w:r>
                </w:p>
              </w:tc>
            </w:tr>
            <w:tr w:rsidR="00921721" w:rsidRPr="00407779" w14:paraId="7554DEC3"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57B520"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0-10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FCC706E"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651,652</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0203B3"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1 639,612</w:t>
                  </w:r>
                </w:p>
              </w:tc>
            </w:tr>
            <w:tr w:rsidR="00921721" w:rsidRPr="00407779" w14:paraId="008398B6"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3F2DF0B"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11-20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637AB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412,720</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E68AB62"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913,172</w:t>
                  </w:r>
                </w:p>
              </w:tc>
            </w:tr>
            <w:tr w:rsidR="00921721" w:rsidRPr="00407779" w14:paraId="74FD6AAC"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38623E1"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21-30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C1B5D8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314,458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E10EB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694,518</w:t>
                  </w:r>
                </w:p>
              </w:tc>
            </w:tr>
            <w:tr w:rsidR="00921721" w:rsidRPr="00407779" w14:paraId="4C6FF086"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F2488A"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31-40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D599F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255,386</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7F9B27"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583,520</w:t>
                  </w:r>
                </w:p>
              </w:tc>
            </w:tr>
            <w:tr w:rsidR="00921721" w:rsidRPr="00407779" w14:paraId="3736BA06"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6B17D9"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41-50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7ED18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216,347</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37E41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522,589</w:t>
                  </w:r>
                </w:p>
              </w:tc>
            </w:tr>
            <w:tr w:rsidR="00921721" w:rsidRPr="00407779" w14:paraId="7197DE23"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8B4654"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51-60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15EFA9"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190,278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981CD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490,176</w:t>
                  </w:r>
                </w:p>
              </w:tc>
            </w:tr>
            <w:tr w:rsidR="00921721" w:rsidRPr="00407779" w14:paraId="7940EA2D"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31EA16"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61-70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7EE341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173,753</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5252D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474,974</w:t>
                  </w:r>
                </w:p>
              </w:tc>
            </w:tr>
            <w:tr w:rsidR="00921721" w:rsidRPr="00407779" w14:paraId="49661561"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64CC04"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71-80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7F37F1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164,830</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601DD9"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470,831</w:t>
                  </w:r>
                </w:p>
              </w:tc>
            </w:tr>
            <w:tr w:rsidR="00921721" w:rsidRPr="00407779" w14:paraId="46CA2569"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C4EF457"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81-90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00A019"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162,284</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0AA78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475,455</w:t>
                  </w:r>
                </w:p>
              </w:tc>
            </w:tr>
            <w:tr w:rsidR="00921721" w:rsidRPr="00407779" w14:paraId="49D1D532"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0A0389"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91-100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F36892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165,287</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A390DC4"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493,092</w:t>
                  </w:r>
                </w:p>
              </w:tc>
            </w:tr>
            <w:tr w:rsidR="00921721" w:rsidRPr="00407779" w14:paraId="3419719E"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ECB376"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101-110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0AD769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173,245</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ABEFC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567,589</w:t>
                  </w:r>
                </w:p>
              </w:tc>
            </w:tr>
            <w:tr w:rsidR="00921721" w:rsidRPr="00407779" w14:paraId="566AAD2D"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F287E35"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lastRenderedPageBreak/>
                    <w:t>111-120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7E9FD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185,712</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7C75DE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642,086</w:t>
                  </w:r>
                </w:p>
              </w:tc>
            </w:tr>
            <w:tr w:rsidR="00921721" w:rsidRPr="00407779" w14:paraId="0D829205"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828903"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121-130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BCF26F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202,344</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51764C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716,583</w:t>
                  </w:r>
                </w:p>
              </w:tc>
            </w:tr>
            <w:tr w:rsidR="00921721" w:rsidRPr="00407779" w14:paraId="240A13E4"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288E39"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131-140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E51AB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222,868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3DC70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791,080</w:t>
                  </w:r>
                </w:p>
              </w:tc>
            </w:tr>
          </w:tbl>
          <w:p w14:paraId="31A9E779" w14:textId="77777777" w:rsidR="00921721" w:rsidRPr="00E544D2" w:rsidRDefault="00921721" w:rsidP="00880D09">
            <w:pPr>
              <w:ind w:right="170"/>
              <w:jc w:val="both"/>
              <w:rPr>
                <w:rFonts w:asciiTheme="minorHAnsi" w:hAnsiTheme="minorHAnsi" w:cs="Arial"/>
                <w:b/>
                <w:i/>
                <w:sz w:val="16"/>
                <w:szCs w:val="16"/>
              </w:rPr>
            </w:pPr>
            <w:r w:rsidRPr="00D1371C">
              <w:rPr>
                <w:rFonts w:asciiTheme="minorHAnsi" w:hAnsiTheme="minorHAnsi" w:cs="Arial"/>
                <w:b/>
                <w:i/>
                <w:sz w:val="16"/>
                <w:szCs w:val="16"/>
              </w:rPr>
              <w:t xml:space="preserve">Źródło: Opracowanie własne CUPT-JASPERS na podstawie VOC </w:t>
            </w:r>
            <w:proofErr w:type="spellStart"/>
            <w:r w:rsidRPr="00D1371C">
              <w:rPr>
                <w:rFonts w:asciiTheme="minorHAnsi" w:hAnsiTheme="minorHAnsi" w:cs="Arial"/>
                <w:b/>
                <w:i/>
                <w:sz w:val="16"/>
                <w:szCs w:val="16"/>
              </w:rPr>
              <w:t>fuel</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consumption</w:t>
            </w:r>
            <w:proofErr w:type="spellEnd"/>
            <w:r w:rsidRPr="00D1371C">
              <w:rPr>
                <w:rFonts w:asciiTheme="minorHAnsi" w:hAnsiTheme="minorHAnsi" w:cs="Arial"/>
                <w:b/>
                <w:i/>
                <w:sz w:val="16"/>
                <w:szCs w:val="16"/>
              </w:rPr>
              <w:t xml:space="preserve"> and EMEP/EEA </w:t>
            </w:r>
            <w:proofErr w:type="spellStart"/>
            <w:r w:rsidRPr="00D1371C">
              <w:rPr>
                <w:rFonts w:asciiTheme="minorHAnsi" w:hAnsiTheme="minorHAnsi" w:cs="Arial"/>
                <w:b/>
                <w:i/>
                <w:sz w:val="16"/>
                <w:szCs w:val="16"/>
              </w:rPr>
              <w:t>air</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pollutant</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emission</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inventory</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guidebook</w:t>
            </w:r>
            <w:proofErr w:type="spellEnd"/>
            <w:r w:rsidRPr="00D1371C">
              <w:rPr>
                <w:rFonts w:asciiTheme="minorHAnsi" w:hAnsiTheme="minorHAnsi" w:cs="Arial"/>
                <w:b/>
                <w:i/>
                <w:sz w:val="16"/>
                <w:szCs w:val="16"/>
              </w:rPr>
              <w:t xml:space="preserve">, 2019, with </w:t>
            </w:r>
            <w:r w:rsidRPr="00E544D2">
              <w:rPr>
                <w:rFonts w:asciiTheme="minorHAnsi" w:hAnsiTheme="minorHAnsi" w:cs="Arial"/>
                <w:b/>
                <w:i/>
                <w:sz w:val="16"/>
                <w:szCs w:val="16"/>
              </w:rPr>
              <w:t xml:space="preserve">1.A.3.b.i-iv Road Transport Appendix 4 </w:t>
            </w:r>
            <w:proofErr w:type="spellStart"/>
            <w:r w:rsidRPr="00E544D2">
              <w:rPr>
                <w:rFonts w:asciiTheme="minorHAnsi" w:hAnsiTheme="minorHAnsi" w:cs="Arial"/>
                <w:b/>
                <w:i/>
                <w:sz w:val="16"/>
                <w:szCs w:val="16"/>
              </w:rPr>
              <w:t>Emission</w:t>
            </w:r>
            <w:proofErr w:type="spellEnd"/>
            <w:r w:rsidRPr="00E544D2">
              <w:rPr>
                <w:rFonts w:asciiTheme="minorHAnsi" w:hAnsiTheme="minorHAnsi" w:cs="Arial"/>
                <w:b/>
                <w:i/>
                <w:sz w:val="16"/>
                <w:szCs w:val="16"/>
              </w:rPr>
              <w:t xml:space="preserve"> </w:t>
            </w:r>
            <w:proofErr w:type="spellStart"/>
            <w:r w:rsidRPr="00E544D2">
              <w:rPr>
                <w:rFonts w:asciiTheme="minorHAnsi" w:hAnsiTheme="minorHAnsi" w:cs="Arial"/>
                <w:b/>
                <w:i/>
                <w:sz w:val="16"/>
                <w:szCs w:val="16"/>
              </w:rPr>
              <w:t>Factors</w:t>
            </w:r>
            <w:proofErr w:type="spellEnd"/>
            <w:r w:rsidRPr="00E544D2">
              <w:rPr>
                <w:rFonts w:asciiTheme="minorHAnsi" w:hAnsiTheme="minorHAnsi" w:cs="Arial"/>
                <w:b/>
                <w:i/>
                <w:sz w:val="16"/>
                <w:szCs w:val="16"/>
              </w:rPr>
              <w:t xml:space="preserve"> 2019 (Sept. 2020).</w:t>
            </w:r>
          </w:p>
          <w:p w14:paraId="5E21D809" w14:textId="77777777" w:rsidR="00921721" w:rsidRPr="00E544D2" w:rsidRDefault="00921721" w:rsidP="00880D09">
            <w:pPr>
              <w:ind w:right="170"/>
              <w:jc w:val="both"/>
              <w:rPr>
                <w:rFonts w:asciiTheme="minorHAnsi" w:hAnsiTheme="minorHAnsi" w:cs="Arial"/>
                <w:b/>
                <w:i/>
                <w:sz w:val="16"/>
                <w:szCs w:val="16"/>
              </w:rPr>
            </w:pPr>
          </w:p>
          <w:tbl>
            <w:tblPr>
              <w:tblW w:w="6274" w:type="dxa"/>
              <w:tblLayout w:type="fixed"/>
              <w:tblLook w:val="04A0" w:firstRow="1" w:lastRow="0" w:firstColumn="1" w:lastColumn="0" w:noHBand="0" w:noVBand="1"/>
            </w:tblPr>
            <w:tblGrid>
              <w:gridCol w:w="2004"/>
              <w:gridCol w:w="2135"/>
              <w:gridCol w:w="2135"/>
            </w:tblGrid>
            <w:tr w:rsidR="00921721" w:rsidRPr="00731E4E" w14:paraId="5C32F34B" w14:textId="77777777" w:rsidTr="00880D09">
              <w:trPr>
                <w:trHeight w:hRule="exact" w:val="1072"/>
              </w:trPr>
              <w:tc>
                <w:tcPr>
                  <w:tcW w:w="2004"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369AB42"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Prędkość</w:t>
                  </w:r>
                </w:p>
                <w:p w14:paraId="17DBE296"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699065A3"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270"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98138D"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t>
                  </w:r>
                  <w:r>
                    <w:rPr>
                      <w:rFonts w:asciiTheme="minorHAnsi" w:hAnsiTheme="minorHAnsi" w:cs="Arial"/>
                      <w:b/>
                      <w:bCs/>
                      <w:color w:val="FFFFFF"/>
                      <w:sz w:val="18"/>
                      <w:szCs w:val="18"/>
                    </w:rPr>
                    <w:t xml:space="preserve">we </w:t>
                  </w:r>
                  <w:r w:rsidRPr="00731E4E">
                    <w:rPr>
                      <w:rFonts w:asciiTheme="minorHAnsi" w:hAnsiTheme="minorHAnsi" w:cs="Arial"/>
                      <w:b/>
                      <w:bCs/>
                      <w:color w:val="FFFFFF"/>
                      <w:sz w:val="18"/>
                      <w:szCs w:val="18"/>
                    </w:rPr>
                    <w:t xml:space="preserve">współczynniki emisji </w:t>
                  </w:r>
                  <w:r>
                    <w:rPr>
                      <w:rFonts w:asciiTheme="minorHAnsi" w:hAnsiTheme="minorHAnsi" w:cs="Arial"/>
                      <w:b/>
                      <w:bCs/>
                      <w:color w:val="FFFFFF"/>
                      <w:sz w:val="18"/>
                      <w:szCs w:val="18"/>
                    </w:rPr>
                    <w:t xml:space="preserve">gazów cieplarnianych </w:t>
                  </w:r>
                  <w:r w:rsidRPr="00731E4E">
                    <w:rPr>
                      <w:rFonts w:asciiTheme="minorHAnsi" w:hAnsiTheme="minorHAnsi" w:cs="Arial"/>
                      <w:b/>
                      <w:bCs/>
                      <w:color w:val="FFFFFF"/>
                      <w:sz w:val="18"/>
                      <w:szCs w:val="18"/>
                    </w:rPr>
                    <w:t xml:space="preserve">– </w:t>
                  </w:r>
                  <w:r>
                    <w:rPr>
                      <w:rFonts w:asciiTheme="minorHAnsi" w:hAnsiTheme="minorHAnsi" w:cs="Arial"/>
                      <w:b/>
                      <w:bCs/>
                      <w:color w:val="FFFFFF"/>
                      <w:sz w:val="18"/>
                      <w:szCs w:val="18"/>
                    </w:rPr>
                    <w:t>g</w:t>
                  </w:r>
                  <w:r w:rsidRPr="00731E4E">
                    <w:rPr>
                      <w:rFonts w:asciiTheme="minorHAnsi" w:hAnsiTheme="minorHAnsi" w:cs="Arial"/>
                      <w:b/>
                      <w:bCs/>
                      <w:color w:val="FFFFFF"/>
                      <w:sz w:val="18"/>
                      <w:szCs w:val="18"/>
                    </w:rPr>
                    <w:t>CO</w:t>
                  </w:r>
                  <w:r w:rsidRPr="003B7A23">
                    <w:rPr>
                      <w:rFonts w:asciiTheme="minorHAnsi" w:hAnsiTheme="minorHAnsi" w:cs="Arial"/>
                      <w:b/>
                      <w:bCs/>
                      <w:color w:val="FFFFFF"/>
                      <w:sz w:val="18"/>
                      <w:szCs w:val="18"/>
                      <w:vertAlign w:val="subscript"/>
                    </w:rPr>
                    <w:t>2</w:t>
                  </w:r>
                  <w:r>
                    <w:rPr>
                      <w:rFonts w:asciiTheme="minorHAnsi" w:hAnsiTheme="minorHAnsi" w:cs="Arial"/>
                      <w:b/>
                      <w:bCs/>
                      <w:color w:val="FFFFFF"/>
                      <w:sz w:val="18"/>
                      <w:szCs w:val="18"/>
                    </w:rPr>
                    <w:t>e</w:t>
                  </w:r>
                  <w:r w:rsidRPr="00731E4E">
                    <w:rPr>
                      <w:rFonts w:asciiTheme="minorHAnsi" w:hAnsiTheme="minorHAnsi" w:cs="Arial"/>
                      <w:b/>
                      <w:bCs/>
                      <w:color w:val="FFFFFF"/>
                      <w:sz w:val="18"/>
                      <w:szCs w:val="18"/>
                    </w:rPr>
                    <w:t>/</w:t>
                  </w:r>
                  <w:proofErr w:type="spellStart"/>
                  <w:r w:rsidRPr="00731E4E">
                    <w:rPr>
                      <w:rFonts w:asciiTheme="minorHAnsi" w:hAnsiTheme="minorHAnsi" w:cs="Arial"/>
                      <w:b/>
                      <w:bCs/>
                      <w:color w:val="FFFFFF"/>
                      <w:sz w:val="18"/>
                      <w:szCs w:val="18"/>
                    </w:rPr>
                    <w:t>poj</w:t>
                  </w:r>
                  <w:proofErr w:type="spellEnd"/>
                  <w:r w:rsidRPr="00731E4E">
                    <w:rPr>
                      <w:rFonts w:asciiTheme="minorHAnsi" w:hAnsiTheme="minorHAnsi" w:cs="Arial"/>
                      <w:b/>
                      <w:bCs/>
                      <w:color w:val="FFFFFF"/>
                      <w:sz w:val="18"/>
                      <w:szCs w:val="18"/>
                    </w:rPr>
                    <w:t xml:space="preserve">-km </w:t>
                  </w:r>
                  <w:r>
                    <w:rPr>
                      <w:rFonts w:asciiTheme="minorHAnsi" w:hAnsiTheme="minorHAnsi" w:cs="Arial"/>
                      <w:b/>
                      <w:bCs/>
                      <w:color w:val="FFFFFF"/>
                      <w:sz w:val="18"/>
                      <w:szCs w:val="18"/>
                    </w:rPr>
                    <w:t>–</w:t>
                  </w:r>
                  <w:r w:rsidRPr="00731E4E">
                    <w:rPr>
                      <w:rFonts w:asciiTheme="minorHAnsi" w:hAnsiTheme="minorHAnsi" w:cs="Arial"/>
                      <w:b/>
                      <w:bCs/>
                      <w:color w:val="FFFFFF"/>
                      <w:sz w:val="18"/>
                      <w:szCs w:val="18"/>
                    </w:rPr>
                    <w:t xml:space="preserve"> teren płaski (nawierzchnia zdegradowana)</w:t>
                  </w:r>
                </w:p>
              </w:tc>
            </w:tr>
            <w:tr w:rsidR="00921721" w:rsidRPr="00407779" w14:paraId="1D54CCA2" w14:textId="77777777" w:rsidTr="00880D09">
              <w:trPr>
                <w:trHeight w:hRule="exact" w:val="310"/>
              </w:trPr>
              <w:tc>
                <w:tcPr>
                  <w:tcW w:w="2004"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9AC73BE" w14:textId="77777777" w:rsidR="00921721" w:rsidRPr="00731E4E" w:rsidRDefault="00921721" w:rsidP="00880D09">
                  <w:pPr>
                    <w:jc w:val="center"/>
                    <w:rPr>
                      <w:rFonts w:asciiTheme="minorHAnsi" w:hAnsiTheme="minorHAnsi" w:cs="Arial"/>
                      <w:b/>
                      <w:bCs/>
                      <w:color w:val="FFFFFF"/>
                      <w:sz w:val="18"/>
                      <w:szCs w:val="18"/>
                    </w:rPr>
                  </w:pPr>
                </w:p>
              </w:tc>
              <w:tc>
                <w:tcPr>
                  <w:tcW w:w="213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7E0FE4A" w14:textId="77777777" w:rsidR="00921721" w:rsidRPr="00E544D2" w:rsidRDefault="00921721" w:rsidP="00880D09">
                  <w:pPr>
                    <w:snapToGrid w:val="0"/>
                    <w:jc w:val="center"/>
                    <w:rPr>
                      <w:rFonts w:asciiTheme="minorHAnsi" w:hAnsiTheme="minorHAnsi" w:cs="Arial"/>
                      <w:b/>
                      <w:bCs/>
                      <w:color w:val="FFFFFF"/>
                      <w:sz w:val="18"/>
                      <w:szCs w:val="18"/>
                      <w:highlight w:val="magenta"/>
                    </w:rPr>
                  </w:pPr>
                  <w:r w:rsidRPr="00D1371C">
                    <w:rPr>
                      <w:rFonts w:asciiTheme="minorHAnsi" w:hAnsiTheme="minorHAnsi" w:cs="Arial"/>
                      <w:b/>
                      <w:bCs/>
                      <w:color w:val="FFFFFF"/>
                      <w:sz w:val="18"/>
                      <w:szCs w:val="18"/>
                    </w:rPr>
                    <w:t>LV</w:t>
                  </w:r>
                </w:p>
              </w:tc>
              <w:tc>
                <w:tcPr>
                  <w:tcW w:w="213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D88348C" w14:textId="77777777" w:rsidR="00921721" w:rsidRPr="00E544D2" w:rsidRDefault="00921721" w:rsidP="00880D09">
                  <w:pPr>
                    <w:snapToGrid w:val="0"/>
                    <w:jc w:val="center"/>
                    <w:rPr>
                      <w:rFonts w:asciiTheme="minorHAnsi" w:hAnsiTheme="minorHAnsi" w:cs="Arial"/>
                      <w:b/>
                      <w:bCs/>
                      <w:color w:val="FFFFFF"/>
                      <w:sz w:val="18"/>
                      <w:szCs w:val="18"/>
                    </w:rPr>
                  </w:pPr>
                  <w:r w:rsidRPr="00E544D2">
                    <w:rPr>
                      <w:rFonts w:asciiTheme="minorHAnsi" w:hAnsiTheme="minorHAnsi" w:cs="Arial"/>
                      <w:b/>
                      <w:bCs/>
                      <w:color w:val="FFFFFF"/>
                      <w:sz w:val="18"/>
                      <w:szCs w:val="18"/>
                    </w:rPr>
                    <w:t>HGV</w:t>
                  </w:r>
                </w:p>
              </w:tc>
            </w:tr>
            <w:tr w:rsidR="00921721" w:rsidRPr="00407779" w14:paraId="471B3631"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3B1A5F"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0-10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B6F9F34"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724,963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3B6EE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1 844,563</w:t>
                  </w:r>
                </w:p>
              </w:tc>
            </w:tr>
            <w:tr w:rsidR="00921721" w:rsidRPr="00407779" w14:paraId="5AFB6825"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FAC333"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11-20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41F6DB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459,151</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C0FEC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1 027,319</w:t>
                  </w:r>
                </w:p>
              </w:tc>
            </w:tr>
            <w:tr w:rsidR="00921721" w:rsidRPr="00407779" w14:paraId="2B6CB0A0"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D72855"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21-30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E333D5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349,835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C5F5A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781,333</w:t>
                  </w:r>
                </w:p>
              </w:tc>
            </w:tr>
            <w:tr w:rsidR="00921721" w:rsidRPr="00407779" w14:paraId="11858764"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C0B821"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31-40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6480D7"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284,117</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AF6A1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656,460</w:t>
                  </w:r>
                </w:p>
              </w:tc>
            </w:tr>
            <w:tr w:rsidR="00921721" w:rsidRPr="00407779" w14:paraId="5C0CBFD1"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A7C00C"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41-50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7F7975"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240,686</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56342F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587,913</w:t>
                  </w:r>
                </w:p>
              </w:tc>
            </w:tr>
            <w:tr w:rsidR="00921721" w:rsidRPr="00407779" w14:paraId="27A15AEC"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2796B4"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51-60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CD792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215,252</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AE312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561,660</w:t>
                  </w:r>
                </w:p>
              </w:tc>
            </w:tr>
            <w:tr w:rsidR="00921721" w:rsidRPr="00407779" w14:paraId="1CBAF956"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29E5D3"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61-70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662C48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199,816</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61AC9C3"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554,136</w:t>
                  </w:r>
                </w:p>
              </w:tc>
            </w:tr>
            <w:tr w:rsidR="00921721" w:rsidRPr="00407779" w14:paraId="7BE4ED4E"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FC1442"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71-80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A214C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192,645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503BFE2"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559,112</w:t>
                  </w:r>
                </w:p>
              </w:tc>
            </w:tr>
            <w:tr w:rsidR="00921721" w:rsidRPr="00407779" w14:paraId="0C7C56A1"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70CFFC"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81-90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E7B9C2"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192,713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CE1EB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574,509</w:t>
                  </w:r>
                </w:p>
              </w:tc>
            </w:tr>
            <w:tr w:rsidR="00921721" w:rsidRPr="00407779" w14:paraId="3ABB2345"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14084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91-100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08F331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199,378</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A7A6E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606,092</w:t>
                  </w:r>
                </w:p>
              </w:tc>
            </w:tr>
            <w:tr w:rsidR="00921721" w:rsidRPr="00407779" w14:paraId="39D005DC"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44D3C0"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101-110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37C4F35"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212,225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F771A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709,486</w:t>
                  </w:r>
                </w:p>
              </w:tc>
            </w:tr>
            <w:tr w:rsidR="00921721" w:rsidRPr="00407779" w14:paraId="071BAE93" w14:textId="77777777" w:rsidTr="00880D09">
              <w:trPr>
                <w:trHeight w:val="111"/>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7D9BD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111-120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D1706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227,497</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D2412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802,608</w:t>
                  </w:r>
                </w:p>
              </w:tc>
            </w:tr>
            <w:tr w:rsidR="00921721" w:rsidRPr="00407779" w14:paraId="13103CF0" w14:textId="77777777" w:rsidTr="00880D09">
              <w:trPr>
                <w:trHeight w:val="114"/>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04F2A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121-130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4DEB64E"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247,871</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04B7E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895,729</w:t>
                  </w:r>
                </w:p>
              </w:tc>
            </w:tr>
            <w:tr w:rsidR="00921721" w:rsidRPr="00407779" w14:paraId="26494C55"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FE8E1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131-140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09EE0F3"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273,013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28B235"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988,850</w:t>
                  </w:r>
                </w:p>
              </w:tc>
            </w:tr>
          </w:tbl>
          <w:p w14:paraId="650231BE" w14:textId="77777777" w:rsidR="00921721" w:rsidRPr="00E544D2" w:rsidRDefault="00921721" w:rsidP="00880D09">
            <w:pPr>
              <w:spacing w:after="120"/>
              <w:ind w:right="170"/>
              <w:rPr>
                <w:rFonts w:asciiTheme="minorHAnsi" w:hAnsiTheme="minorHAnsi" w:cs="Arial"/>
                <w:b/>
                <w:i/>
                <w:sz w:val="16"/>
                <w:szCs w:val="16"/>
              </w:rPr>
            </w:pPr>
            <w:r w:rsidRPr="00D1371C">
              <w:rPr>
                <w:rFonts w:asciiTheme="minorHAnsi" w:hAnsiTheme="minorHAnsi" w:cs="Arial"/>
                <w:b/>
                <w:i/>
                <w:sz w:val="16"/>
                <w:szCs w:val="16"/>
              </w:rPr>
              <w:t xml:space="preserve">Źródło: Opracowanie własne CUPT-JASPERS na podstawie VOC </w:t>
            </w:r>
            <w:proofErr w:type="spellStart"/>
            <w:r w:rsidRPr="00D1371C">
              <w:rPr>
                <w:rFonts w:asciiTheme="minorHAnsi" w:hAnsiTheme="minorHAnsi" w:cs="Arial"/>
                <w:b/>
                <w:i/>
                <w:sz w:val="16"/>
                <w:szCs w:val="16"/>
              </w:rPr>
              <w:t>fuel</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consumption</w:t>
            </w:r>
            <w:proofErr w:type="spellEnd"/>
            <w:r w:rsidRPr="00D1371C">
              <w:rPr>
                <w:rFonts w:asciiTheme="minorHAnsi" w:hAnsiTheme="minorHAnsi" w:cs="Arial"/>
                <w:b/>
                <w:i/>
                <w:sz w:val="16"/>
                <w:szCs w:val="16"/>
              </w:rPr>
              <w:t xml:space="preserve"> and EMEP/EEA </w:t>
            </w:r>
            <w:proofErr w:type="spellStart"/>
            <w:r w:rsidRPr="00D1371C">
              <w:rPr>
                <w:rFonts w:asciiTheme="minorHAnsi" w:hAnsiTheme="minorHAnsi" w:cs="Arial"/>
                <w:b/>
                <w:i/>
                <w:sz w:val="16"/>
                <w:szCs w:val="16"/>
              </w:rPr>
              <w:t>air</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pollutant</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emission</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inventory</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guidebook</w:t>
            </w:r>
            <w:proofErr w:type="spellEnd"/>
            <w:r w:rsidRPr="00D1371C">
              <w:rPr>
                <w:rFonts w:asciiTheme="minorHAnsi" w:hAnsiTheme="minorHAnsi" w:cs="Arial"/>
                <w:b/>
                <w:i/>
                <w:sz w:val="16"/>
                <w:szCs w:val="16"/>
              </w:rPr>
              <w:t xml:space="preserve">, 2019, with 1.A.3.b.i-iv Road Transport Appendix 4 </w:t>
            </w:r>
            <w:proofErr w:type="spellStart"/>
            <w:r w:rsidRPr="00D1371C">
              <w:rPr>
                <w:rFonts w:asciiTheme="minorHAnsi" w:hAnsiTheme="minorHAnsi" w:cs="Arial"/>
                <w:b/>
                <w:i/>
                <w:sz w:val="16"/>
                <w:szCs w:val="16"/>
              </w:rPr>
              <w:t>Emission</w:t>
            </w:r>
            <w:proofErr w:type="spellEnd"/>
            <w:r w:rsidRPr="00D1371C">
              <w:rPr>
                <w:rFonts w:asciiTheme="minorHAnsi" w:hAnsiTheme="minorHAnsi" w:cs="Arial"/>
                <w:b/>
                <w:i/>
                <w:sz w:val="16"/>
                <w:szCs w:val="16"/>
              </w:rPr>
              <w:t xml:space="preserve"> </w:t>
            </w:r>
            <w:proofErr w:type="spellStart"/>
            <w:r w:rsidRPr="00D1371C">
              <w:rPr>
                <w:rFonts w:asciiTheme="minorHAnsi" w:hAnsiTheme="minorHAnsi" w:cs="Arial"/>
                <w:b/>
                <w:i/>
                <w:sz w:val="16"/>
                <w:szCs w:val="16"/>
              </w:rPr>
              <w:t>Factors</w:t>
            </w:r>
            <w:proofErr w:type="spellEnd"/>
            <w:r w:rsidRPr="00D1371C">
              <w:rPr>
                <w:rFonts w:asciiTheme="minorHAnsi" w:hAnsiTheme="minorHAnsi" w:cs="Arial"/>
                <w:b/>
                <w:i/>
                <w:sz w:val="16"/>
                <w:szCs w:val="16"/>
              </w:rPr>
              <w:t xml:space="preserve"> 2019 </w:t>
            </w:r>
            <w:r w:rsidRPr="00E544D2">
              <w:rPr>
                <w:rFonts w:asciiTheme="minorHAnsi" w:hAnsiTheme="minorHAnsi" w:cs="Arial"/>
                <w:b/>
                <w:i/>
                <w:sz w:val="16"/>
                <w:szCs w:val="16"/>
              </w:rPr>
              <w:t>(Sept. 2020).</w:t>
            </w:r>
          </w:p>
          <w:p w14:paraId="203B3033" w14:textId="77777777" w:rsidR="00921721" w:rsidRDefault="00921721" w:rsidP="00880D09">
            <w:pPr>
              <w:pStyle w:val="anxnormal"/>
              <w:spacing w:after="120"/>
              <w:ind w:left="0"/>
              <w:rPr>
                <w:rFonts w:asciiTheme="minorHAnsi" w:hAnsiTheme="minorHAnsi"/>
                <w:lang w:eastAsia="en-US"/>
              </w:rPr>
            </w:pPr>
          </w:p>
          <w:p w14:paraId="19B4D6C4" w14:textId="77777777" w:rsidR="00921721" w:rsidRDefault="00921721" w:rsidP="00880D09">
            <w:pPr>
              <w:pStyle w:val="anxnormal"/>
              <w:spacing w:after="120"/>
              <w:ind w:left="0"/>
              <w:rPr>
                <w:rFonts w:asciiTheme="minorHAnsi" w:hAnsiTheme="minorHAnsi"/>
                <w:lang w:eastAsia="en-US"/>
              </w:rPr>
            </w:pPr>
            <w:r w:rsidRPr="00731A1C">
              <w:rPr>
                <w:rFonts w:asciiTheme="minorHAnsi" w:hAnsiTheme="minorHAnsi"/>
                <w:lang w:eastAsia="en-US"/>
              </w:rPr>
              <w:t xml:space="preserve">Wpływ nachylenia drogi na emisje </w:t>
            </w:r>
            <w:r>
              <w:rPr>
                <w:rFonts w:asciiTheme="minorHAnsi" w:hAnsiTheme="minorHAnsi"/>
                <w:lang w:eastAsia="en-US"/>
              </w:rPr>
              <w:t xml:space="preserve">gazów cieplarnianych </w:t>
            </w:r>
            <w:r w:rsidRPr="00731A1C">
              <w:rPr>
                <w:rFonts w:asciiTheme="minorHAnsi" w:hAnsiTheme="minorHAnsi"/>
                <w:lang w:eastAsia="en-US"/>
              </w:rPr>
              <w:t>przez pojazdy drogowe przyjęto na takim samym poziomie, jak wpływ na zużycie paliwa.</w:t>
            </w:r>
            <w:r>
              <w:rPr>
                <w:rFonts w:asciiTheme="minorHAnsi" w:hAnsiTheme="minorHAnsi"/>
                <w:lang w:eastAsia="en-US"/>
              </w:rPr>
              <w:t xml:space="preserve"> Przyjmuje się, że teren falisty zwiększa zużycie paliwa pojazdów lekkich o 15%. W przypadku HGV, odpowiedni współczynnik uzyskano w oparciu o zastosowane równania do wyliczania zużycia paliwa. </w:t>
            </w:r>
          </w:p>
          <w:p w14:paraId="499FE68F" w14:textId="77777777" w:rsidR="00921721" w:rsidRPr="00731E4E" w:rsidRDefault="00921721" w:rsidP="00880D09">
            <w:pPr>
              <w:pStyle w:val="anxnormal"/>
              <w:spacing w:after="120"/>
              <w:ind w:left="0"/>
              <w:jc w:val="left"/>
              <w:rPr>
                <w:rFonts w:asciiTheme="minorHAnsi" w:hAnsiTheme="minorHAnsi"/>
                <w:lang w:eastAsia="en-US"/>
              </w:rPr>
            </w:pPr>
            <w:r w:rsidRPr="00731E4E">
              <w:rPr>
                <w:rFonts w:asciiTheme="minorHAnsi" w:hAnsiTheme="minorHAnsi"/>
                <w:lang w:eastAsia="en-US"/>
              </w:rPr>
              <w:lastRenderedPageBreak/>
              <w:t>Wskaźniki wzrostu ze względu na nachylenie drogi.</w:t>
            </w:r>
          </w:p>
          <w:tbl>
            <w:tblPr>
              <w:tblW w:w="3580" w:type="dxa"/>
              <w:tblLayout w:type="fixed"/>
              <w:tblLook w:val="04A0" w:firstRow="1" w:lastRow="0" w:firstColumn="1" w:lastColumn="0" w:noHBand="0" w:noVBand="1"/>
            </w:tblPr>
            <w:tblGrid>
              <w:gridCol w:w="1778"/>
              <w:gridCol w:w="901"/>
              <w:gridCol w:w="901"/>
            </w:tblGrid>
            <w:tr w:rsidR="00921721" w:rsidRPr="00731E4E" w14:paraId="54F95680" w14:textId="77777777" w:rsidTr="00880D09">
              <w:trPr>
                <w:trHeight w:hRule="exact" w:val="309"/>
              </w:trPr>
              <w:tc>
                <w:tcPr>
                  <w:tcW w:w="17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65CCF1F"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82A392"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BC9BA36"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HGV</w:t>
                  </w:r>
                </w:p>
              </w:tc>
            </w:tr>
            <w:tr w:rsidR="00921721" w:rsidRPr="00731E4E" w14:paraId="7F32D0FF"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784A45" w14:textId="77777777" w:rsidR="00921721" w:rsidRPr="00CA444D"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C63274" w14:textId="77777777" w:rsidR="00921721" w:rsidRPr="00CA444D"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8A4982" w14:textId="77777777" w:rsidR="00921721" w:rsidRPr="00CA444D"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1D75CBD2"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88BF7F" w14:textId="77777777" w:rsidR="00921721" w:rsidRPr="00CA444D" w:rsidRDefault="00921721" w:rsidP="00880D09">
                  <w:pPr>
                    <w:spacing w:before="20"/>
                    <w:jc w:val="center"/>
                    <w:rPr>
                      <w:rFonts w:asciiTheme="minorHAnsi" w:hAnsiTheme="minorHAnsi" w:cs="Arial"/>
                      <w:color w:val="4F81BD" w:themeColor="accent1"/>
                      <w:sz w:val="18"/>
                      <w:szCs w:val="18"/>
                    </w:rPr>
                  </w:pPr>
                  <w:r w:rsidRPr="00CA444D">
                    <w:rPr>
                      <w:rFonts w:asciiTheme="minorHAnsi" w:hAnsiTheme="minorHAnsi" w:cs="Arial"/>
                      <w:color w:val="4F81BD" w:themeColor="accent1"/>
                      <w:sz w:val="18"/>
                      <w:szCs w:val="18"/>
                    </w:rPr>
                    <w:t>Falist</w:t>
                  </w:r>
                  <w:r>
                    <w:rPr>
                      <w:rFonts w:asciiTheme="minorHAnsi" w:hAnsiTheme="minorHAnsi" w:cs="Arial"/>
                      <w:color w:val="4F81BD" w:themeColor="accent1"/>
                      <w:sz w:val="18"/>
                      <w:szCs w:val="18"/>
                    </w:rPr>
                    <w:t>y</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274487" w14:textId="77777777" w:rsidR="00921721" w:rsidRPr="00CA444D"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1,150 </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57CBD46" w14:textId="77777777" w:rsidR="00921721" w:rsidRPr="00CA444D"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1,697 </w:t>
                  </w:r>
                </w:p>
              </w:tc>
            </w:tr>
          </w:tbl>
          <w:p w14:paraId="4B190344" w14:textId="77777777" w:rsidR="00921721" w:rsidRPr="00637253" w:rsidRDefault="00921721" w:rsidP="00880D09">
            <w:pPr>
              <w:spacing w:after="120"/>
              <w:ind w:right="170"/>
              <w:jc w:val="both"/>
              <w:rPr>
                <w:rFonts w:asciiTheme="minorHAnsi" w:hAnsiTheme="minorHAnsi" w:cs="Arial"/>
                <w:b/>
                <w:i/>
                <w:sz w:val="16"/>
                <w:szCs w:val="16"/>
              </w:rPr>
            </w:pPr>
            <w:r w:rsidRPr="00637253">
              <w:rPr>
                <w:rFonts w:asciiTheme="minorHAnsi" w:hAnsiTheme="minorHAnsi" w:cs="Arial"/>
                <w:b/>
                <w:i/>
                <w:sz w:val="16"/>
                <w:szCs w:val="16"/>
              </w:rPr>
              <w:t>Źródło: Opracowanie własne CUPT-JASPERS na podstawie obliczeń VOC.</w:t>
            </w:r>
          </w:p>
          <w:p w14:paraId="199F2897" w14:textId="77777777" w:rsidR="00921721" w:rsidRDefault="00921721" w:rsidP="00880D09">
            <w:pPr>
              <w:spacing w:after="120"/>
              <w:ind w:right="170"/>
              <w:rPr>
                <w:rFonts w:asciiTheme="minorHAnsi" w:hAnsiTheme="minorHAnsi" w:cs="Arial"/>
                <w:sz w:val="20"/>
                <w:szCs w:val="20"/>
                <w:u w:val="single"/>
              </w:rPr>
            </w:pPr>
          </w:p>
          <w:p w14:paraId="09E4D704" w14:textId="77777777" w:rsidR="00921721" w:rsidRPr="00374624" w:rsidRDefault="00921721" w:rsidP="00880D09">
            <w:pPr>
              <w:spacing w:after="120"/>
              <w:ind w:right="170"/>
              <w:rPr>
                <w:rFonts w:asciiTheme="minorHAnsi" w:hAnsiTheme="minorHAnsi" w:cs="Arial"/>
                <w:sz w:val="20"/>
                <w:szCs w:val="20"/>
                <w:u w:val="single"/>
              </w:rPr>
            </w:pPr>
            <w:r w:rsidRPr="00374624">
              <w:rPr>
                <w:rFonts w:asciiTheme="minorHAnsi" w:hAnsiTheme="minorHAnsi" w:cs="Arial"/>
                <w:sz w:val="20"/>
                <w:szCs w:val="20"/>
                <w:u w:val="single"/>
              </w:rPr>
              <w:t>Pojazdy elektryczne kategorii LV – współczynniki emisji gazów cieplarnianych</w:t>
            </w:r>
          </w:p>
          <w:p w14:paraId="2B1963BC"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Ponieważ przewidywany jest stały wzrost udziału pojazdów elektrycznych w polskiej flocie drogowej, musi on znaleźć odzwierciedlenie w odpowiednich współczynnikach emisji gazów cieplarnianych.</w:t>
            </w:r>
          </w:p>
          <w:p w14:paraId="0813EE61" w14:textId="46EE1491" w:rsidR="00921721" w:rsidRPr="00A9258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Współczynnik emisji gazów cieplarnianych dla energii elektrycznej z krajowej sieci elektroenergetycznej w roku 2019 wynosił </w:t>
            </w:r>
            <w:r w:rsidRPr="00A4635D">
              <w:rPr>
                <w:rFonts w:asciiTheme="minorHAnsi" w:hAnsiTheme="minorHAnsi" w:cs="Arial"/>
                <w:sz w:val="20"/>
                <w:szCs w:val="20"/>
              </w:rPr>
              <w:t>719 gCO</w:t>
            </w:r>
            <w:r w:rsidRPr="00A4635D">
              <w:rPr>
                <w:rFonts w:asciiTheme="minorHAnsi" w:hAnsiTheme="minorHAnsi" w:cs="Arial"/>
                <w:sz w:val="20"/>
                <w:szCs w:val="20"/>
                <w:vertAlign w:val="subscript"/>
              </w:rPr>
              <w:t>2</w:t>
            </w:r>
            <w:r w:rsidRPr="00A4635D">
              <w:rPr>
                <w:rFonts w:asciiTheme="minorHAnsi" w:hAnsiTheme="minorHAnsi" w:cs="Arial"/>
                <w:sz w:val="20"/>
                <w:szCs w:val="20"/>
              </w:rPr>
              <w:t>/kWh</w:t>
            </w:r>
            <w:r w:rsidR="00CE7FE6">
              <w:rPr>
                <w:rFonts w:asciiTheme="minorHAnsi" w:hAnsiTheme="minorHAnsi" w:cs="Arial"/>
                <w:sz w:val="20"/>
                <w:szCs w:val="20"/>
                <w:vertAlign w:val="superscript"/>
              </w:rPr>
              <w:t>1</w:t>
            </w:r>
            <w:r w:rsidR="00DD0E5A">
              <w:rPr>
                <w:rFonts w:asciiTheme="minorHAnsi" w:hAnsiTheme="minorHAnsi" w:cs="Arial"/>
                <w:sz w:val="20"/>
                <w:szCs w:val="20"/>
                <w:vertAlign w:val="superscript"/>
              </w:rPr>
              <w:t>9</w:t>
            </w:r>
            <w:r>
              <w:rPr>
                <w:rFonts w:asciiTheme="minorHAnsi" w:hAnsiTheme="minorHAnsi" w:cs="Arial"/>
                <w:sz w:val="20"/>
                <w:szCs w:val="20"/>
              </w:rPr>
              <w:t xml:space="preserve">. Na podstawie tej wartości wyjściowej obliczony został współczynnik dla aktualnego roku bazowego (2021) na poziomie </w:t>
            </w:r>
            <w:r w:rsidRPr="00A4635D">
              <w:rPr>
                <w:rFonts w:asciiTheme="minorHAnsi" w:hAnsiTheme="minorHAnsi" w:cs="Arial"/>
                <w:b/>
                <w:sz w:val="20"/>
                <w:szCs w:val="20"/>
              </w:rPr>
              <w:t>668,68 gCO</w:t>
            </w:r>
            <w:r w:rsidRPr="00A4635D">
              <w:rPr>
                <w:rFonts w:asciiTheme="minorHAnsi" w:hAnsiTheme="minorHAnsi" w:cs="Arial"/>
                <w:b/>
                <w:sz w:val="20"/>
                <w:szCs w:val="20"/>
                <w:vertAlign w:val="subscript"/>
              </w:rPr>
              <w:t>2</w:t>
            </w:r>
            <w:r w:rsidRPr="00A4635D">
              <w:rPr>
                <w:rFonts w:asciiTheme="minorHAnsi" w:hAnsiTheme="minorHAnsi" w:cs="Arial"/>
                <w:b/>
                <w:sz w:val="20"/>
                <w:szCs w:val="20"/>
              </w:rPr>
              <w:t>/kWh</w:t>
            </w:r>
            <w:r>
              <w:rPr>
                <w:rFonts w:asciiTheme="minorHAnsi" w:hAnsiTheme="minorHAnsi" w:cs="Arial"/>
                <w:sz w:val="20"/>
                <w:szCs w:val="20"/>
              </w:rPr>
              <w:t>, z uwzględnieniem następujących założeń przyjętych jako stosowne uproszczenie: [1] udziału sieciowej energii elektrycznej wytworzonej z węgla kamiennego i brunatnego w roku 2019</w:t>
            </w:r>
            <w:r w:rsidR="00DD0E5A">
              <w:rPr>
                <w:rFonts w:asciiTheme="minorHAnsi" w:hAnsiTheme="minorHAnsi" w:cs="Arial"/>
                <w:sz w:val="20"/>
                <w:szCs w:val="20"/>
                <w:vertAlign w:val="superscript"/>
              </w:rPr>
              <w:t>20</w:t>
            </w:r>
            <w:r>
              <w:rPr>
                <w:rFonts w:asciiTheme="minorHAnsi" w:hAnsiTheme="minorHAnsi" w:cs="Arial"/>
                <w:sz w:val="20"/>
                <w:szCs w:val="20"/>
              </w:rPr>
              <w:t>, [2] oszacowanej elastyczności emisji gazów cieplarnianych związanych z sieciową energią elektryczną względem zmian udziału węgla kamiennego i brunatnego w strukturze paliwowej energetyki w Polsce, oraz [3] prognozy udziału węgla kamiennego i brunatnego w strukturze paliwowej energetyki w Polsce</w:t>
            </w:r>
            <w:r w:rsidDel="001A1BBB">
              <w:rPr>
                <w:rFonts w:asciiTheme="minorHAnsi" w:hAnsiTheme="minorHAnsi" w:cs="Arial"/>
                <w:sz w:val="20"/>
                <w:szCs w:val="20"/>
              </w:rPr>
              <w:t xml:space="preserve"> </w:t>
            </w:r>
            <w:r>
              <w:rPr>
                <w:rFonts w:asciiTheme="minorHAnsi" w:hAnsiTheme="minorHAnsi" w:cs="Arial"/>
                <w:sz w:val="20"/>
                <w:szCs w:val="20"/>
              </w:rPr>
              <w:t>zgodnie z Polityką energetyczną Polski do roku 2040</w:t>
            </w:r>
            <w:r w:rsidR="001D3DF3">
              <w:rPr>
                <w:rFonts w:asciiTheme="minorHAnsi" w:hAnsiTheme="minorHAnsi" w:cs="Arial"/>
                <w:sz w:val="20"/>
                <w:szCs w:val="20"/>
                <w:vertAlign w:val="superscript"/>
              </w:rPr>
              <w:t>2</w:t>
            </w:r>
            <w:r w:rsidR="00DD0E5A">
              <w:rPr>
                <w:rFonts w:asciiTheme="minorHAnsi" w:hAnsiTheme="minorHAnsi" w:cs="Arial"/>
                <w:sz w:val="20"/>
                <w:szCs w:val="20"/>
                <w:vertAlign w:val="superscript"/>
              </w:rPr>
              <w:t>1</w:t>
            </w:r>
            <w:r>
              <w:rPr>
                <w:rFonts w:asciiTheme="minorHAnsi" w:hAnsiTheme="minorHAnsi" w:cs="Arial"/>
                <w:sz w:val="20"/>
                <w:szCs w:val="20"/>
              </w:rPr>
              <w:t xml:space="preserve">. </w:t>
            </w:r>
          </w:p>
          <w:p w14:paraId="7FACB2DC"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Proponowany współczynnik emisji dla przeciętnego elektrycznego pojazdu kategorii LV w roku 2021 wynosi </w:t>
            </w:r>
            <w:r w:rsidRPr="00041C91">
              <w:rPr>
                <w:rFonts w:asciiTheme="minorHAnsi" w:hAnsiTheme="minorHAnsi" w:cs="Arial"/>
                <w:b/>
                <w:sz w:val="20"/>
                <w:szCs w:val="20"/>
              </w:rPr>
              <w:t xml:space="preserve">156,03 </w:t>
            </w:r>
            <w:r w:rsidRPr="00EA5DA5">
              <w:rPr>
                <w:rFonts w:asciiTheme="minorHAnsi" w:hAnsiTheme="minorHAnsi" w:cs="Arial"/>
                <w:b/>
                <w:sz w:val="20"/>
                <w:szCs w:val="20"/>
              </w:rPr>
              <w:t>gCO</w:t>
            </w:r>
            <w:r w:rsidRPr="00EA5DA5">
              <w:rPr>
                <w:rFonts w:asciiTheme="minorHAnsi" w:hAnsiTheme="minorHAnsi" w:cs="Arial"/>
                <w:b/>
                <w:sz w:val="20"/>
                <w:szCs w:val="20"/>
                <w:vertAlign w:val="subscript"/>
              </w:rPr>
              <w:t>2</w:t>
            </w:r>
            <w:r w:rsidRPr="00F13EAB">
              <w:rPr>
                <w:rFonts w:asciiTheme="minorHAnsi" w:hAnsiTheme="minorHAnsi" w:cs="Arial"/>
                <w:b/>
                <w:sz w:val="20"/>
                <w:szCs w:val="20"/>
              </w:rPr>
              <w:t>e</w:t>
            </w:r>
            <w:r>
              <w:rPr>
                <w:rFonts w:asciiTheme="minorHAnsi" w:hAnsiTheme="minorHAnsi" w:cs="Arial"/>
                <w:b/>
                <w:sz w:val="20"/>
                <w:szCs w:val="20"/>
              </w:rPr>
              <w:t>/</w:t>
            </w:r>
            <w:proofErr w:type="spellStart"/>
            <w:r>
              <w:rPr>
                <w:rFonts w:asciiTheme="minorHAnsi" w:hAnsiTheme="minorHAnsi" w:cs="Arial"/>
                <w:b/>
                <w:sz w:val="20"/>
                <w:szCs w:val="20"/>
              </w:rPr>
              <w:t>poj</w:t>
            </w:r>
            <w:proofErr w:type="spellEnd"/>
            <w:r w:rsidRPr="00EA5DA5">
              <w:rPr>
                <w:rFonts w:asciiTheme="minorHAnsi" w:hAnsiTheme="minorHAnsi" w:cs="Arial"/>
                <w:b/>
                <w:sz w:val="20"/>
                <w:szCs w:val="20"/>
              </w:rPr>
              <w:t>-km</w:t>
            </w:r>
            <w:r>
              <w:rPr>
                <w:rFonts w:asciiTheme="minorHAnsi" w:hAnsiTheme="minorHAnsi" w:cs="Arial"/>
                <w:sz w:val="20"/>
                <w:szCs w:val="20"/>
              </w:rPr>
              <w:t xml:space="preserve">. Jak w przypadku innych typów pojazdów, dotyczy to płaskiego terenu i dobrej nawierzchni drogi (tzn. po budowie/ remoncie). Współczynniki związane z wpływem nachylenia </w:t>
            </w:r>
            <w:r>
              <w:rPr>
                <w:rFonts w:asciiTheme="minorHAnsi" w:hAnsiTheme="minorHAnsi" w:cs="Arial"/>
                <w:sz w:val="20"/>
                <w:szCs w:val="20"/>
              </w:rPr>
              <w:lastRenderedPageBreak/>
              <w:t>podłużnego drogi i stanu nawierzchni podane dla innych typów pojazdów mogą być również zastosowane do pojazdów elektrycznych.</w:t>
            </w:r>
          </w:p>
          <w:p w14:paraId="1F56A7E5"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Wskaźniki wzrostu kosztów ze względu na nachylenie drogi.</w:t>
            </w:r>
          </w:p>
          <w:tbl>
            <w:tblPr>
              <w:tblW w:w="4106" w:type="dxa"/>
              <w:tblLayout w:type="fixed"/>
              <w:tblLook w:val="04A0" w:firstRow="1" w:lastRow="0" w:firstColumn="1" w:lastColumn="0" w:noHBand="0" w:noVBand="1"/>
            </w:tblPr>
            <w:tblGrid>
              <w:gridCol w:w="1696"/>
              <w:gridCol w:w="850"/>
              <w:gridCol w:w="1560"/>
            </w:tblGrid>
            <w:tr w:rsidR="00921721" w:rsidRPr="00731E4E" w14:paraId="63AA523C" w14:textId="77777777" w:rsidTr="00880D09">
              <w:trPr>
                <w:trHeight w:hRule="exact" w:val="309"/>
              </w:trPr>
              <w:tc>
                <w:tcPr>
                  <w:tcW w:w="169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A73CD56"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995195"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156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FDB85D7"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 xml:space="preserve">Autobus </w:t>
                  </w:r>
                  <w:proofErr w:type="spellStart"/>
                  <w:r>
                    <w:rPr>
                      <w:rFonts w:asciiTheme="minorHAnsi" w:hAnsiTheme="minorHAnsi" w:cs="Arial"/>
                      <w:b/>
                      <w:bCs/>
                      <w:color w:val="FFFFFF"/>
                      <w:sz w:val="18"/>
                      <w:szCs w:val="18"/>
                    </w:rPr>
                    <w:t>elektr</w:t>
                  </w:r>
                  <w:proofErr w:type="spellEnd"/>
                  <w:r>
                    <w:rPr>
                      <w:rFonts w:asciiTheme="minorHAnsi" w:hAnsiTheme="minorHAnsi" w:cs="Arial"/>
                      <w:b/>
                      <w:bCs/>
                      <w:color w:val="FFFFFF"/>
                      <w:sz w:val="18"/>
                      <w:szCs w:val="18"/>
                    </w:rPr>
                    <w:t xml:space="preserve">. </w:t>
                  </w:r>
                </w:p>
              </w:tc>
            </w:tr>
            <w:tr w:rsidR="00921721" w:rsidRPr="00731E4E" w14:paraId="4D62D8FB" w14:textId="77777777" w:rsidTr="00880D09">
              <w:trPr>
                <w:trHeight w:val="258"/>
              </w:trPr>
              <w:tc>
                <w:tcPr>
                  <w:tcW w:w="169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21AC6E" w14:textId="77777777" w:rsidR="00921721" w:rsidRPr="00CA444D"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EE0A943" w14:textId="77777777" w:rsidR="00921721" w:rsidRPr="00CA444D"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156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BCA5D1C" w14:textId="77777777" w:rsidR="00921721" w:rsidRPr="00CA444D"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5AE501B4" w14:textId="77777777" w:rsidTr="00880D09">
              <w:trPr>
                <w:trHeight w:val="258"/>
              </w:trPr>
              <w:tc>
                <w:tcPr>
                  <w:tcW w:w="169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2AFEE8" w14:textId="77777777" w:rsidR="00921721" w:rsidRPr="00CA444D" w:rsidRDefault="00921721" w:rsidP="00880D09">
                  <w:pPr>
                    <w:spacing w:before="20"/>
                    <w:jc w:val="center"/>
                    <w:rPr>
                      <w:rFonts w:asciiTheme="minorHAnsi" w:hAnsiTheme="minorHAnsi" w:cs="Arial"/>
                      <w:color w:val="4F81BD" w:themeColor="accent1"/>
                      <w:sz w:val="18"/>
                      <w:szCs w:val="18"/>
                    </w:rPr>
                  </w:pPr>
                  <w:r w:rsidRPr="00CA444D">
                    <w:rPr>
                      <w:rFonts w:asciiTheme="minorHAnsi" w:hAnsiTheme="minorHAnsi" w:cs="Arial"/>
                      <w:color w:val="4F81BD" w:themeColor="accent1"/>
                      <w:sz w:val="18"/>
                      <w:szCs w:val="18"/>
                    </w:rPr>
                    <w:t>Falist</w:t>
                  </w:r>
                  <w:r>
                    <w:rPr>
                      <w:rFonts w:asciiTheme="minorHAnsi" w:hAnsiTheme="minorHAnsi" w:cs="Arial"/>
                      <w:color w:val="4F81BD" w:themeColor="accent1"/>
                      <w:sz w:val="18"/>
                      <w:szCs w:val="18"/>
                    </w:rPr>
                    <w:t>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081EF6F" w14:textId="77777777" w:rsidR="00921721" w:rsidRPr="00CA444D"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1,150 </w:t>
                  </w:r>
                </w:p>
              </w:tc>
              <w:tc>
                <w:tcPr>
                  <w:tcW w:w="156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CB5767" w14:textId="77777777" w:rsidR="00921721" w:rsidRPr="00CA444D"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1,697 </w:t>
                  </w:r>
                </w:p>
              </w:tc>
            </w:tr>
          </w:tbl>
          <w:p w14:paraId="1E7F36D3" w14:textId="77777777" w:rsidR="00921721" w:rsidRDefault="00921721" w:rsidP="00880D09">
            <w:pPr>
              <w:rPr>
                <w:rFonts w:asciiTheme="minorHAnsi" w:hAnsiTheme="minorHAnsi" w:cstheme="minorHAnsi"/>
                <w:sz w:val="20"/>
                <w:szCs w:val="20"/>
              </w:rPr>
            </w:pPr>
          </w:p>
          <w:p w14:paraId="11670DBA" w14:textId="77777777" w:rsidR="00921721" w:rsidRPr="008E4306" w:rsidRDefault="00921721" w:rsidP="00880D09">
            <w:pPr>
              <w:rPr>
                <w:rFonts w:asciiTheme="minorHAnsi" w:hAnsiTheme="minorHAnsi" w:cstheme="minorHAnsi"/>
                <w:sz w:val="20"/>
                <w:szCs w:val="20"/>
              </w:rPr>
            </w:pPr>
            <w:r w:rsidRPr="008E4306">
              <w:rPr>
                <w:rFonts w:asciiTheme="minorHAnsi" w:hAnsiTheme="minorHAnsi" w:cstheme="minorHAnsi"/>
                <w:sz w:val="20"/>
                <w:szCs w:val="20"/>
              </w:rPr>
              <w:t xml:space="preserve">Wskaźniki </w:t>
            </w:r>
            <w:r>
              <w:rPr>
                <w:rFonts w:asciiTheme="minorHAnsi" w:hAnsiTheme="minorHAnsi" w:cstheme="minorHAnsi"/>
                <w:sz w:val="20"/>
                <w:szCs w:val="20"/>
              </w:rPr>
              <w:t>wzrostu</w:t>
            </w:r>
            <w:r w:rsidRPr="008E4306">
              <w:rPr>
                <w:rFonts w:asciiTheme="minorHAnsi" w:hAnsiTheme="minorHAnsi" w:cstheme="minorHAnsi"/>
                <w:sz w:val="20"/>
                <w:szCs w:val="20"/>
              </w:rPr>
              <w:t xml:space="preserve"> kosztów w zależności od </w:t>
            </w:r>
            <w:r>
              <w:rPr>
                <w:rFonts w:asciiTheme="minorHAnsi" w:hAnsiTheme="minorHAnsi" w:cstheme="minorHAnsi"/>
                <w:sz w:val="20"/>
                <w:szCs w:val="20"/>
              </w:rPr>
              <w:t>stanu nawierzchni</w:t>
            </w:r>
          </w:p>
          <w:tbl>
            <w:tblPr>
              <w:tblW w:w="5633" w:type="dxa"/>
              <w:tblLayout w:type="fixed"/>
              <w:tblLook w:val="04A0" w:firstRow="1" w:lastRow="0" w:firstColumn="1" w:lastColumn="0" w:noHBand="0" w:noVBand="1"/>
            </w:tblPr>
            <w:tblGrid>
              <w:gridCol w:w="2324"/>
              <w:gridCol w:w="1166"/>
              <w:gridCol w:w="2143"/>
            </w:tblGrid>
            <w:tr w:rsidR="00921721" w:rsidRPr="00CF54F6" w14:paraId="26C7EF78" w14:textId="77777777" w:rsidTr="00921721">
              <w:trPr>
                <w:trHeight w:hRule="exact" w:val="516"/>
              </w:trPr>
              <w:tc>
                <w:tcPr>
                  <w:tcW w:w="232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9866094"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Stan nawierzchni</w:t>
                  </w:r>
                </w:p>
              </w:tc>
              <w:tc>
                <w:tcPr>
                  <w:tcW w:w="116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333D698"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sidRPr="008E4306">
                    <w:rPr>
                      <w:rFonts w:asciiTheme="minorHAnsi" w:hAnsiTheme="minorHAnsi" w:cs="Arial"/>
                      <w:b/>
                      <w:bCs/>
                      <w:color w:val="FFFFFF"/>
                      <w:sz w:val="18"/>
                      <w:szCs w:val="18"/>
                    </w:rPr>
                    <w:t>LV</w:t>
                  </w:r>
                </w:p>
              </w:tc>
              <w:tc>
                <w:tcPr>
                  <w:tcW w:w="214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6BC7457"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 xml:space="preserve">Autobus </w:t>
                  </w:r>
                  <w:proofErr w:type="spellStart"/>
                  <w:r>
                    <w:rPr>
                      <w:rFonts w:asciiTheme="minorHAnsi" w:hAnsiTheme="minorHAnsi" w:cs="Arial"/>
                      <w:b/>
                      <w:bCs/>
                      <w:color w:val="FFFFFF"/>
                      <w:sz w:val="18"/>
                      <w:szCs w:val="18"/>
                    </w:rPr>
                    <w:t>elektr</w:t>
                  </w:r>
                  <w:proofErr w:type="spellEnd"/>
                  <w:r>
                    <w:rPr>
                      <w:rFonts w:asciiTheme="minorHAnsi" w:hAnsiTheme="minorHAnsi" w:cs="Arial"/>
                      <w:b/>
                      <w:bCs/>
                      <w:color w:val="FFFFFF"/>
                      <w:sz w:val="18"/>
                      <w:szCs w:val="18"/>
                    </w:rPr>
                    <w:t xml:space="preserve">. </w:t>
                  </w:r>
                </w:p>
              </w:tc>
            </w:tr>
            <w:tr w:rsidR="00921721" w:rsidRPr="00CF54F6" w14:paraId="52D40AB0" w14:textId="77777777" w:rsidTr="00921721">
              <w:trPr>
                <w:trHeight w:val="431"/>
              </w:trPr>
              <w:tc>
                <w:tcPr>
                  <w:tcW w:w="232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3A9B78" w14:textId="77777777" w:rsidR="00921721" w:rsidRPr="002F209F"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Dobry (nawierzchnia po </w:t>
                  </w:r>
                  <w:r w:rsidRPr="00387FFD">
                    <w:rPr>
                      <w:rFonts w:asciiTheme="minorHAnsi" w:hAnsiTheme="minorHAnsi" w:cs="Arial"/>
                      <w:color w:val="4F81BD" w:themeColor="accent1"/>
                      <w:sz w:val="18"/>
                      <w:szCs w:val="18"/>
                    </w:rPr>
                    <w:t>remoncie</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/budowie</w:t>
                  </w:r>
                </w:p>
              </w:tc>
              <w:tc>
                <w:tcPr>
                  <w:tcW w:w="116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6B325E"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21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782FF1"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CF54F6" w14:paraId="08A263D1" w14:textId="77777777" w:rsidTr="00921721">
              <w:trPr>
                <w:trHeight w:val="431"/>
              </w:trPr>
              <w:tc>
                <w:tcPr>
                  <w:tcW w:w="232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AAEF7C" w14:textId="77777777" w:rsidR="00921721" w:rsidRPr="002C6855" w:rsidRDefault="00921721" w:rsidP="00880D09">
                  <w:pPr>
                    <w:pStyle w:val="anxnormal"/>
                    <w:ind w:left="0"/>
                    <w:rPr>
                      <w:rFonts w:asciiTheme="minorHAnsi" w:hAnsiTheme="minorHAnsi"/>
                      <w:snapToGrid/>
                      <w:color w:val="4F81BD" w:themeColor="accent1"/>
                      <w:sz w:val="18"/>
                      <w:szCs w:val="18"/>
                    </w:rPr>
                  </w:pPr>
                  <w:r w:rsidRPr="002C6855">
                    <w:rPr>
                      <w:rFonts w:asciiTheme="minorHAnsi" w:hAnsiTheme="minorHAnsi"/>
                      <w:snapToGrid/>
                      <w:color w:val="4F81BD" w:themeColor="accent1"/>
                      <w:sz w:val="18"/>
                      <w:szCs w:val="18"/>
                    </w:rPr>
                    <w:t>nawierzchnia zdegradowana</w:t>
                  </w:r>
                </w:p>
              </w:tc>
              <w:tc>
                <w:tcPr>
                  <w:tcW w:w="116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B230F3" w14:textId="77777777" w:rsidR="00921721" w:rsidRPr="008E4306"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169</w:t>
                  </w:r>
                </w:p>
              </w:tc>
              <w:tc>
                <w:tcPr>
                  <w:tcW w:w="21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A0CD05D" w14:textId="77777777" w:rsidR="00921721" w:rsidRPr="008E4306"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bl>
          <w:p w14:paraId="58DC0F35" w14:textId="77777777" w:rsidR="00921721" w:rsidRPr="00CA444D" w:rsidRDefault="00921721" w:rsidP="00880D09">
            <w:pPr>
              <w:spacing w:before="120"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 xml:space="preserve">CUPT-JASPERS </w:t>
            </w:r>
            <w:r w:rsidRPr="00731E4E">
              <w:rPr>
                <w:rFonts w:asciiTheme="minorHAnsi" w:hAnsiTheme="minorHAnsi" w:cs="Arial"/>
                <w:b/>
                <w:i/>
                <w:sz w:val="16"/>
                <w:szCs w:val="16"/>
              </w:rPr>
              <w:t xml:space="preserve">na podstawie </w:t>
            </w:r>
            <w:proofErr w:type="spellStart"/>
            <w:r w:rsidRPr="00983DF9">
              <w:rPr>
                <w:rFonts w:asciiTheme="minorHAnsi" w:hAnsiTheme="minorHAnsi" w:cs="Arial"/>
                <w:b/>
                <w:i/>
                <w:sz w:val="16"/>
                <w:szCs w:val="16"/>
              </w:rPr>
              <w:t>Optimisation</w:t>
            </w:r>
            <w:proofErr w:type="spellEnd"/>
            <w:r w:rsidRPr="00983DF9">
              <w:rPr>
                <w:rFonts w:asciiTheme="minorHAnsi" w:hAnsiTheme="minorHAnsi" w:cs="Arial"/>
                <w:b/>
                <w:i/>
                <w:sz w:val="16"/>
                <w:szCs w:val="16"/>
              </w:rPr>
              <w:t xml:space="preserve"> of </w:t>
            </w:r>
            <w:proofErr w:type="spellStart"/>
            <w:r w:rsidRPr="00983DF9">
              <w:rPr>
                <w:rFonts w:asciiTheme="minorHAnsi" w:hAnsiTheme="minorHAnsi" w:cs="Arial"/>
                <w:b/>
                <w:i/>
                <w:sz w:val="16"/>
                <w:szCs w:val="16"/>
              </w:rPr>
              <w:t>Maintenance</w:t>
            </w:r>
            <w:proofErr w:type="spellEnd"/>
            <w:r w:rsidRPr="00983DF9">
              <w:rPr>
                <w:rFonts w:asciiTheme="minorHAnsi" w:hAnsiTheme="minorHAnsi" w:cs="Arial"/>
                <w:b/>
                <w:i/>
                <w:sz w:val="16"/>
                <w:szCs w:val="16"/>
              </w:rPr>
              <w:t>", OECD/ITF 2012.</w:t>
            </w:r>
          </w:p>
          <w:p w14:paraId="0D404CA2" w14:textId="77777777" w:rsidR="00921721" w:rsidRPr="00063577" w:rsidRDefault="00921721" w:rsidP="00880D09">
            <w:pPr>
              <w:pStyle w:val="anxnormal"/>
              <w:ind w:left="0"/>
              <w:rPr>
                <w:rFonts w:asciiTheme="minorHAnsi" w:hAnsiTheme="minorHAnsi"/>
                <w:lang w:eastAsia="en-US"/>
              </w:rPr>
            </w:pPr>
            <w:r>
              <w:rPr>
                <w:rFonts w:asciiTheme="minorHAnsi" w:hAnsiTheme="minorHAnsi"/>
              </w:rPr>
              <w:t>W poniższej tabeli przedstawiono obszerniejszy zbiór współczynników emisji dla poszczególnych typów pojazdów elektrycznych w roku 2021:</w:t>
            </w:r>
            <w:r w:rsidRPr="00063577">
              <w:rPr>
                <w:rFonts w:asciiTheme="minorHAnsi" w:hAnsiTheme="minorHAnsi"/>
                <w:lang w:eastAsia="en-US"/>
              </w:rPr>
              <w:t xml:space="preserve"> </w:t>
            </w:r>
          </w:p>
          <w:tbl>
            <w:tblPr>
              <w:tblW w:w="6612" w:type="dxa"/>
              <w:tblLayout w:type="fixed"/>
              <w:tblLook w:val="04A0" w:firstRow="1" w:lastRow="0" w:firstColumn="1" w:lastColumn="0" w:noHBand="0" w:noVBand="1"/>
            </w:tblPr>
            <w:tblGrid>
              <w:gridCol w:w="2805"/>
              <w:gridCol w:w="1269"/>
              <w:gridCol w:w="1269"/>
              <w:gridCol w:w="1269"/>
            </w:tblGrid>
            <w:tr w:rsidR="00921721" w:rsidRPr="00063577" w14:paraId="67842EF6" w14:textId="77777777" w:rsidTr="00773CE0">
              <w:trPr>
                <w:trHeight w:hRule="exact" w:val="1081"/>
              </w:trPr>
              <w:tc>
                <w:tcPr>
                  <w:tcW w:w="28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6C8974C" w14:textId="77777777" w:rsidR="00921721" w:rsidRPr="00584547" w:rsidRDefault="00921721" w:rsidP="00880D09">
                  <w:pPr>
                    <w:snapToGrid w:val="0"/>
                    <w:spacing w:before="20" w:after="20"/>
                    <w:jc w:val="center"/>
                    <w:rPr>
                      <w:rFonts w:asciiTheme="minorHAnsi" w:hAnsiTheme="minorHAnsi" w:cs="Arial"/>
                      <w:b/>
                      <w:bCs/>
                      <w:color w:val="FFFFFF"/>
                      <w:sz w:val="18"/>
                      <w:szCs w:val="18"/>
                    </w:rPr>
                  </w:pPr>
                  <w:r w:rsidRPr="00584547">
                    <w:rPr>
                      <w:rFonts w:asciiTheme="minorHAnsi" w:hAnsiTheme="minorHAnsi" w:cs="Arial"/>
                      <w:b/>
                      <w:bCs/>
                      <w:color w:val="FFFFFF"/>
                      <w:sz w:val="18"/>
                      <w:szCs w:val="18"/>
                    </w:rPr>
                    <w:t xml:space="preserve">Pojazdy drogowe, </w:t>
                  </w:r>
                  <w:r w:rsidRPr="00584547">
                    <w:rPr>
                      <w:rFonts w:asciiTheme="minorHAnsi" w:hAnsiTheme="minorHAnsi" w:cs="Arial"/>
                      <w:b/>
                      <w:bCs/>
                      <w:color w:val="FFFFFF"/>
                      <w:sz w:val="18"/>
                      <w:szCs w:val="18"/>
                    </w:rPr>
                    <w:br/>
                    <w:t xml:space="preserve">elektryczne i </w:t>
                  </w:r>
                  <w:proofErr w:type="spellStart"/>
                  <w:r w:rsidRPr="00584547">
                    <w:rPr>
                      <w:rFonts w:asciiTheme="minorHAnsi" w:hAnsiTheme="minorHAnsi" w:cs="Arial"/>
                      <w:b/>
                      <w:bCs/>
                      <w:color w:val="FFFFFF"/>
                      <w:sz w:val="18"/>
                      <w:szCs w:val="18"/>
                    </w:rPr>
                    <w:t>hybrydowe-elektryczne</w:t>
                  </w:r>
                  <w:proofErr w:type="spellEnd"/>
                  <w:r w:rsidRPr="00584547">
                    <w:rPr>
                      <w:rFonts w:asciiTheme="minorHAnsi" w:hAnsiTheme="minorHAnsi" w:cs="Arial"/>
                      <w:b/>
                      <w:bCs/>
                      <w:color w:val="FFFFFF"/>
                      <w:sz w:val="18"/>
                      <w:szCs w:val="18"/>
                    </w:rPr>
                    <w:t>:</w:t>
                  </w:r>
                </w:p>
              </w:tc>
              <w:tc>
                <w:tcPr>
                  <w:tcW w:w="1269"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8614483" w14:textId="77777777" w:rsidR="00921721" w:rsidRPr="00584547" w:rsidRDefault="00921721" w:rsidP="00880D09">
                  <w:pPr>
                    <w:snapToGrid w:val="0"/>
                    <w:spacing w:before="20" w:after="20"/>
                    <w:jc w:val="center"/>
                    <w:rPr>
                      <w:rFonts w:asciiTheme="minorHAnsi" w:hAnsiTheme="minorHAnsi" w:cs="Arial"/>
                      <w:b/>
                      <w:bCs/>
                      <w:color w:val="FFFFFF"/>
                      <w:sz w:val="18"/>
                      <w:szCs w:val="18"/>
                    </w:rPr>
                  </w:pPr>
                </w:p>
              </w:tc>
              <w:tc>
                <w:tcPr>
                  <w:tcW w:w="12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168DF97C" w14:textId="77777777" w:rsidR="00921721" w:rsidRPr="00584547" w:rsidRDefault="00921721" w:rsidP="00773CE0">
                  <w:pPr>
                    <w:snapToGrid w:val="0"/>
                    <w:spacing w:before="20" w:after="20"/>
                    <w:jc w:val="center"/>
                    <w:rPr>
                      <w:rFonts w:asciiTheme="minorHAnsi" w:hAnsiTheme="minorHAnsi" w:cs="Arial"/>
                      <w:b/>
                      <w:bCs/>
                      <w:color w:val="FFFFFF"/>
                      <w:sz w:val="18"/>
                      <w:szCs w:val="18"/>
                    </w:rPr>
                  </w:pPr>
                  <w:r w:rsidRPr="005B413F">
                    <w:rPr>
                      <w:rFonts w:asciiTheme="minorHAnsi" w:hAnsiTheme="minorHAnsi" w:cs="Arial"/>
                      <w:b/>
                      <w:bCs/>
                      <w:color w:val="FFFFFF"/>
                      <w:sz w:val="18"/>
                      <w:szCs w:val="18"/>
                    </w:rPr>
                    <w:t xml:space="preserve">Zużycie energii </w:t>
                  </w:r>
                  <w:r w:rsidRPr="005B413F">
                    <w:rPr>
                      <w:rFonts w:asciiTheme="minorHAnsi" w:hAnsiTheme="minorHAnsi" w:cs="Arial"/>
                      <w:b/>
                      <w:bCs/>
                      <w:color w:val="FFFFFF"/>
                      <w:sz w:val="18"/>
                      <w:szCs w:val="18"/>
                    </w:rPr>
                    <w:br/>
                    <w:t xml:space="preserve">(kWh/ </w:t>
                  </w:r>
                  <w:proofErr w:type="spellStart"/>
                  <w:r w:rsidRPr="005B413F">
                    <w:rPr>
                      <w:rFonts w:asciiTheme="minorHAnsi" w:hAnsiTheme="minorHAnsi" w:cs="Arial"/>
                      <w:b/>
                      <w:bCs/>
                      <w:color w:val="FFFFFF"/>
                      <w:sz w:val="18"/>
                      <w:szCs w:val="18"/>
                    </w:rPr>
                    <w:t>poj</w:t>
                  </w:r>
                  <w:proofErr w:type="spellEnd"/>
                  <w:r w:rsidRPr="005B413F">
                    <w:rPr>
                      <w:rFonts w:asciiTheme="minorHAnsi" w:hAnsiTheme="minorHAnsi" w:cs="Arial"/>
                      <w:b/>
                      <w:bCs/>
                      <w:color w:val="FFFFFF"/>
                      <w:sz w:val="18"/>
                      <w:szCs w:val="18"/>
                    </w:rPr>
                    <w:t>-km)</w:t>
                  </w:r>
                </w:p>
              </w:tc>
              <w:tc>
                <w:tcPr>
                  <w:tcW w:w="1269" w:type="dxa"/>
                  <w:tcBorders>
                    <w:top w:val="single" w:sz="4" w:space="0" w:color="FFFFFF"/>
                    <w:left w:val="single" w:sz="4" w:space="0" w:color="FFFFFF"/>
                    <w:bottom w:val="single" w:sz="4" w:space="0" w:color="FFFFFF"/>
                    <w:right w:val="nil"/>
                  </w:tcBorders>
                  <w:shd w:val="clear" w:color="auto" w:fill="A6A6A6" w:themeFill="background1" w:themeFillShade="A6"/>
                </w:tcPr>
                <w:p w14:paraId="5FA8BDBF" w14:textId="77777777" w:rsidR="00921721" w:rsidRPr="00584547" w:rsidRDefault="00921721" w:rsidP="00880D09">
                  <w:pPr>
                    <w:snapToGrid w:val="0"/>
                    <w:spacing w:before="20" w:after="20"/>
                    <w:jc w:val="center"/>
                    <w:rPr>
                      <w:rFonts w:asciiTheme="minorHAnsi" w:hAnsiTheme="minorHAnsi" w:cs="Arial"/>
                      <w:b/>
                      <w:bCs/>
                      <w:color w:val="FFFFFF"/>
                      <w:sz w:val="18"/>
                      <w:szCs w:val="18"/>
                    </w:rPr>
                  </w:pPr>
                  <w:r w:rsidRPr="00584547">
                    <w:rPr>
                      <w:rFonts w:asciiTheme="minorHAnsi" w:hAnsiTheme="minorHAnsi" w:cs="Arial"/>
                      <w:b/>
                      <w:bCs/>
                      <w:color w:val="FFFFFF"/>
                      <w:sz w:val="18"/>
                      <w:szCs w:val="18"/>
                    </w:rPr>
                    <w:t xml:space="preserve">Emisyjność GHG </w:t>
                  </w:r>
                  <w:r>
                    <w:rPr>
                      <w:rFonts w:asciiTheme="minorHAnsi" w:hAnsiTheme="minorHAnsi" w:cs="Arial"/>
                      <w:b/>
                      <w:bCs/>
                      <w:color w:val="FFFFFF"/>
                      <w:sz w:val="18"/>
                      <w:szCs w:val="18"/>
                    </w:rPr>
                    <w:t>2021</w:t>
                  </w:r>
                  <w:r w:rsidRPr="00584547">
                    <w:rPr>
                      <w:rFonts w:asciiTheme="minorHAnsi" w:hAnsiTheme="minorHAnsi" w:cs="Arial"/>
                      <w:b/>
                      <w:bCs/>
                      <w:color w:val="FFFFFF"/>
                      <w:sz w:val="18"/>
                      <w:szCs w:val="18"/>
                    </w:rPr>
                    <w:t xml:space="preserve">(*) </w:t>
                  </w:r>
                  <w:r w:rsidRPr="00584547">
                    <w:rPr>
                      <w:rFonts w:asciiTheme="minorHAnsi" w:hAnsiTheme="minorHAnsi" w:cs="Arial"/>
                      <w:b/>
                      <w:bCs/>
                      <w:color w:val="FFFFFF"/>
                      <w:sz w:val="18"/>
                      <w:szCs w:val="18"/>
                    </w:rPr>
                    <w:br/>
                    <w:t>[g CO</w:t>
                  </w:r>
                  <w:r w:rsidRPr="00BD7674">
                    <w:rPr>
                      <w:rFonts w:asciiTheme="minorHAnsi" w:hAnsiTheme="minorHAnsi" w:cs="Arial"/>
                      <w:b/>
                      <w:bCs/>
                      <w:color w:val="FFFFFF"/>
                      <w:sz w:val="18"/>
                      <w:szCs w:val="18"/>
                      <w:vertAlign w:val="subscript"/>
                    </w:rPr>
                    <w:t>2</w:t>
                  </w:r>
                  <w:r w:rsidRPr="00584547">
                    <w:rPr>
                      <w:rFonts w:asciiTheme="minorHAnsi" w:hAnsiTheme="minorHAnsi" w:cs="Arial"/>
                      <w:b/>
                      <w:bCs/>
                      <w:color w:val="FFFFFF"/>
                      <w:sz w:val="18"/>
                      <w:szCs w:val="18"/>
                    </w:rPr>
                    <w:t xml:space="preserve">e/ </w:t>
                  </w:r>
                  <w:proofErr w:type="spellStart"/>
                  <w:r w:rsidRPr="00584547">
                    <w:rPr>
                      <w:rFonts w:asciiTheme="minorHAnsi" w:hAnsiTheme="minorHAnsi" w:cs="Arial"/>
                      <w:b/>
                      <w:bCs/>
                      <w:color w:val="FFFFFF"/>
                      <w:sz w:val="18"/>
                      <w:szCs w:val="18"/>
                    </w:rPr>
                    <w:t>poj</w:t>
                  </w:r>
                  <w:proofErr w:type="spellEnd"/>
                  <w:r w:rsidRPr="00584547">
                    <w:rPr>
                      <w:rFonts w:asciiTheme="minorHAnsi" w:hAnsiTheme="minorHAnsi" w:cs="Arial"/>
                      <w:b/>
                      <w:bCs/>
                      <w:color w:val="FFFFFF"/>
                      <w:sz w:val="18"/>
                      <w:szCs w:val="18"/>
                    </w:rPr>
                    <w:t>-km]</w:t>
                  </w:r>
                </w:p>
              </w:tc>
            </w:tr>
            <w:tr w:rsidR="00921721" w:rsidRPr="006856C6" w14:paraId="4D26AACB"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0A86C1"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hybrydowy benzyna +elektryczny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FE08FD4" w14:textId="77777777" w:rsidR="00921721" w:rsidRPr="00D22938" w:rsidRDefault="00921721" w:rsidP="00880D09">
                  <w:pPr>
                    <w:jc w:val="center"/>
                    <w:rPr>
                      <w:rFonts w:asciiTheme="minorHAnsi" w:hAnsiTheme="minorHAnsi" w:cs="Arial"/>
                      <w:color w:val="4F81BD" w:themeColor="accent1"/>
                      <w:sz w:val="18"/>
                      <w:szCs w:val="18"/>
                      <w:lang w:val="en-GB"/>
                    </w:rPr>
                  </w:pPr>
                  <w:proofErr w:type="spellStart"/>
                  <w:r w:rsidRPr="00063577">
                    <w:rPr>
                      <w:rFonts w:asciiTheme="minorHAnsi" w:hAnsiTheme="minorHAnsi" w:cs="Arial"/>
                      <w:color w:val="4F81BD" w:themeColor="accent1"/>
                      <w:sz w:val="18"/>
                      <w:szCs w:val="18"/>
                      <w:lang w:val="en-GB"/>
                    </w:rPr>
                    <w:t>Przeciętnie</w:t>
                  </w:r>
                  <w:proofErr w:type="spellEnd"/>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4FA7934"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503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089AC8"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464,20</w:t>
                  </w:r>
                </w:p>
              </w:tc>
            </w:tr>
            <w:tr w:rsidR="00921721" w:rsidRPr="006856C6" w14:paraId="0EDB7DAC"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731A2A"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hybrydowy benzyna +elektryczny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BFB717" w14:textId="77777777" w:rsidR="00921721" w:rsidRPr="00D22938" w:rsidRDefault="00921721" w:rsidP="00880D09">
                  <w:pPr>
                    <w:jc w:val="center"/>
                    <w:rPr>
                      <w:rFonts w:asciiTheme="minorHAnsi" w:hAnsiTheme="minorHAnsi" w:cs="Arial"/>
                      <w:color w:val="4F81BD" w:themeColor="accent1"/>
                      <w:sz w:val="18"/>
                      <w:szCs w:val="18"/>
                      <w:lang w:val="en-GB"/>
                    </w:rPr>
                  </w:pPr>
                  <w:proofErr w:type="spellStart"/>
                  <w:r w:rsidRPr="00063577">
                    <w:rPr>
                      <w:rFonts w:asciiTheme="minorHAnsi" w:hAnsiTheme="minorHAnsi" w:cs="Arial"/>
                      <w:color w:val="4F81BD" w:themeColor="accent1"/>
                      <w:sz w:val="18"/>
                      <w:szCs w:val="18"/>
                      <w:lang w:val="en-GB"/>
                    </w:rPr>
                    <w:t>Obszar</w:t>
                  </w:r>
                  <w:proofErr w:type="spellEnd"/>
                  <w:r w:rsidRPr="00063577">
                    <w:rPr>
                      <w:rFonts w:asciiTheme="minorHAnsi" w:hAnsiTheme="minorHAnsi" w:cs="Arial"/>
                      <w:color w:val="4F81BD" w:themeColor="accent1"/>
                      <w:sz w:val="18"/>
                      <w:szCs w:val="18"/>
                      <w:lang w:val="en-GB"/>
                    </w:rPr>
                    <w:t xml:space="preserve"> </w:t>
                  </w:r>
                  <w:proofErr w:type="spellStart"/>
                  <w:r w:rsidRPr="00063577">
                    <w:rPr>
                      <w:rFonts w:asciiTheme="minorHAnsi" w:hAnsiTheme="minorHAnsi" w:cs="Arial"/>
                      <w:color w:val="4F81BD" w:themeColor="accent1"/>
                      <w:sz w:val="18"/>
                      <w:szCs w:val="18"/>
                      <w:lang w:val="en-GB"/>
                    </w:rPr>
                    <w:t>miejski</w:t>
                  </w:r>
                  <w:proofErr w:type="spellEnd"/>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EDFD489"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658</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E943D2"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608,21</w:t>
                  </w:r>
                </w:p>
              </w:tc>
            </w:tr>
            <w:tr w:rsidR="00921721" w:rsidRPr="006856C6" w14:paraId="3CAA2ED2"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70F3AC"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elektryczny (średni rozmiar)</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40CC33" w14:textId="77777777" w:rsidR="00921721" w:rsidRPr="00265281" w:rsidRDefault="00921721" w:rsidP="00880D09">
                  <w:pPr>
                    <w:jc w:val="center"/>
                    <w:rPr>
                      <w:rFonts w:asciiTheme="minorHAnsi" w:hAnsiTheme="minorHAnsi" w:cs="Arial"/>
                      <w:color w:val="4F81BD" w:themeColor="accent1"/>
                      <w:sz w:val="18"/>
                      <w:szCs w:val="18"/>
                      <w:lang w:val="en-GB"/>
                    </w:rPr>
                  </w:pPr>
                  <w:proofErr w:type="spellStart"/>
                  <w:r w:rsidRPr="00063577">
                    <w:rPr>
                      <w:rFonts w:asciiTheme="minorHAnsi" w:hAnsiTheme="minorHAnsi" w:cs="Arial"/>
                      <w:color w:val="4F81BD" w:themeColor="accent1"/>
                      <w:sz w:val="18"/>
                      <w:szCs w:val="18"/>
                      <w:lang w:val="en-GB"/>
                    </w:rPr>
                    <w:t>Przeciętnie</w:t>
                  </w:r>
                  <w:proofErr w:type="spellEnd"/>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5E69BA4"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233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EDB79F"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156,03</w:t>
                  </w:r>
                </w:p>
              </w:tc>
            </w:tr>
            <w:tr w:rsidR="00921721" w:rsidRPr="006856C6" w14:paraId="35CA038C"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D30308"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elektryczny (średni rozmiar)</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283475" w14:textId="77777777" w:rsidR="00921721" w:rsidRPr="00265281" w:rsidRDefault="00921721" w:rsidP="00880D09">
                  <w:pPr>
                    <w:jc w:val="center"/>
                    <w:rPr>
                      <w:rFonts w:asciiTheme="minorHAnsi" w:hAnsiTheme="minorHAnsi" w:cs="Arial"/>
                      <w:color w:val="4F81BD" w:themeColor="accent1"/>
                      <w:sz w:val="18"/>
                      <w:szCs w:val="18"/>
                      <w:lang w:val="en-GB"/>
                    </w:rPr>
                  </w:pPr>
                  <w:proofErr w:type="spellStart"/>
                  <w:r w:rsidRPr="00063577">
                    <w:rPr>
                      <w:rFonts w:asciiTheme="minorHAnsi" w:hAnsiTheme="minorHAnsi" w:cs="Arial"/>
                      <w:color w:val="4F81BD" w:themeColor="accent1"/>
                      <w:sz w:val="18"/>
                      <w:szCs w:val="18"/>
                      <w:lang w:val="en-GB"/>
                    </w:rPr>
                    <w:t>Obszar</w:t>
                  </w:r>
                  <w:proofErr w:type="spellEnd"/>
                  <w:r w:rsidRPr="00063577">
                    <w:rPr>
                      <w:rFonts w:asciiTheme="minorHAnsi" w:hAnsiTheme="minorHAnsi" w:cs="Arial"/>
                      <w:color w:val="4F81BD" w:themeColor="accent1"/>
                      <w:sz w:val="18"/>
                      <w:szCs w:val="18"/>
                      <w:lang w:val="en-GB"/>
                    </w:rPr>
                    <w:t xml:space="preserve"> </w:t>
                  </w:r>
                  <w:proofErr w:type="spellStart"/>
                  <w:r w:rsidRPr="00063577">
                    <w:rPr>
                      <w:rFonts w:asciiTheme="minorHAnsi" w:hAnsiTheme="minorHAnsi" w:cs="Arial"/>
                      <w:color w:val="4F81BD" w:themeColor="accent1"/>
                      <w:sz w:val="18"/>
                      <w:szCs w:val="18"/>
                      <w:lang w:val="en-GB"/>
                    </w:rPr>
                    <w:t>miejski</w:t>
                  </w:r>
                  <w:proofErr w:type="spellEnd"/>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2712B39"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203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93DE76"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135,59</w:t>
                  </w:r>
                </w:p>
              </w:tc>
            </w:tr>
            <w:tr w:rsidR="00921721" w:rsidRPr="001569CA" w14:paraId="71C59475"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F6F1EB"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Autobus miejski, hybrydowy diesel +elektryczny (standardowy)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AB98F8"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7181857"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584547">
                    <w:rPr>
                      <w:rFonts w:asciiTheme="minorHAnsi" w:hAnsiTheme="minorHAnsi" w:cs="Arial"/>
                      <w:color w:val="4F81BD" w:themeColor="accent1"/>
                      <w:sz w:val="18"/>
                      <w:szCs w:val="18"/>
                    </w:rPr>
                    <w:t>172</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6AAEEE" w14:textId="77777777" w:rsidR="00921721" w:rsidRPr="003166C6"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2 </w:t>
                  </w:r>
                  <w:r w:rsidRPr="003166C6">
                    <w:rPr>
                      <w:rFonts w:asciiTheme="minorHAnsi" w:hAnsiTheme="minorHAnsi" w:cs="Arial"/>
                      <w:color w:val="4F81BD" w:themeColor="accent1"/>
                      <w:sz w:val="18"/>
                      <w:szCs w:val="18"/>
                    </w:rPr>
                    <w:t>930,20</w:t>
                  </w:r>
                </w:p>
              </w:tc>
            </w:tr>
            <w:tr w:rsidR="00921721" w:rsidRPr="006856C6" w14:paraId="45224EBD" w14:textId="77777777" w:rsidTr="00773CE0">
              <w:trPr>
                <w:trHeight w:val="332"/>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9243B06" w14:textId="77777777" w:rsidR="00921721"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Autobus miejski, elektryczny (standardowy)</w:t>
                  </w:r>
                </w:p>
                <w:p w14:paraId="43DD4EF4" w14:textId="0B6FBFF8" w:rsidR="00773CE0" w:rsidRPr="00584547" w:rsidRDefault="00773CE0" w:rsidP="00880D09">
                  <w:pPr>
                    <w:spacing w:before="20"/>
                    <w:jc w:val="center"/>
                    <w:rPr>
                      <w:rFonts w:asciiTheme="minorHAnsi" w:hAnsiTheme="minorHAnsi" w:cs="Arial"/>
                      <w:color w:val="4F81BD" w:themeColor="accent1"/>
                      <w:sz w:val="18"/>
                      <w:szCs w:val="18"/>
                    </w:rPr>
                  </w:pP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C2AC9A0"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085B094"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584547">
                    <w:rPr>
                      <w:rFonts w:asciiTheme="minorHAnsi" w:hAnsiTheme="minorHAnsi" w:cs="Arial"/>
                      <w:color w:val="4F81BD" w:themeColor="accent1"/>
                      <w:sz w:val="18"/>
                      <w:szCs w:val="18"/>
                    </w:rPr>
                    <w:t>175</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D3F31D" w14:textId="77777777" w:rsidR="00921721" w:rsidRPr="003166C6"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1 </w:t>
                  </w:r>
                  <w:r w:rsidRPr="003166C6">
                    <w:rPr>
                      <w:rFonts w:asciiTheme="minorHAnsi" w:hAnsiTheme="minorHAnsi" w:cs="Arial"/>
                      <w:color w:val="4F81BD" w:themeColor="accent1"/>
                      <w:sz w:val="18"/>
                      <w:szCs w:val="18"/>
                    </w:rPr>
                    <w:t>454,38</w:t>
                  </w:r>
                </w:p>
              </w:tc>
            </w:tr>
          </w:tbl>
          <w:p w14:paraId="50339322" w14:textId="77777777" w:rsidR="00921721" w:rsidRPr="00AC5EF5" w:rsidRDefault="00921721" w:rsidP="00880D09">
            <w:pPr>
              <w:spacing w:after="120"/>
              <w:ind w:right="170"/>
              <w:jc w:val="both"/>
              <w:rPr>
                <w:rFonts w:asciiTheme="minorHAnsi" w:hAnsiTheme="minorHAnsi"/>
                <w:b/>
                <w:i/>
                <w:sz w:val="16"/>
                <w:szCs w:val="16"/>
              </w:rPr>
            </w:pPr>
            <w:r w:rsidRPr="002C6855">
              <w:rPr>
                <w:rFonts w:asciiTheme="minorHAnsi" w:hAnsiTheme="minorHAnsi" w:cs="Arial"/>
                <w:b/>
                <w:i/>
                <w:sz w:val="16"/>
                <w:szCs w:val="16"/>
              </w:rPr>
              <w:lastRenderedPageBreak/>
              <w:t xml:space="preserve">Źródło: </w:t>
            </w:r>
            <w:r w:rsidRPr="00B13338">
              <w:rPr>
                <w:rFonts w:asciiTheme="minorHAnsi" w:hAnsiTheme="minorHAnsi"/>
                <w:b/>
                <w:i/>
                <w:sz w:val="16"/>
                <w:szCs w:val="16"/>
              </w:rPr>
              <w:t>Opracowanie własne CUPT</w:t>
            </w:r>
            <w:r>
              <w:rPr>
                <w:rFonts w:asciiTheme="minorHAnsi" w:hAnsiTheme="minorHAnsi"/>
                <w:b/>
                <w:i/>
                <w:sz w:val="16"/>
                <w:szCs w:val="16"/>
              </w:rPr>
              <w:t>-JASPERS</w:t>
            </w:r>
            <w:r w:rsidRPr="00B13338">
              <w:rPr>
                <w:rFonts w:asciiTheme="minorHAnsi" w:hAnsiTheme="minorHAnsi"/>
                <w:b/>
                <w:i/>
                <w:sz w:val="16"/>
                <w:szCs w:val="16"/>
              </w:rPr>
              <w:t xml:space="preserve"> na podstawie</w:t>
            </w:r>
            <w:r w:rsidRPr="00B13338">
              <w:rPr>
                <w:rFonts w:asciiTheme="minorHAnsi" w:hAnsiTheme="minorHAnsi" w:cs="Arial"/>
                <w:b/>
                <w:i/>
                <w:sz w:val="16"/>
                <w:szCs w:val="16"/>
              </w:rPr>
              <w:t xml:space="preserve"> </w:t>
            </w:r>
            <w:r w:rsidRPr="002C6855">
              <w:rPr>
                <w:rFonts w:asciiTheme="minorHAnsi" w:hAnsiTheme="minorHAnsi" w:cs="Arial"/>
                <w:b/>
                <w:i/>
                <w:sz w:val="16"/>
                <w:szCs w:val="16"/>
              </w:rPr>
              <w:t xml:space="preserve">"EIB Project Carbon </w:t>
            </w:r>
            <w:proofErr w:type="spellStart"/>
            <w:r w:rsidRPr="002C6855">
              <w:rPr>
                <w:rFonts w:asciiTheme="minorHAnsi" w:hAnsiTheme="minorHAnsi" w:cs="Arial"/>
                <w:b/>
                <w:i/>
                <w:sz w:val="16"/>
                <w:szCs w:val="16"/>
              </w:rPr>
              <w:t>Footprint</w:t>
            </w:r>
            <w:proofErr w:type="spellEnd"/>
            <w:r w:rsidRPr="002C6855">
              <w:rPr>
                <w:rFonts w:asciiTheme="minorHAnsi" w:hAnsiTheme="minorHAnsi" w:cs="Arial"/>
                <w:b/>
                <w:i/>
                <w:sz w:val="16"/>
                <w:szCs w:val="16"/>
              </w:rPr>
              <w:t xml:space="preserve"> </w:t>
            </w:r>
            <w:proofErr w:type="spellStart"/>
            <w:r w:rsidRPr="002C6855">
              <w:rPr>
                <w:rFonts w:asciiTheme="minorHAnsi" w:hAnsiTheme="minorHAnsi" w:cs="Arial"/>
                <w:b/>
                <w:i/>
                <w:sz w:val="16"/>
                <w:szCs w:val="16"/>
              </w:rPr>
              <w:t>Methodologies</w:t>
            </w:r>
            <w:proofErr w:type="spellEnd"/>
            <w:r w:rsidRPr="002C6855">
              <w:rPr>
                <w:rFonts w:asciiTheme="minorHAnsi" w:hAnsiTheme="minorHAnsi" w:cs="Arial"/>
                <w:b/>
                <w:i/>
                <w:sz w:val="16"/>
                <w:szCs w:val="16"/>
              </w:rPr>
              <w:t>", lipiec 2020</w:t>
            </w:r>
            <w:r>
              <w:rPr>
                <w:rFonts w:asciiTheme="minorHAnsi" w:hAnsiTheme="minorHAnsi" w:cs="Arial"/>
                <w:b/>
                <w:i/>
                <w:sz w:val="16"/>
                <w:szCs w:val="16"/>
              </w:rPr>
              <w:t>, oraz wskaźnika</w:t>
            </w:r>
            <w:r w:rsidRPr="003A7E7C">
              <w:rPr>
                <w:rFonts w:asciiTheme="minorHAnsi" w:hAnsiTheme="minorHAnsi" w:cs="Arial"/>
                <w:b/>
                <w:i/>
                <w:sz w:val="16"/>
                <w:szCs w:val="16"/>
              </w:rPr>
              <w:t xml:space="preserve"> emisji CO</w:t>
            </w:r>
            <w:r w:rsidRPr="003A7E7C">
              <w:rPr>
                <w:rFonts w:asciiTheme="minorHAnsi" w:hAnsiTheme="minorHAnsi" w:cs="Arial"/>
                <w:b/>
                <w:i/>
                <w:sz w:val="16"/>
                <w:szCs w:val="16"/>
                <w:vertAlign w:val="subscript"/>
              </w:rPr>
              <w:t>2</w:t>
            </w:r>
            <w:r w:rsidRPr="003A7E7C">
              <w:rPr>
                <w:rFonts w:asciiTheme="minorHAnsi" w:hAnsiTheme="minorHAnsi" w:cs="Arial"/>
                <w:b/>
                <w:i/>
                <w:sz w:val="16"/>
                <w:szCs w:val="16"/>
              </w:rPr>
              <w:t xml:space="preserve"> dla odbiorców końcowych sieciowej energii elektrycznej</w:t>
            </w:r>
            <w:r>
              <w:rPr>
                <w:rFonts w:asciiTheme="minorHAnsi" w:hAnsiTheme="minorHAnsi" w:cs="Arial"/>
                <w:b/>
                <w:i/>
                <w:sz w:val="16"/>
                <w:szCs w:val="16"/>
              </w:rPr>
              <w:t xml:space="preserve"> za rok 2019 wg </w:t>
            </w:r>
            <w:proofErr w:type="spellStart"/>
            <w:r w:rsidRPr="004358C0">
              <w:rPr>
                <w:rFonts w:asciiTheme="minorHAnsi" w:hAnsiTheme="minorHAnsi"/>
                <w:b/>
                <w:i/>
                <w:sz w:val="16"/>
                <w:szCs w:val="16"/>
              </w:rPr>
              <w:t>KOBiZE</w:t>
            </w:r>
            <w:proofErr w:type="spellEnd"/>
            <w:r w:rsidRPr="004358C0">
              <w:rPr>
                <w:rFonts w:asciiTheme="minorHAnsi" w:hAnsiTheme="minorHAnsi"/>
                <w:b/>
                <w:i/>
                <w:sz w:val="16"/>
                <w:szCs w:val="16"/>
              </w:rPr>
              <w:t>.</w:t>
            </w:r>
            <w:r w:rsidRPr="00AC5EF5">
              <w:rPr>
                <w:rFonts w:asciiTheme="minorHAnsi" w:hAnsiTheme="minorHAnsi"/>
                <w:b/>
                <w:i/>
                <w:sz w:val="16"/>
                <w:szCs w:val="16"/>
              </w:rPr>
              <w:t xml:space="preserve"> </w:t>
            </w:r>
          </w:p>
          <w:p w14:paraId="65A05D76" w14:textId="77777777" w:rsidR="00921721" w:rsidRPr="002C6855" w:rsidRDefault="00921721" w:rsidP="00880D09">
            <w:pPr>
              <w:spacing w:after="120"/>
              <w:ind w:right="170"/>
              <w:jc w:val="both"/>
              <w:rPr>
                <w:rFonts w:asciiTheme="minorHAnsi" w:hAnsiTheme="minorHAnsi" w:cs="Arial"/>
                <w:b/>
                <w:i/>
                <w:sz w:val="16"/>
                <w:szCs w:val="16"/>
              </w:rPr>
            </w:pPr>
            <w:r>
              <w:rPr>
                <w:rFonts w:asciiTheme="minorHAnsi" w:hAnsiTheme="minorHAnsi" w:cs="Arial"/>
                <w:b/>
                <w:i/>
                <w:sz w:val="16"/>
                <w:szCs w:val="16"/>
              </w:rPr>
              <w:t>(*) </w:t>
            </w:r>
            <w:r w:rsidRPr="002C6855">
              <w:rPr>
                <w:rFonts w:asciiTheme="minorHAnsi" w:hAnsiTheme="minorHAnsi" w:cs="Arial"/>
                <w:b/>
                <w:i/>
                <w:sz w:val="16"/>
                <w:szCs w:val="16"/>
              </w:rPr>
              <w:t xml:space="preserve">Łącznie emisje związane z wytwarzaniem i </w:t>
            </w:r>
            <w:proofErr w:type="spellStart"/>
            <w:r w:rsidRPr="002C6855">
              <w:rPr>
                <w:rFonts w:asciiTheme="minorHAnsi" w:hAnsiTheme="minorHAnsi" w:cs="Arial"/>
                <w:b/>
                <w:i/>
                <w:sz w:val="16"/>
                <w:szCs w:val="16"/>
              </w:rPr>
              <w:t>przesyłem</w:t>
            </w:r>
            <w:proofErr w:type="spellEnd"/>
            <w:r w:rsidRPr="002C6855">
              <w:rPr>
                <w:rFonts w:asciiTheme="minorHAnsi" w:hAnsiTheme="minorHAnsi" w:cs="Arial"/>
                <w:b/>
                <w:i/>
                <w:sz w:val="16"/>
                <w:szCs w:val="16"/>
              </w:rPr>
              <w:t xml:space="preserve"> energii elektry</w:t>
            </w:r>
            <w:r w:rsidRPr="00F4393F">
              <w:rPr>
                <w:rFonts w:asciiTheme="minorHAnsi" w:hAnsiTheme="minorHAnsi" w:cs="Arial"/>
                <w:b/>
                <w:i/>
                <w:sz w:val="16"/>
                <w:szCs w:val="16"/>
              </w:rPr>
              <w:t>cz</w:t>
            </w:r>
            <w:r w:rsidRPr="002C6855">
              <w:rPr>
                <w:rFonts w:asciiTheme="minorHAnsi" w:hAnsiTheme="minorHAnsi" w:cs="Arial"/>
                <w:b/>
                <w:i/>
                <w:sz w:val="16"/>
                <w:szCs w:val="16"/>
              </w:rPr>
              <w:t>nej sieciowej zużywanej przez pojazd oraz emisje związane ze zużyciem paliwa w pojeździe</w:t>
            </w:r>
          </w:p>
          <w:p w14:paraId="542E571A" w14:textId="77777777" w:rsidR="00921721" w:rsidRPr="00556A54" w:rsidRDefault="00921721" w:rsidP="00880D09">
            <w:pPr>
              <w:keepNext/>
              <w:spacing w:after="120"/>
              <w:ind w:right="170"/>
              <w:jc w:val="both"/>
              <w:rPr>
                <w:rFonts w:asciiTheme="minorHAnsi" w:hAnsiTheme="minorHAnsi" w:cs="Arial"/>
                <w:sz w:val="20"/>
                <w:szCs w:val="20"/>
                <w:u w:val="single"/>
              </w:rPr>
            </w:pPr>
            <w:bookmarkStart w:id="126" w:name="_Hlk69477227"/>
            <w:r w:rsidRPr="00556A54">
              <w:rPr>
                <w:rFonts w:asciiTheme="minorHAnsi" w:hAnsiTheme="minorHAnsi" w:cs="Arial"/>
                <w:sz w:val="20"/>
                <w:szCs w:val="20"/>
                <w:u w:val="single"/>
              </w:rPr>
              <w:t xml:space="preserve">Emisyjność </w:t>
            </w:r>
            <w:r>
              <w:rPr>
                <w:rFonts w:asciiTheme="minorHAnsi" w:hAnsiTheme="minorHAnsi" w:cs="Arial"/>
                <w:sz w:val="20"/>
                <w:szCs w:val="20"/>
                <w:u w:val="single"/>
              </w:rPr>
              <w:t>gazów cieplarnianych z </w:t>
            </w:r>
            <w:r w:rsidRPr="00556A54">
              <w:rPr>
                <w:rFonts w:asciiTheme="minorHAnsi" w:hAnsiTheme="minorHAnsi" w:cs="Arial"/>
                <w:sz w:val="20"/>
                <w:szCs w:val="20"/>
                <w:u w:val="single"/>
              </w:rPr>
              <w:t xml:space="preserve">wytwarzania </w:t>
            </w:r>
            <w:r>
              <w:rPr>
                <w:rFonts w:asciiTheme="minorHAnsi" w:hAnsiTheme="minorHAnsi" w:cs="Arial"/>
                <w:sz w:val="20"/>
                <w:szCs w:val="20"/>
                <w:u w:val="single"/>
              </w:rPr>
              <w:t xml:space="preserve">sieciowej </w:t>
            </w:r>
            <w:r w:rsidRPr="00556A54">
              <w:rPr>
                <w:rFonts w:asciiTheme="minorHAnsi" w:hAnsiTheme="minorHAnsi" w:cs="Arial"/>
                <w:sz w:val="20"/>
                <w:szCs w:val="20"/>
                <w:u w:val="single"/>
              </w:rPr>
              <w:t>energii elektrycznej do napędzania pojazdów</w:t>
            </w:r>
            <w:r>
              <w:rPr>
                <w:rFonts w:asciiTheme="minorHAnsi" w:hAnsiTheme="minorHAnsi" w:cs="Arial"/>
                <w:sz w:val="20"/>
                <w:szCs w:val="20"/>
                <w:u w:val="single"/>
              </w:rPr>
              <w:t xml:space="preserve"> oraz jej zmienność w czasie</w:t>
            </w:r>
            <w:r w:rsidRPr="00556A54">
              <w:rPr>
                <w:rFonts w:asciiTheme="minorHAnsi" w:hAnsiTheme="minorHAnsi" w:cs="Arial"/>
                <w:sz w:val="20"/>
                <w:szCs w:val="20"/>
                <w:u w:val="single"/>
              </w:rPr>
              <w:t xml:space="preserve"> </w:t>
            </w:r>
          </w:p>
          <w:p w14:paraId="10D0551E"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Jak opisano powyżej, obliczony został współczynnik emisji gazów cieplarnianych dla energii elektrycznej z krajowej sieci elektroenergetycznej dla aktualnego roku bazowego (2021) uwzględniając aktualną strukturę paliwową energetyki w Polsce. Opracowano także projekcję tego </w:t>
            </w:r>
            <w:r w:rsidRPr="00ED063F">
              <w:rPr>
                <w:rFonts w:asciiTheme="minorHAnsi" w:hAnsiTheme="minorHAnsi" w:cs="Arial"/>
                <w:sz w:val="20"/>
                <w:szCs w:val="20"/>
              </w:rPr>
              <w:t xml:space="preserve">wskaźnika na podstawie przyjętej Polityki energetycznej Polski do roku 2040 </w:t>
            </w:r>
            <w:r w:rsidRPr="00ED063F">
              <w:rPr>
                <w:rFonts w:asciiTheme="minorHAnsi" w:hAnsiTheme="minorHAnsi"/>
                <w:sz w:val="20"/>
                <w:szCs w:val="20"/>
              </w:rPr>
              <w:t>(Polit</w:t>
            </w:r>
            <w:r>
              <w:rPr>
                <w:rFonts w:asciiTheme="minorHAnsi" w:hAnsiTheme="minorHAnsi"/>
                <w:sz w:val="20"/>
                <w:szCs w:val="20"/>
              </w:rPr>
              <w:t>yka Energetyczna Polski do 2040 </w:t>
            </w:r>
            <w:r w:rsidRPr="00ED063F">
              <w:rPr>
                <w:rFonts w:asciiTheme="minorHAnsi" w:hAnsiTheme="minorHAnsi"/>
                <w:sz w:val="20"/>
                <w:szCs w:val="20"/>
              </w:rPr>
              <w:t>r.) z</w:t>
            </w:r>
            <w:r>
              <w:rPr>
                <w:rFonts w:asciiTheme="minorHAnsi" w:hAnsiTheme="minorHAnsi"/>
                <w:sz w:val="20"/>
                <w:szCs w:val="20"/>
              </w:rPr>
              <w:t xml:space="preserve"> 2 lutego 2021 r</w:t>
            </w:r>
            <w:r w:rsidRPr="00ED063F">
              <w:rPr>
                <w:rFonts w:asciiTheme="minorHAnsi" w:hAnsiTheme="minorHAnsi" w:cs="Arial"/>
                <w:sz w:val="20"/>
                <w:szCs w:val="20"/>
              </w:rPr>
              <w:t>. Dokument ten wyznacza kierunki działań dla osiągnięcia celów klimatycznych poprzez zwiększanie udziału źródeł odnawialnych i </w:t>
            </w:r>
            <w:proofErr w:type="spellStart"/>
            <w:r w:rsidRPr="00ED063F">
              <w:rPr>
                <w:rFonts w:asciiTheme="minorHAnsi" w:hAnsiTheme="minorHAnsi" w:cs="Arial"/>
                <w:sz w:val="20"/>
                <w:szCs w:val="20"/>
              </w:rPr>
              <w:t>bezemisyjnych</w:t>
            </w:r>
            <w:proofErr w:type="spellEnd"/>
            <w:r>
              <w:rPr>
                <w:rFonts w:asciiTheme="minorHAnsi" w:hAnsiTheme="minorHAnsi" w:cs="Arial"/>
                <w:sz w:val="20"/>
                <w:szCs w:val="20"/>
              </w:rPr>
              <w:t xml:space="preserve"> w wytwarzaniu energii elektrycznej, co prowadzi do zmniejszania ilości energii wytwarzanej z paliw kopalnych (węgla kamiennego i brunatnego). </w:t>
            </w:r>
          </w:p>
          <w:p w14:paraId="235E1D1E" w14:textId="77777777" w:rsidR="00921721" w:rsidRDefault="00921721" w:rsidP="00880D09">
            <w:pPr>
              <w:jc w:val="both"/>
              <w:rPr>
                <w:rStyle w:val="jlqj4b"/>
                <w:rFonts w:asciiTheme="minorHAnsi" w:hAnsiTheme="minorHAnsi" w:cstheme="minorHAnsi"/>
                <w:color w:val="000000"/>
                <w:sz w:val="20"/>
                <w:szCs w:val="20"/>
              </w:rPr>
            </w:pPr>
            <w:r w:rsidRPr="00ED063F">
              <w:rPr>
                <w:rStyle w:val="jlqj4b"/>
                <w:rFonts w:asciiTheme="minorHAnsi" w:hAnsiTheme="minorHAnsi" w:cstheme="minorHAnsi"/>
                <w:color w:val="000000"/>
                <w:sz w:val="20"/>
                <w:szCs w:val="20"/>
              </w:rPr>
              <w:t xml:space="preserve">Na tej podstawie poniższa tabela przedstawia </w:t>
            </w:r>
            <w:r>
              <w:rPr>
                <w:rStyle w:val="jlqj4b"/>
                <w:rFonts w:asciiTheme="minorHAnsi" w:hAnsiTheme="minorHAnsi" w:cstheme="minorHAnsi"/>
                <w:color w:val="000000"/>
                <w:sz w:val="20"/>
                <w:szCs w:val="20"/>
              </w:rPr>
              <w:t xml:space="preserve">prognozę </w:t>
            </w:r>
            <w:r w:rsidRPr="00ED063F">
              <w:rPr>
                <w:rStyle w:val="jlqj4b"/>
                <w:rFonts w:asciiTheme="minorHAnsi" w:hAnsiTheme="minorHAnsi" w:cstheme="minorHAnsi"/>
                <w:color w:val="000000"/>
                <w:sz w:val="20"/>
                <w:szCs w:val="20"/>
              </w:rPr>
              <w:t xml:space="preserve">krajowego wskaźnika emisji </w:t>
            </w:r>
            <w:r>
              <w:rPr>
                <w:rStyle w:val="jlqj4b"/>
                <w:rFonts w:asciiTheme="minorHAnsi" w:hAnsiTheme="minorHAnsi" w:cstheme="minorHAnsi"/>
                <w:color w:val="000000"/>
                <w:sz w:val="20"/>
                <w:szCs w:val="20"/>
              </w:rPr>
              <w:t xml:space="preserve">gazów cieplarnianych </w:t>
            </w:r>
            <w:r w:rsidRPr="00381AFC">
              <w:rPr>
                <w:rFonts w:asciiTheme="minorHAnsi" w:hAnsiTheme="minorHAnsi" w:cs="Arial"/>
                <w:sz w:val="20"/>
                <w:szCs w:val="20"/>
              </w:rPr>
              <w:t xml:space="preserve">z wytwarzania sieciowej </w:t>
            </w:r>
            <w:r w:rsidRPr="00381AFC">
              <w:rPr>
                <w:rStyle w:val="jlqj4b"/>
                <w:rFonts w:asciiTheme="minorHAnsi" w:hAnsiTheme="minorHAnsi" w:cstheme="minorHAnsi"/>
                <w:color w:val="000000"/>
                <w:sz w:val="20"/>
                <w:szCs w:val="20"/>
              </w:rPr>
              <w:t>energii</w:t>
            </w:r>
            <w:r w:rsidRPr="00ED063F">
              <w:rPr>
                <w:rStyle w:val="jlqj4b"/>
                <w:rFonts w:asciiTheme="minorHAnsi" w:hAnsiTheme="minorHAnsi" w:cstheme="minorHAnsi"/>
                <w:color w:val="000000"/>
                <w:sz w:val="20"/>
                <w:szCs w:val="20"/>
              </w:rPr>
              <w:t xml:space="preserve"> elektrycznej</w:t>
            </w:r>
            <w:r>
              <w:rPr>
                <w:rStyle w:val="jlqj4b"/>
                <w:rFonts w:asciiTheme="minorHAnsi" w:hAnsiTheme="minorHAnsi" w:cstheme="minorHAnsi"/>
                <w:color w:val="000000"/>
                <w:sz w:val="20"/>
                <w:szCs w:val="20"/>
              </w:rPr>
              <w:t>:</w:t>
            </w:r>
          </w:p>
          <w:tbl>
            <w:tblPr>
              <w:tblW w:w="6630" w:type="dxa"/>
              <w:tblLayout w:type="fixed"/>
              <w:tblLook w:val="04A0" w:firstRow="1" w:lastRow="0" w:firstColumn="1" w:lastColumn="0" w:noHBand="0" w:noVBand="1"/>
            </w:tblPr>
            <w:tblGrid>
              <w:gridCol w:w="1105"/>
              <w:gridCol w:w="1105"/>
              <w:gridCol w:w="1105"/>
              <w:gridCol w:w="1105"/>
              <w:gridCol w:w="1105"/>
              <w:gridCol w:w="1105"/>
            </w:tblGrid>
            <w:tr w:rsidR="00921721" w:rsidRPr="00ED063F" w14:paraId="7D390BA6" w14:textId="77777777" w:rsidTr="00880D09">
              <w:trPr>
                <w:trHeight w:hRule="exact" w:val="373"/>
              </w:trPr>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C8FCABB"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Rok</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616909"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2021</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0756E9"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2025</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539DFDE9"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2030</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F22C89B"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2035</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2476D0E8"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2040</w:t>
                  </w:r>
                </w:p>
              </w:tc>
            </w:tr>
            <w:tr w:rsidR="00921721" w:rsidRPr="00ED063F" w14:paraId="6A44BE06" w14:textId="77777777" w:rsidTr="00880D09">
              <w:trPr>
                <w:trHeight w:val="125"/>
              </w:trPr>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80E86D" w14:textId="77777777" w:rsidR="00921721" w:rsidRPr="00ED063F"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rPr>
                  </w:pPr>
                  <w:r>
                    <w:rPr>
                      <w:rFonts w:asciiTheme="minorHAnsi" w:hAnsiTheme="minorHAnsi"/>
                      <w:color w:val="4F81BD" w:themeColor="accent1"/>
                      <w:sz w:val="18"/>
                    </w:rPr>
                    <w:t>g</w:t>
                  </w:r>
                  <w:r w:rsidRPr="00ED063F">
                    <w:rPr>
                      <w:rFonts w:asciiTheme="minorHAnsi" w:hAnsiTheme="minorHAnsi"/>
                      <w:color w:val="4F81BD" w:themeColor="accent1"/>
                      <w:sz w:val="18"/>
                    </w:rPr>
                    <w:t>CO</w:t>
                  </w:r>
                  <w:r w:rsidRPr="00ED063F">
                    <w:rPr>
                      <w:rFonts w:asciiTheme="minorHAnsi" w:hAnsiTheme="minorHAnsi"/>
                      <w:color w:val="4F81BD" w:themeColor="accent1"/>
                      <w:sz w:val="18"/>
                      <w:vertAlign w:val="subscript"/>
                    </w:rPr>
                    <w:t>2</w:t>
                  </w:r>
                  <w:r w:rsidRPr="00ED063F">
                    <w:rPr>
                      <w:rFonts w:asciiTheme="minorHAnsi" w:hAnsiTheme="minorHAnsi"/>
                      <w:color w:val="4F81BD" w:themeColor="accent1"/>
                      <w:sz w:val="18"/>
                    </w:rPr>
                    <w:t>e</w:t>
                  </w:r>
                  <w:r>
                    <w:rPr>
                      <w:rFonts w:asciiTheme="minorHAnsi" w:hAnsiTheme="minorHAnsi"/>
                      <w:color w:val="4F81BD" w:themeColor="accent1"/>
                      <w:sz w:val="18"/>
                    </w:rPr>
                    <w:t xml:space="preserve">/ kWh </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6160A9"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668</w:t>
                  </w:r>
                  <w:r>
                    <w:rPr>
                      <w:rFonts w:asciiTheme="minorHAnsi" w:hAnsiTheme="minorHAnsi"/>
                      <w:color w:val="4F81BD" w:themeColor="accent1"/>
                      <w:sz w:val="18"/>
                    </w:rPr>
                    <w:t>,</w:t>
                  </w:r>
                  <w:r w:rsidRPr="00ED063F">
                    <w:rPr>
                      <w:rFonts w:asciiTheme="minorHAnsi" w:hAnsiTheme="minorHAnsi"/>
                      <w:color w:val="4F81BD" w:themeColor="accent1"/>
                      <w:sz w:val="18"/>
                    </w:rPr>
                    <w:t>68</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C5FCAC"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645</w:t>
                  </w:r>
                  <w:r>
                    <w:rPr>
                      <w:rFonts w:asciiTheme="minorHAnsi" w:hAnsiTheme="minorHAnsi"/>
                      <w:color w:val="4F81BD" w:themeColor="accent1"/>
                      <w:sz w:val="18"/>
                    </w:rPr>
                    <w:t>,</w:t>
                  </w:r>
                  <w:r w:rsidRPr="00ED063F">
                    <w:rPr>
                      <w:rFonts w:asciiTheme="minorHAnsi" w:hAnsiTheme="minorHAnsi"/>
                      <w:color w:val="4F81BD" w:themeColor="accent1"/>
                      <w:sz w:val="18"/>
                    </w:rPr>
                    <w:t>57</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7B450E"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579</w:t>
                  </w:r>
                  <w:r>
                    <w:rPr>
                      <w:rFonts w:asciiTheme="minorHAnsi" w:hAnsiTheme="minorHAnsi"/>
                      <w:color w:val="4F81BD" w:themeColor="accent1"/>
                      <w:sz w:val="18"/>
                    </w:rPr>
                    <w:t>,</w:t>
                  </w:r>
                  <w:r w:rsidRPr="00ED063F">
                    <w:rPr>
                      <w:rFonts w:asciiTheme="minorHAnsi" w:hAnsiTheme="minorHAnsi"/>
                      <w:color w:val="4F81BD" w:themeColor="accent1"/>
                      <w:sz w:val="18"/>
                    </w:rPr>
                    <w:t>05</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14D338"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446</w:t>
                  </w:r>
                  <w:r>
                    <w:rPr>
                      <w:rFonts w:asciiTheme="minorHAnsi" w:hAnsiTheme="minorHAnsi"/>
                      <w:color w:val="4F81BD" w:themeColor="accent1"/>
                      <w:sz w:val="18"/>
                    </w:rPr>
                    <w:t>,</w:t>
                  </w:r>
                  <w:r w:rsidRPr="00ED063F">
                    <w:rPr>
                      <w:rFonts w:asciiTheme="minorHAnsi" w:hAnsiTheme="minorHAnsi"/>
                      <w:color w:val="4F81BD" w:themeColor="accent1"/>
                      <w:sz w:val="18"/>
                    </w:rPr>
                    <w:t>40</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F800D4"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373</w:t>
                  </w:r>
                  <w:r>
                    <w:rPr>
                      <w:rFonts w:asciiTheme="minorHAnsi" w:hAnsiTheme="minorHAnsi"/>
                      <w:color w:val="4F81BD" w:themeColor="accent1"/>
                      <w:sz w:val="18"/>
                    </w:rPr>
                    <w:t>,</w:t>
                  </w:r>
                  <w:r w:rsidRPr="00ED063F">
                    <w:rPr>
                      <w:rFonts w:asciiTheme="minorHAnsi" w:hAnsiTheme="minorHAnsi"/>
                      <w:color w:val="4F81BD" w:themeColor="accent1"/>
                      <w:sz w:val="18"/>
                    </w:rPr>
                    <w:t>31</w:t>
                  </w:r>
                </w:p>
              </w:tc>
            </w:tr>
          </w:tbl>
          <w:p w14:paraId="6A3AD36E" w14:textId="77777777" w:rsidR="00921721" w:rsidRDefault="00921721" w:rsidP="00880D09">
            <w:pPr>
              <w:spacing w:after="120"/>
              <w:ind w:right="170"/>
              <w:jc w:val="both"/>
              <w:rPr>
                <w:rFonts w:asciiTheme="minorHAnsi" w:hAnsiTheme="minorHAnsi" w:cs="Arial"/>
                <w:sz w:val="20"/>
                <w:szCs w:val="20"/>
              </w:rPr>
            </w:pPr>
          </w:p>
          <w:p w14:paraId="6DCE0856"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Wartości współczynnika dla lat pośrednich szacuje się metodą interpolacji liniowej, a począwszy od roku 2040 wartość współczynnika przyjmuje się na stałym poziomie. Projekcje wartości współczynników emisji, zarówno dla energii elektrycznej z krajowej sieci elektroenergetycznej, jak i dla kategorii elektrycznych pojazdów drogowych wymienionych powyżej, zawiera </w:t>
            </w:r>
            <w:r w:rsidRPr="00B92BFA">
              <w:rPr>
                <w:rFonts w:asciiTheme="minorHAnsi" w:hAnsiTheme="minorHAnsi" w:cs="Arial"/>
                <w:b/>
                <w:i/>
                <w:sz w:val="20"/>
                <w:szCs w:val="20"/>
              </w:rPr>
              <w:t>plik Excel</w:t>
            </w:r>
            <w:r>
              <w:rPr>
                <w:rFonts w:asciiTheme="minorHAnsi" w:hAnsiTheme="minorHAnsi" w:cs="Arial"/>
                <w:sz w:val="20"/>
                <w:szCs w:val="20"/>
              </w:rPr>
              <w:t xml:space="preserve"> opracowany w związku z Niebieskimi Księgami. </w:t>
            </w:r>
          </w:p>
          <w:p w14:paraId="1422C23B" w14:textId="77777777" w:rsidR="00921721" w:rsidRPr="00EC7A83" w:rsidRDefault="00921721" w:rsidP="00880D09">
            <w:pPr>
              <w:spacing w:after="120"/>
              <w:ind w:right="170"/>
              <w:jc w:val="both"/>
              <w:rPr>
                <w:rFonts w:asciiTheme="minorHAnsi" w:hAnsiTheme="minorHAnsi" w:cstheme="minorHAnsi"/>
                <w:sz w:val="20"/>
                <w:szCs w:val="20"/>
              </w:rPr>
            </w:pPr>
            <w:r w:rsidRPr="00EC7A83">
              <w:rPr>
                <w:rStyle w:val="jlqj4b"/>
                <w:rFonts w:asciiTheme="minorHAnsi" w:hAnsiTheme="minorHAnsi" w:cstheme="minorHAnsi"/>
                <w:color w:val="000000"/>
                <w:sz w:val="20"/>
                <w:szCs w:val="20"/>
              </w:rPr>
              <w:t>Powyższe wartości nal</w:t>
            </w:r>
            <w:r>
              <w:rPr>
                <w:rStyle w:val="jlqj4b"/>
                <w:rFonts w:asciiTheme="minorHAnsi" w:hAnsiTheme="minorHAnsi" w:cstheme="minorHAnsi"/>
                <w:color w:val="000000"/>
                <w:sz w:val="20"/>
                <w:szCs w:val="20"/>
              </w:rPr>
              <w:t>eży odnieść do floty pojazdów o </w:t>
            </w:r>
            <w:r w:rsidRPr="00EC7A83">
              <w:rPr>
                <w:rStyle w:val="jlqj4b"/>
                <w:rFonts w:asciiTheme="minorHAnsi" w:hAnsiTheme="minorHAnsi" w:cstheme="minorHAnsi"/>
                <w:color w:val="000000"/>
                <w:sz w:val="20"/>
                <w:szCs w:val="20"/>
              </w:rPr>
              <w:t>napędzie elektrycznym, tj. ele</w:t>
            </w:r>
            <w:r>
              <w:rPr>
                <w:rStyle w:val="jlqj4b"/>
                <w:rFonts w:asciiTheme="minorHAnsi" w:hAnsiTheme="minorHAnsi" w:cstheme="minorHAnsi"/>
                <w:color w:val="000000"/>
                <w:sz w:val="20"/>
                <w:szCs w:val="20"/>
              </w:rPr>
              <w:t>ktrycznych pojazdów drogowych i pociągów, w </w:t>
            </w:r>
            <w:r w:rsidRPr="00EC7A83">
              <w:rPr>
                <w:rStyle w:val="jlqj4b"/>
                <w:rFonts w:asciiTheme="minorHAnsi" w:hAnsiTheme="minorHAnsi" w:cstheme="minorHAnsi"/>
                <w:color w:val="000000"/>
                <w:sz w:val="20"/>
                <w:szCs w:val="20"/>
              </w:rPr>
              <w:t xml:space="preserve">zależności </w:t>
            </w:r>
            <w:r>
              <w:rPr>
                <w:rStyle w:val="jlqj4b"/>
                <w:rFonts w:asciiTheme="minorHAnsi" w:hAnsiTheme="minorHAnsi" w:cstheme="minorHAnsi"/>
                <w:color w:val="000000"/>
                <w:sz w:val="20"/>
                <w:szCs w:val="20"/>
              </w:rPr>
              <w:t xml:space="preserve">od tego, czego dotyczy dany projekt. </w:t>
            </w:r>
          </w:p>
          <w:p w14:paraId="5B17BBE3" w14:textId="77777777" w:rsidR="00921721" w:rsidRPr="006F2D0B" w:rsidRDefault="00921721" w:rsidP="00880D09">
            <w:pPr>
              <w:spacing w:after="120"/>
              <w:ind w:right="170"/>
              <w:jc w:val="both"/>
              <w:rPr>
                <w:rFonts w:asciiTheme="minorHAnsi" w:hAnsiTheme="minorHAnsi" w:cs="Arial"/>
                <w:sz w:val="20"/>
                <w:szCs w:val="20"/>
                <w:u w:val="single"/>
              </w:rPr>
            </w:pPr>
            <w:r w:rsidRPr="006F2D0B">
              <w:rPr>
                <w:rFonts w:asciiTheme="minorHAnsi" w:hAnsiTheme="minorHAnsi" w:cs="Arial"/>
                <w:sz w:val="20"/>
                <w:szCs w:val="20"/>
                <w:u w:val="single"/>
              </w:rPr>
              <w:t>Kategoria LV – skład floty</w:t>
            </w:r>
          </w:p>
          <w:p w14:paraId="388FCA62" w14:textId="77777777" w:rsidR="00921721" w:rsidRPr="003B1925"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lastRenderedPageBreak/>
              <w:t>Współczynniki emisji dla aktualnej floty pojazdów spalinowych przedstawione w powyższej tabeli oparte są na aktualnej strukturze floty pojazdów spalinowych kategorii LV pod względem zużycia rodzajów paliwa; jej skład przyjęto jako stały w </w:t>
            </w:r>
            <w:r w:rsidRPr="005E3E49">
              <w:rPr>
                <w:rFonts w:asciiTheme="minorHAnsi" w:hAnsiTheme="minorHAnsi" w:cs="Arial"/>
                <w:sz w:val="20"/>
                <w:szCs w:val="20"/>
              </w:rPr>
              <w:t>horyzoncie prognozy</w:t>
            </w:r>
            <w:r>
              <w:rPr>
                <w:rFonts w:asciiTheme="minorHAnsi" w:hAnsiTheme="minorHAnsi" w:cs="Arial"/>
                <w:sz w:val="20"/>
                <w:szCs w:val="20"/>
              </w:rPr>
              <w:t>: benzyna (67,9%) i olej napędowy (32,1%). Prognozy ewolucji składu floty do zastosowania przedstawiono powyżej w rozdziale poświęconym kosztom eksploatacji pojazdów.</w:t>
            </w:r>
          </w:p>
          <w:bookmarkEnd w:id="126"/>
          <w:p w14:paraId="7F53E00C" w14:textId="77777777" w:rsidR="00921721" w:rsidRDefault="00921721" w:rsidP="00880D09">
            <w:pPr>
              <w:pStyle w:val="anxnormal"/>
              <w:keepNext/>
              <w:spacing w:after="120"/>
              <w:ind w:left="0"/>
              <w:rPr>
                <w:rFonts w:asciiTheme="minorHAnsi" w:hAnsiTheme="minorHAnsi"/>
                <w:u w:val="single"/>
                <w:lang w:eastAsia="en-US"/>
              </w:rPr>
            </w:pPr>
          </w:p>
          <w:p w14:paraId="4FC73361" w14:textId="77777777" w:rsidR="00921721" w:rsidRPr="00467842" w:rsidRDefault="00921721" w:rsidP="00880D09">
            <w:pPr>
              <w:pStyle w:val="anxnormal"/>
              <w:keepNext/>
              <w:spacing w:after="120"/>
              <w:ind w:left="0"/>
              <w:rPr>
                <w:rFonts w:asciiTheme="minorHAnsi" w:hAnsiTheme="minorHAnsi"/>
                <w:u w:val="single"/>
                <w:lang w:eastAsia="en-US"/>
              </w:rPr>
            </w:pPr>
            <w:r w:rsidRPr="00467842">
              <w:rPr>
                <w:rFonts w:asciiTheme="minorHAnsi" w:hAnsiTheme="minorHAnsi"/>
                <w:u w:val="single"/>
                <w:lang w:eastAsia="en-US"/>
              </w:rPr>
              <w:t>Pociągi</w:t>
            </w:r>
          </w:p>
          <w:p w14:paraId="280AF65E" w14:textId="77777777" w:rsidR="00921721" w:rsidRDefault="00921721" w:rsidP="00880D09">
            <w:pPr>
              <w:pStyle w:val="anxnormal"/>
              <w:spacing w:after="120"/>
              <w:ind w:left="0"/>
              <w:rPr>
                <w:rFonts w:asciiTheme="minorHAnsi" w:hAnsiTheme="minorHAnsi"/>
              </w:rPr>
            </w:pPr>
            <w:r w:rsidRPr="00467842">
              <w:rPr>
                <w:rFonts w:asciiTheme="minorHAnsi" w:hAnsiTheme="minorHAnsi"/>
                <w:lang w:eastAsia="en-US"/>
              </w:rPr>
              <w:t>Poniższe tabele przedstawiają współczynniki emisji gaz</w:t>
            </w:r>
            <w:r>
              <w:rPr>
                <w:rFonts w:asciiTheme="minorHAnsi" w:hAnsiTheme="minorHAnsi"/>
                <w:lang w:eastAsia="en-US"/>
              </w:rPr>
              <w:t xml:space="preserve">ów cieplarnianych dla </w:t>
            </w:r>
            <w:r w:rsidRPr="00EC7A83">
              <w:rPr>
                <w:rFonts w:asciiTheme="minorHAnsi" w:hAnsiTheme="minorHAnsi" w:cstheme="minorHAnsi"/>
                <w:lang w:eastAsia="en-US"/>
              </w:rPr>
              <w:t>pociągów</w:t>
            </w:r>
            <w:r>
              <w:rPr>
                <w:rFonts w:asciiTheme="minorHAnsi" w:hAnsiTheme="minorHAnsi" w:cstheme="minorHAnsi"/>
                <w:lang w:eastAsia="en-US"/>
              </w:rPr>
              <w:t>,</w:t>
            </w:r>
            <w:r w:rsidRPr="00EC7A83">
              <w:rPr>
                <w:rFonts w:asciiTheme="minorHAnsi" w:hAnsiTheme="minorHAnsi" w:cstheme="minorHAnsi"/>
                <w:lang w:eastAsia="en-US"/>
              </w:rPr>
              <w:t xml:space="preserve"> </w:t>
            </w:r>
            <w:r w:rsidRPr="00EC7A83">
              <w:rPr>
                <w:rFonts w:asciiTheme="minorHAnsi" w:hAnsiTheme="minorHAnsi" w:cstheme="minorHAnsi"/>
                <w:color w:val="000000"/>
              </w:rPr>
              <w:t>które wynikają z</w:t>
            </w:r>
            <w:r>
              <w:rPr>
                <w:rFonts w:asciiTheme="minorHAnsi" w:hAnsiTheme="minorHAnsi" w:cstheme="minorHAnsi"/>
                <w:color w:val="000000"/>
              </w:rPr>
              <w:t> </w:t>
            </w:r>
            <w:r w:rsidRPr="00EC7A83">
              <w:rPr>
                <w:rFonts w:asciiTheme="minorHAnsi" w:hAnsiTheme="minorHAnsi" w:cstheme="minorHAnsi"/>
                <w:color w:val="000000"/>
              </w:rPr>
              <w:t>pomnożenia wskaźn</w:t>
            </w:r>
            <w:r>
              <w:rPr>
                <w:rFonts w:asciiTheme="minorHAnsi" w:hAnsiTheme="minorHAnsi" w:cstheme="minorHAnsi"/>
                <w:color w:val="000000"/>
              </w:rPr>
              <w:t>ików zużycia energii (zgodnie z </w:t>
            </w:r>
            <w:r w:rsidRPr="00EC7A83">
              <w:rPr>
                <w:rFonts w:asciiTheme="minorHAnsi" w:hAnsiTheme="minorHAnsi" w:cstheme="minorHAnsi"/>
                <w:color w:val="000000"/>
              </w:rPr>
              <w:t>poniższą tabelą) przez współczynni</w:t>
            </w:r>
            <w:r>
              <w:rPr>
                <w:rFonts w:asciiTheme="minorHAnsi" w:hAnsiTheme="minorHAnsi" w:cstheme="minorHAnsi"/>
                <w:color w:val="000000"/>
              </w:rPr>
              <w:t>k emisji gazów cieplarnianych z </w:t>
            </w:r>
            <w:r w:rsidRPr="00EC7A83">
              <w:rPr>
                <w:rFonts w:asciiTheme="minorHAnsi" w:hAnsiTheme="minorHAnsi" w:cstheme="minorHAnsi"/>
                <w:color w:val="000000"/>
              </w:rPr>
              <w:t>sieci krajowej (tj. 668,68 gCO</w:t>
            </w:r>
            <w:r w:rsidRPr="00506A2F">
              <w:rPr>
                <w:rFonts w:asciiTheme="minorHAnsi" w:hAnsiTheme="minorHAnsi" w:cstheme="minorHAnsi"/>
                <w:color w:val="000000"/>
                <w:vertAlign w:val="subscript"/>
              </w:rPr>
              <w:t>2</w:t>
            </w:r>
            <w:r w:rsidRPr="00EC7A83">
              <w:rPr>
                <w:rFonts w:asciiTheme="minorHAnsi" w:hAnsiTheme="minorHAnsi" w:cstheme="minorHAnsi"/>
                <w:color w:val="000000"/>
              </w:rPr>
              <w:t>/kWh)</w:t>
            </w:r>
            <w:r w:rsidRPr="00EC7A83">
              <w:rPr>
                <w:rFonts w:asciiTheme="minorHAnsi" w:hAnsiTheme="minorHAnsi" w:cstheme="minorHAnsi"/>
                <w:lang w:eastAsia="en-US"/>
              </w:rPr>
              <w:t>.</w:t>
            </w:r>
            <w:r>
              <w:rPr>
                <w:rFonts w:asciiTheme="minorHAnsi" w:hAnsiTheme="minorHAnsi"/>
                <w:lang w:eastAsia="en-US"/>
              </w:rPr>
              <w:t xml:space="preserve"> Wartości współczynników emisji dotyczą </w:t>
            </w:r>
            <w:r>
              <w:rPr>
                <w:rFonts w:asciiTheme="minorHAnsi" w:hAnsiTheme="minorHAnsi"/>
              </w:rPr>
              <w:t xml:space="preserve">aktualnego roku bazowego (2021) </w:t>
            </w:r>
            <w:r w:rsidRPr="00171C62">
              <w:rPr>
                <w:rFonts w:asciiTheme="minorHAnsi" w:hAnsiTheme="minorHAnsi" w:cstheme="minorHAnsi"/>
              </w:rPr>
              <w:t>i uwzględniają aktualn</w:t>
            </w:r>
            <w:r>
              <w:rPr>
                <w:rFonts w:asciiTheme="minorHAnsi" w:hAnsiTheme="minorHAnsi" w:cstheme="minorHAnsi"/>
              </w:rPr>
              <w:t>ą</w:t>
            </w:r>
            <w:r w:rsidRPr="00171C62">
              <w:rPr>
                <w:rFonts w:asciiTheme="minorHAnsi" w:hAnsiTheme="minorHAnsi" w:cstheme="minorHAnsi"/>
              </w:rPr>
              <w:t xml:space="preserve"> </w:t>
            </w:r>
            <w:r>
              <w:rPr>
                <w:rFonts w:asciiTheme="minorHAnsi" w:hAnsiTheme="minorHAnsi"/>
              </w:rPr>
              <w:t>strukturę paliwową energetyki w Polsce.</w:t>
            </w:r>
            <w:r w:rsidRPr="00171C62">
              <w:rPr>
                <w:rFonts w:asciiTheme="minorHAnsi" w:hAnsiTheme="minorHAnsi" w:cstheme="minorHAnsi"/>
              </w:rPr>
              <w:t xml:space="preserve"> </w:t>
            </w:r>
            <w:r>
              <w:rPr>
                <w:rFonts w:asciiTheme="minorHAnsi" w:hAnsiTheme="minorHAnsi" w:cstheme="minorHAnsi"/>
                <w:color w:val="000000"/>
              </w:rPr>
              <w:t>W związku z </w:t>
            </w:r>
            <w:r w:rsidRPr="00171C62">
              <w:rPr>
                <w:rFonts w:asciiTheme="minorHAnsi" w:hAnsiTheme="minorHAnsi" w:cstheme="minorHAnsi"/>
                <w:color w:val="000000"/>
              </w:rPr>
              <w:t xml:space="preserve">tym </w:t>
            </w:r>
            <w:r>
              <w:rPr>
                <w:rFonts w:asciiTheme="minorHAnsi" w:hAnsiTheme="minorHAnsi" w:cstheme="minorHAnsi"/>
                <w:color w:val="000000"/>
              </w:rPr>
              <w:t xml:space="preserve">prognozę </w:t>
            </w:r>
            <w:r w:rsidRPr="00171C62">
              <w:rPr>
                <w:rFonts w:asciiTheme="minorHAnsi" w:hAnsiTheme="minorHAnsi" w:cstheme="minorHAnsi"/>
                <w:color w:val="000000"/>
              </w:rPr>
              <w:t>ewolucji krajowego współczynnika emisji gazów cieplarnian</w:t>
            </w:r>
            <w:r>
              <w:rPr>
                <w:rFonts w:asciiTheme="minorHAnsi" w:hAnsiTheme="minorHAnsi" w:cstheme="minorHAnsi"/>
                <w:color w:val="000000"/>
              </w:rPr>
              <w:t xml:space="preserve">ych </w:t>
            </w:r>
            <w:r w:rsidRPr="00381AFC">
              <w:rPr>
                <w:rFonts w:asciiTheme="minorHAnsi" w:hAnsiTheme="minorHAnsi"/>
              </w:rPr>
              <w:t xml:space="preserve">z wytwarzania sieciowej </w:t>
            </w:r>
            <w:r w:rsidRPr="00381AFC">
              <w:rPr>
                <w:rStyle w:val="jlqj4b"/>
                <w:rFonts w:asciiTheme="minorHAnsi" w:hAnsiTheme="minorHAnsi" w:cstheme="minorHAnsi"/>
                <w:color w:val="000000"/>
              </w:rPr>
              <w:t>energii</w:t>
            </w:r>
            <w:r w:rsidRPr="00ED063F">
              <w:rPr>
                <w:rStyle w:val="jlqj4b"/>
                <w:rFonts w:asciiTheme="minorHAnsi" w:hAnsiTheme="minorHAnsi" w:cstheme="minorHAnsi"/>
                <w:color w:val="000000"/>
              </w:rPr>
              <w:t xml:space="preserve"> elektrycznej</w:t>
            </w:r>
            <w:r>
              <w:rPr>
                <w:rFonts w:asciiTheme="minorHAnsi" w:hAnsiTheme="minorHAnsi" w:cstheme="minorHAnsi"/>
                <w:color w:val="000000"/>
              </w:rPr>
              <w:t xml:space="preserve"> należy również zastosować w </w:t>
            </w:r>
            <w:r w:rsidRPr="00171C62">
              <w:rPr>
                <w:rFonts w:asciiTheme="minorHAnsi" w:hAnsiTheme="minorHAnsi" w:cstheme="minorHAnsi"/>
                <w:color w:val="000000"/>
              </w:rPr>
              <w:t xml:space="preserve">celu uzyskania odpowiednich współczynników emisji gazów cieplarnianych dla poszczególnych rodzajów </w:t>
            </w:r>
            <w:r>
              <w:rPr>
                <w:rFonts w:asciiTheme="minorHAnsi" w:hAnsiTheme="minorHAnsi" w:cstheme="minorHAnsi"/>
                <w:color w:val="000000"/>
              </w:rPr>
              <w:t xml:space="preserve">pociągów w poszczególnych latach okresu referencyjnego analizy. </w:t>
            </w:r>
          </w:p>
          <w:p w14:paraId="479A3DBA" w14:textId="77777777" w:rsidR="00921721" w:rsidRDefault="00921721" w:rsidP="00880D09">
            <w:pPr>
              <w:pStyle w:val="anxnormal"/>
              <w:spacing w:after="120"/>
              <w:ind w:left="0"/>
              <w:rPr>
                <w:rFonts w:asciiTheme="minorHAnsi" w:hAnsiTheme="minorHAnsi"/>
              </w:rPr>
            </w:pPr>
            <w:r>
              <w:rPr>
                <w:rFonts w:asciiTheme="minorHAnsi" w:hAnsiTheme="minorHAnsi"/>
              </w:rPr>
              <w:t xml:space="preserve">Nie dotyczy to pociągów spalinowych. </w:t>
            </w:r>
          </w:p>
          <w:p w14:paraId="033EF0A6" w14:textId="77777777" w:rsidR="00921721" w:rsidRPr="00467842" w:rsidRDefault="00921721" w:rsidP="00880D09">
            <w:pPr>
              <w:pStyle w:val="anxnormal"/>
              <w:spacing w:after="120"/>
              <w:ind w:left="0"/>
              <w:rPr>
                <w:rFonts w:asciiTheme="minorHAnsi" w:hAnsiTheme="minorHAnsi"/>
                <w:lang w:eastAsia="en-US"/>
              </w:rPr>
            </w:pPr>
            <w:r>
              <w:rPr>
                <w:rFonts w:asciiTheme="minorHAnsi" w:hAnsiTheme="minorHAnsi"/>
              </w:rPr>
              <w:t xml:space="preserve">Projekcje wartości współczynników emisji dla pociągów zawiera </w:t>
            </w:r>
            <w:r w:rsidRPr="00B92BFA">
              <w:rPr>
                <w:rFonts w:asciiTheme="minorHAnsi" w:hAnsiTheme="minorHAnsi"/>
                <w:b/>
                <w:i/>
              </w:rPr>
              <w:t>plik Excel</w:t>
            </w:r>
            <w:r>
              <w:rPr>
                <w:rFonts w:asciiTheme="minorHAnsi" w:hAnsiTheme="minorHAnsi"/>
              </w:rPr>
              <w:t xml:space="preserve"> opracowany w związku z Niebieskimi Księgami. </w:t>
            </w:r>
          </w:p>
          <w:tbl>
            <w:tblPr>
              <w:tblW w:w="6691" w:type="dxa"/>
              <w:tblLayout w:type="fixed"/>
              <w:tblLook w:val="04A0" w:firstRow="1" w:lastRow="0" w:firstColumn="1" w:lastColumn="0" w:noHBand="0" w:noVBand="1"/>
            </w:tblPr>
            <w:tblGrid>
              <w:gridCol w:w="1647"/>
              <w:gridCol w:w="2359"/>
              <w:gridCol w:w="1339"/>
              <w:gridCol w:w="1337"/>
              <w:gridCol w:w="9"/>
            </w:tblGrid>
            <w:tr w:rsidR="00921721" w:rsidRPr="00D0310E" w14:paraId="138D50E0" w14:textId="77777777" w:rsidTr="00921721">
              <w:trPr>
                <w:trHeight w:hRule="exact" w:val="1207"/>
              </w:trPr>
              <w:tc>
                <w:tcPr>
                  <w:tcW w:w="164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0A2CF3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roofErr w:type="spellStart"/>
                  <w:r w:rsidRPr="00D0310E">
                    <w:rPr>
                      <w:rFonts w:asciiTheme="minorHAnsi" w:hAnsiTheme="minorHAnsi" w:cs="Arial"/>
                      <w:b/>
                      <w:bCs/>
                      <w:color w:val="FFFFFF"/>
                      <w:sz w:val="18"/>
                      <w:szCs w:val="18"/>
                      <w:lang w:val="en-GB"/>
                    </w:rPr>
                    <w:t>Pociągi</w:t>
                  </w:r>
                  <w:proofErr w:type="spellEnd"/>
                  <w:r w:rsidRPr="00D0310E">
                    <w:rPr>
                      <w:rFonts w:asciiTheme="minorHAnsi" w:hAnsiTheme="minorHAnsi" w:cs="Arial"/>
                      <w:b/>
                      <w:bCs/>
                      <w:color w:val="FFFFFF"/>
                      <w:sz w:val="18"/>
                      <w:szCs w:val="18"/>
                      <w:lang w:val="en-GB"/>
                    </w:rPr>
                    <w:t xml:space="preserve"> </w:t>
                  </w:r>
                  <w:proofErr w:type="spellStart"/>
                  <w:r w:rsidRPr="00D0310E">
                    <w:rPr>
                      <w:rFonts w:asciiTheme="minorHAnsi" w:hAnsiTheme="minorHAnsi" w:cs="Arial"/>
                      <w:b/>
                      <w:bCs/>
                      <w:color w:val="FFFFFF"/>
                      <w:sz w:val="18"/>
                      <w:szCs w:val="18"/>
                      <w:lang w:val="en-GB"/>
                    </w:rPr>
                    <w:t>pasażerskie</w:t>
                  </w:r>
                  <w:proofErr w:type="spellEnd"/>
                </w:p>
              </w:tc>
              <w:tc>
                <w:tcPr>
                  <w:tcW w:w="236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0F56D8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34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2784D2F"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Zużycie energii </w:t>
                  </w:r>
                  <w:r w:rsidRPr="002C6855">
                    <w:rPr>
                      <w:rFonts w:asciiTheme="minorHAnsi" w:hAnsiTheme="minorHAnsi" w:cs="Arial"/>
                      <w:b/>
                      <w:bCs/>
                      <w:color w:val="FFFFFF"/>
                      <w:sz w:val="18"/>
                      <w:szCs w:val="18"/>
                    </w:rPr>
                    <w:br/>
                    <w:t xml:space="preserve">(kWh/ </w:t>
                  </w:r>
                  <w:proofErr w:type="spellStart"/>
                  <w:r>
                    <w:rPr>
                      <w:rFonts w:asciiTheme="minorHAnsi" w:hAnsiTheme="minorHAnsi" w:cs="Arial"/>
                      <w:b/>
                      <w:bCs/>
                      <w:color w:val="FFFFFF"/>
                      <w:sz w:val="18"/>
                      <w:szCs w:val="18"/>
                    </w:rPr>
                    <w:t>miejsco</w:t>
                  </w:r>
                  <w:proofErr w:type="spellEnd"/>
                  <w:r w:rsidRPr="002C6855">
                    <w:rPr>
                      <w:rFonts w:asciiTheme="minorHAnsi" w:hAnsiTheme="minorHAnsi" w:cs="Arial"/>
                      <w:b/>
                      <w:bCs/>
                      <w:color w:val="FFFFFF"/>
                      <w:sz w:val="18"/>
                      <w:szCs w:val="18"/>
                    </w:rPr>
                    <w:t>-km)</w:t>
                  </w:r>
                </w:p>
              </w:tc>
              <w:tc>
                <w:tcPr>
                  <w:tcW w:w="1340"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C35B5D3"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Emisyjność GHG </w:t>
                  </w:r>
                  <w:r>
                    <w:rPr>
                      <w:rFonts w:asciiTheme="minorHAnsi" w:hAnsiTheme="minorHAnsi" w:cs="Arial"/>
                      <w:b/>
                      <w:bCs/>
                      <w:color w:val="FFFFFF"/>
                      <w:sz w:val="18"/>
                      <w:szCs w:val="18"/>
                    </w:rPr>
                    <w:t>2021</w:t>
                  </w:r>
                  <w:r w:rsidRPr="002C6855">
                    <w:rPr>
                      <w:rFonts w:asciiTheme="minorHAnsi" w:hAnsiTheme="minorHAnsi" w:cs="Arial"/>
                      <w:b/>
                      <w:bCs/>
                      <w:color w:val="FFFFFF"/>
                      <w:sz w:val="18"/>
                      <w:szCs w:val="18"/>
                    </w:rPr>
                    <w:t xml:space="preserve">(*) </w:t>
                  </w:r>
                  <w:r w:rsidRPr="002C6855">
                    <w:rPr>
                      <w:rFonts w:asciiTheme="minorHAnsi" w:hAnsiTheme="minorHAnsi" w:cs="Arial"/>
                      <w:b/>
                      <w:bCs/>
                      <w:color w:val="FFFFFF"/>
                      <w:sz w:val="18"/>
                      <w:szCs w:val="18"/>
                    </w:rPr>
                    <w:br/>
                    <w:t>[gCO</w:t>
                  </w:r>
                  <w:r w:rsidRPr="00EF0D43">
                    <w:rPr>
                      <w:rFonts w:asciiTheme="minorHAnsi" w:hAnsiTheme="minorHAnsi" w:cs="Arial"/>
                      <w:b/>
                      <w:bCs/>
                      <w:color w:val="FFFFFF"/>
                      <w:sz w:val="18"/>
                      <w:szCs w:val="18"/>
                      <w:vertAlign w:val="subscript"/>
                    </w:rPr>
                    <w:t>2</w:t>
                  </w:r>
                  <w:r w:rsidRPr="002C6855">
                    <w:rPr>
                      <w:rFonts w:asciiTheme="minorHAnsi" w:hAnsiTheme="minorHAnsi" w:cs="Arial"/>
                      <w:b/>
                      <w:bCs/>
                      <w:color w:val="FFFFFF"/>
                      <w:sz w:val="18"/>
                      <w:szCs w:val="18"/>
                    </w:rPr>
                    <w:t xml:space="preserve">e/ </w:t>
                  </w:r>
                  <w:proofErr w:type="spellStart"/>
                  <w:r>
                    <w:rPr>
                      <w:rFonts w:asciiTheme="minorHAnsi" w:hAnsiTheme="minorHAnsi" w:cs="Arial"/>
                      <w:b/>
                      <w:bCs/>
                      <w:color w:val="FFFFFF"/>
                      <w:sz w:val="18"/>
                      <w:szCs w:val="18"/>
                    </w:rPr>
                    <w:t>miejsco</w:t>
                  </w:r>
                  <w:proofErr w:type="spellEnd"/>
                  <w:r w:rsidRPr="002C6855">
                    <w:rPr>
                      <w:rFonts w:asciiTheme="minorHAnsi" w:hAnsiTheme="minorHAnsi" w:cs="Arial"/>
                      <w:b/>
                      <w:bCs/>
                      <w:color w:val="FFFFFF"/>
                      <w:sz w:val="18"/>
                      <w:szCs w:val="18"/>
                    </w:rPr>
                    <w:t>-km]</w:t>
                  </w:r>
                </w:p>
              </w:tc>
            </w:tr>
            <w:tr w:rsidR="00921721" w:rsidRPr="006856C6" w14:paraId="6E7A87BE" w14:textId="77777777" w:rsidTr="00921721">
              <w:trPr>
                <w:trHeight w:val="271"/>
              </w:trPr>
              <w:tc>
                <w:tcPr>
                  <w:tcW w:w="1649" w:type="dxa"/>
                  <w:vMerge w:val="restart"/>
                  <w:tcBorders>
                    <w:top w:val="single" w:sz="4" w:space="0" w:color="FFFFFF"/>
                    <w:left w:val="single" w:sz="4" w:space="0" w:color="FFFFFF"/>
                    <w:right w:val="nil"/>
                  </w:tcBorders>
                  <w:shd w:val="clear" w:color="auto" w:fill="DBE5F1" w:themeFill="accent1" w:themeFillTint="33"/>
                  <w:vAlign w:val="center"/>
                </w:tcPr>
                <w:p w14:paraId="2F64571A"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roofErr w:type="spellStart"/>
                  <w:r>
                    <w:rPr>
                      <w:rFonts w:asciiTheme="minorHAnsi" w:hAnsiTheme="minorHAnsi" w:cs="Arial"/>
                      <w:color w:val="4F81BD" w:themeColor="accent1"/>
                      <w:sz w:val="18"/>
                      <w:szCs w:val="18"/>
                      <w:lang w:val="en-GB"/>
                    </w:rPr>
                    <w:t>E</w:t>
                  </w:r>
                  <w:r w:rsidRPr="00D0310E">
                    <w:rPr>
                      <w:rFonts w:asciiTheme="minorHAnsi" w:hAnsiTheme="minorHAnsi" w:cs="Arial"/>
                      <w:color w:val="4F81BD" w:themeColor="accent1"/>
                      <w:sz w:val="18"/>
                      <w:szCs w:val="18"/>
                      <w:lang w:val="en-GB"/>
                    </w:rPr>
                    <w:t>lektryczne</w:t>
                  </w:r>
                  <w:proofErr w:type="spellEnd"/>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6E3CFD"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Średnio, wszystkie rodzaje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B2686C3"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031</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0C99F1" w14:textId="77777777" w:rsidR="00921721" w:rsidRPr="00D229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20,43</w:t>
                  </w:r>
                  <w:r>
                    <w:rPr>
                      <w:rFonts w:asciiTheme="minorHAnsi" w:hAnsiTheme="minorHAnsi" w:cs="Arial"/>
                      <w:color w:val="4F81BD" w:themeColor="accent1"/>
                      <w:sz w:val="18"/>
                      <w:szCs w:val="18"/>
                      <w:lang w:val="en-GB"/>
                    </w:rPr>
                    <w:t xml:space="preserve"> </w:t>
                  </w:r>
                </w:p>
              </w:tc>
            </w:tr>
            <w:tr w:rsidR="00921721" w:rsidRPr="006856C6" w14:paraId="59639346"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6DB6720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40F62C"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Regionalne i Podmiejskie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630AD0E"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025</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6BDF55" w14:textId="77777777" w:rsidR="00921721" w:rsidRPr="00D229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16,72</w:t>
                  </w:r>
                  <w:r>
                    <w:rPr>
                      <w:rFonts w:asciiTheme="minorHAnsi" w:hAnsiTheme="minorHAnsi" w:cs="Arial"/>
                      <w:color w:val="4F81BD" w:themeColor="accent1"/>
                      <w:sz w:val="18"/>
                      <w:szCs w:val="18"/>
                      <w:lang w:val="en-GB"/>
                    </w:rPr>
                    <w:t xml:space="preserve"> </w:t>
                  </w:r>
                </w:p>
              </w:tc>
            </w:tr>
            <w:tr w:rsidR="00921721" w:rsidRPr="006856C6" w14:paraId="2429EA66"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5C15C4A3"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2583BF"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Międzyaglomeracyjne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C3C0AC2"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033</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757C2F"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22,29</w:t>
                  </w:r>
                  <w:r>
                    <w:rPr>
                      <w:rFonts w:asciiTheme="minorHAnsi" w:hAnsiTheme="minorHAnsi" w:cs="Arial"/>
                      <w:color w:val="4F81BD" w:themeColor="accent1"/>
                      <w:sz w:val="18"/>
                      <w:szCs w:val="18"/>
                      <w:lang w:val="en-GB"/>
                    </w:rPr>
                    <w:t xml:space="preserve"> </w:t>
                  </w:r>
                </w:p>
              </w:tc>
            </w:tr>
            <w:tr w:rsidR="00921721" w:rsidRPr="006856C6" w14:paraId="0FF3EC90" w14:textId="77777777" w:rsidTr="00921721">
              <w:trPr>
                <w:trHeight w:val="271"/>
              </w:trPr>
              <w:tc>
                <w:tcPr>
                  <w:tcW w:w="1649" w:type="dxa"/>
                  <w:vMerge/>
                  <w:tcBorders>
                    <w:left w:val="single" w:sz="4" w:space="0" w:color="FFFFFF"/>
                    <w:bottom w:val="single" w:sz="4" w:space="0" w:color="FFFFFF"/>
                    <w:right w:val="nil"/>
                  </w:tcBorders>
                  <w:shd w:val="clear" w:color="auto" w:fill="DBE5F1" w:themeFill="accent1" w:themeFillTint="33"/>
                  <w:vAlign w:val="center"/>
                </w:tcPr>
                <w:p w14:paraId="7711FDEE"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477A1E"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Pociągi dużej prędkości</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9247EAE"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031</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1CB260"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20,43</w:t>
                  </w:r>
                  <w:r>
                    <w:rPr>
                      <w:rFonts w:asciiTheme="minorHAnsi" w:hAnsiTheme="minorHAnsi" w:cs="Arial"/>
                      <w:color w:val="4F81BD" w:themeColor="accent1"/>
                      <w:sz w:val="18"/>
                      <w:szCs w:val="18"/>
                      <w:lang w:val="en-GB"/>
                    </w:rPr>
                    <w:t xml:space="preserve"> </w:t>
                  </w:r>
                </w:p>
              </w:tc>
            </w:tr>
            <w:tr w:rsidR="00921721" w:rsidRPr="003E7EB2" w14:paraId="16215334" w14:textId="77777777" w:rsidTr="00921721">
              <w:trPr>
                <w:trHeight w:val="271"/>
              </w:trPr>
              <w:tc>
                <w:tcPr>
                  <w:tcW w:w="1649" w:type="dxa"/>
                  <w:vMerge w:val="restart"/>
                  <w:tcBorders>
                    <w:top w:val="single" w:sz="4" w:space="0" w:color="FFFFFF"/>
                    <w:left w:val="single" w:sz="4" w:space="0" w:color="FFFFFF"/>
                    <w:right w:val="nil"/>
                  </w:tcBorders>
                  <w:shd w:val="clear" w:color="auto" w:fill="DBE5F1" w:themeFill="accent1" w:themeFillTint="33"/>
                  <w:vAlign w:val="center"/>
                </w:tcPr>
                <w:p w14:paraId="1BC7021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A71108"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Średnio, wszystkie rodzaje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04524FD"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072</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A8E9E2"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70,43</w:t>
                  </w:r>
                  <w:r>
                    <w:rPr>
                      <w:rFonts w:asciiTheme="minorHAnsi" w:hAnsiTheme="minorHAnsi" w:cs="Arial"/>
                      <w:color w:val="4F81BD" w:themeColor="accent1"/>
                      <w:sz w:val="18"/>
                      <w:szCs w:val="18"/>
                      <w:lang w:val="en-GB"/>
                    </w:rPr>
                    <w:t xml:space="preserve"> </w:t>
                  </w:r>
                </w:p>
              </w:tc>
            </w:tr>
            <w:tr w:rsidR="00921721" w:rsidRPr="003E7EB2" w14:paraId="73600247"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1781AC0A"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B1AD4F"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Regionalne i Podmiejskie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F5299F3"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061</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E8C87B"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59,34</w:t>
                  </w:r>
                  <w:r>
                    <w:rPr>
                      <w:rFonts w:asciiTheme="minorHAnsi" w:hAnsiTheme="minorHAnsi" w:cs="Arial"/>
                      <w:color w:val="4F81BD" w:themeColor="accent1"/>
                      <w:sz w:val="18"/>
                      <w:szCs w:val="18"/>
                      <w:lang w:val="en-GB"/>
                    </w:rPr>
                    <w:t xml:space="preserve"> </w:t>
                  </w:r>
                </w:p>
              </w:tc>
            </w:tr>
            <w:tr w:rsidR="00921721" w:rsidRPr="003E7EB2" w14:paraId="2CDC4A17"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454457B4"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E55C3F"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Międzyaglomeracyjne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F10BE25" w14:textId="77777777" w:rsidR="00921721" w:rsidRPr="00374624"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086</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5B6270" w14:textId="77777777" w:rsidR="00921721" w:rsidRPr="00374624"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83,61</w:t>
                  </w:r>
                  <w:r>
                    <w:rPr>
                      <w:rFonts w:asciiTheme="minorHAnsi" w:hAnsiTheme="minorHAnsi" w:cs="Arial"/>
                      <w:color w:val="4F81BD" w:themeColor="accent1"/>
                      <w:sz w:val="18"/>
                      <w:szCs w:val="18"/>
                      <w:lang w:val="en-GB"/>
                    </w:rPr>
                    <w:t xml:space="preserve"> </w:t>
                  </w:r>
                </w:p>
              </w:tc>
            </w:tr>
            <w:tr w:rsidR="00921721" w:rsidRPr="00D0310E" w14:paraId="7897E746" w14:textId="77777777" w:rsidTr="00921721">
              <w:trPr>
                <w:gridAfter w:val="1"/>
                <w:wAfter w:w="9" w:type="dxa"/>
                <w:trHeight w:hRule="exact" w:val="946"/>
              </w:trPr>
              <w:tc>
                <w:tcPr>
                  <w:tcW w:w="16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AF19C14"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roofErr w:type="spellStart"/>
                  <w:r w:rsidRPr="00D0310E">
                    <w:rPr>
                      <w:rFonts w:asciiTheme="minorHAnsi" w:hAnsiTheme="minorHAnsi" w:cs="Arial"/>
                      <w:b/>
                      <w:bCs/>
                      <w:color w:val="FFFFFF"/>
                      <w:sz w:val="18"/>
                      <w:szCs w:val="18"/>
                      <w:lang w:val="en-GB"/>
                    </w:rPr>
                    <w:lastRenderedPageBreak/>
                    <w:t>Pociągi</w:t>
                  </w:r>
                  <w:proofErr w:type="spellEnd"/>
                  <w:r w:rsidRPr="00D0310E">
                    <w:rPr>
                      <w:rFonts w:asciiTheme="minorHAnsi" w:hAnsiTheme="minorHAnsi" w:cs="Arial"/>
                      <w:b/>
                      <w:bCs/>
                      <w:color w:val="FFFFFF"/>
                      <w:sz w:val="18"/>
                      <w:szCs w:val="18"/>
                      <w:lang w:val="en-GB"/>
                    </w:rPr>
                    <w:t xml:space="preserve"> </w:t>
                  </w:r>
                  <w:proofErr w:type="spellStart"/>
                  <w:r w:rsidRPr="00D0310E">
                    <w:rPr>
                      <w:rFonts w:asciiTheme="minorHAnsi" w:hAnsiTheme="minorHAnsi" w:cs="Arial"/>
                      <w:b/>
                      <w:bCs/>
                      <w:color w:val="FFFFFF"/>
                      <w:sz w:val="18"/>
                      <w:szCs w:val="18"/>
                      <w:lang w:val="en-GB"/>
                    </w:rPr>
                    <w:t>towarowe</w:t>
                  </w:r>
                  <w:proofErr w:type="spellEnd"/>
                </w:p>
              </w:tc>
              <w:tc>
                <w:tcPr>
                  <w:tcW w:w="235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1FD96F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33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8944FC8"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Zużycie energii </w:t>
                  </w:r>
                  <w:r w:rsidRPr="002C6855">
                    <w:rPr>
                      <w:rFonts w:asciiTheme="minorHAnsi" w:hAnsiTheme="minorHAnsi" w:cs="Arial"/>
                      <w:b/>
                      <w:bCs/>
                      <w:color w:val="FFFFFF"/>
                      <w:sz w:val="18"/>
                      <w:szCs w:val="18"/>
                    </w:rPr>
                    <w:br/>
                    <w:t xml:space="preserve">(kWh/ </w:t>
                  </w:r>
                  <w:proofErr w:type="spellStart"/>
                  <w:r w:rsidRPr="002C6855">
                    <w:rPr>
                      <w:rFonts w:asciiTheme="minorHAnsi" w:hAnsiTheme="minorHAnsi" w:cs="Arial"/>
                      <w:b/>
                      <w:bCs/>
                      <w:color w:val="FFFFFF"/>
                      <w:sz w:val="18"/>
                      <w:szCs w:val="18"/>
                    </w:rPr>
                    <w:t>poc</w:t>
                  </w:r>
                  <w:proofErr w:type="spellEnd"/>
                  <w:r w:rsidRPr="002C6855">
                    <w:rPr>
                      <w:rFonts w:asciiTheme="minorHAnsi" w:hAnsiTheme="minorHAnsi" w:cs="Arial"/>
                      <w:b/>
                      <w:bCs/>
                      <w:color w:val="FFFFFF"/>
                      <w:sz w:val="18"/>
                      <w:szCs w:val="18"/>
                    </w:rPr>
                    <w:t>-km)</w:t>
                  </w:r>
                </w:p>
              </w:tc>
              <w:tc>
                <w:tcPr>
                  <w:tcW w:w="13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C54FEC"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Emisyjność GHG </w:t>
                  </w:r>
                  <w:r>
                    <w:rPr>
                      <w:rFonts w:asciiTheme="minorHAnsi" w:hAnsiTheme="minorHAnsi" w:cs="Arial"/>
                      <w:b/>
                      <w:bCs/>
                      <w:color w:val="FFFFFF"/>
                      <w:sz w:val="18"/>
                      <w:szCs w:val="18"/>
                    </w:rPr>
                    <w:t>2021</w:t>
                  </w:r>
                  <w:r w:rsidRPr="002C6855">
                    <w:rPr>
                      <w:rFonts w:asciiTheme="minorHAnsi" w:hAnsiTheme="minorHAnsi" w:cs="Arial"/>
                      <w:b/>
                      <w:bCs/>
                      <w:color w:val="FFFFFF"/>
                      <w:sz w:val="18"/>
                      <w:szCs w:val="18"/>
                    </w:rPr>
                    <w:t xml:space="preserve">(*) </w:t>
                  </w:r>
                  <w:r w:rsidRPr="002C6855">
                    <w:rPr>
                      <w:rFonts w:asciiTheme="minorHAnsi" w:hAnsiTheme="minorHAnsi" w:cs="Arial"/>
                      <w:b/>
                      <w:bCs/>
                      <w:color w:val="FFFFFF"/>
                      <w:sz w:val="18"/>
                      <w:szCs w:val="18"/>
                    </w:rPr>
                    <w:br/>
                    <w:t>[gCO</w:t>
                  </w:r>
                  <w:r w:rsidRPr="00EF0D43">
                    <w:rPr>
                      <w:rFonts w:asciiTheme="minorHAnsi" w:hAnsiTheme="minorHAnsi" w:cs="Arial"/>
                      <w:b/>
                      <w:bCs/>
                      <w:color w:val="FFFFFF"/>
                      <w:sz w:val="18"/>
                      <w:szCs w:val="18"/>
                      <w:vertAlign w:val="subscript"/>
                    </w:rPr>
                    <w:t>2</w:t>
                  </w:r>
                  <w:r w:rsidRPr="002C6855">
                    <w:rPr>
                      <w:rFonts w:asciiTheme="minorHAnsi" w:hAnsiTheme="minorHAnsi" w:cs="Arial"/>
                      <w:b/>
                      <w:bCs/>
                      <w:color w:val="FFFFFF"/>
                      <w:sz w:val="18"/>
                      <w:szCs w:val="18"/>
                    </w:rPr>
                    <w:t xml:space="preserve">e/ </w:t>
                  </w:r>
                  <w:proofErr w:type="spellStart"/>
                  <w:r w:rsidRPr="002C6855">
                    <w:rPr>
                      <w:rFonts w:asciiTheme="minorHAnsi" w:hAnsiTheme="minorHAnsi" w:cs="Arial"/>
                      <w:b/>
                      <w:bCs/>
                      <w:color w:val="FFFFFF"/>
                      <w:sz w:val="18"/>
                      <w:szCs w:val="18"/>
                    </w:rPr>
                    <w:t>poc</w:t>
                  </w:r>
                  <w:proofErr w:type="spellEnd"/>
                  <w:r w:rsidRPr="002C6855">
                    <w:rPr>
                      <w:rFonts w:asciiTheme="minorHAnsi" w:hAnsiTheme="minorHAnsi" w:cs="Arial"/>
                      <w:b/>
                      <w:bCs/>
                      <w:color w:val="FFFFFF"/>
                      <w:sz w:val="18"/>
                      <w:szCs w:val="18"/>
                    </w:rPr>
                    <w:t>-km]</w:t>
                  </w:r>
                </w:p>
              </w:tc>
            </w:tr>
            <w:tr w:rsidR="00921721" w:rsidRPr="003E7EB2" w14:paraId="58799D82" w14:textId="77777777" w:rsidTr="00921721">
              <w:trPr>
                <w:gridAfter w:val="1"/>
                <w:wAfter w:w="9" w:type="dxa"/>
                <w:trHeight w:val="247"/>
              </w:trPr>
              <w:tc>
                <w:tcPr>
                  <w:tcW w:w="1647" w:type="dxa"/>
                  <w:vMerge w:val="restart"/>
                  <w:tcBorders>
                    <w:top w:val="single" w:sz="4" w:space="0" w:color="FFFFFF"/>
                    <w:left w:val="single" w:sz="4" w:space="0" w:color="FFFFFF"/>
                    <w:right w:val="nil"/>
                  </w:tcBorders>
                  <w:shd w:val="clear" w:color="auto" w:fill="DBE5F1" w:themeFill="accent1" w:themeFillTint="33"/>
                  <w:vAlign w:val="center"/>
                </w:tcPr>
                <w:p w14:paraId="769060C3"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roofErr w:type="spellStart"/>
                  <w:r>
                    <w:rPr>
                      <w:rFonts w:asciiTheme="minorHAnsi" w:hAnsiTheme="minorHAnsi" w:cs="Arial"/>
                      <w:color w:val="4F81BD" w:themeColor="accent1"/>
                      <w:sz w:val="18"/>
                      <w:szCs w:val="18"/>
                      <w:lang w:val="en-GB"/>
                    </w:rPr>
                    <w:t>E</w:t>
                  </w:r>
                  <w:r w:rsidRPr="00D0310E">
                    <w:rPr>
                      <w:rFonts w:asciiTheme="minorHAnsi" w:hAnsiTheme="minorHAnsi" w:cs="Arial"/>
                      <w:color w:val="4F81BD" w:themeColor="accent1"/>
                      <w:sz w:val="18"/>
                      <w:szCs w:val="18"/>
                      <w:lang w:val="en-GB"/>
                    </w:rPr>
                    <w:t>lektryczne</w:t>
                  </w:r>
                  <w:proofErr w:type="spellEnd"/>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DD0E41"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Średnio, wszystkie rodzaje </w:t>
                  </w:r>
                  <w:r w:rsidRPr="002C6855">
                    <w:rPr>
                      <w:rFonts w:asciiTheme="minorHAnsi" w:hAnsiTheme="minorHAnsi" w:cs="Arial"/>
                      <w:color w:val="4F81BD" w:themeColor="accent1"/>
                      <w:sz w:val="18"/>
                      <w:szCs w:val="18"/>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A789F5F" w14:textId="77777777" w:rsidR="00921721" w:rsidRPr="0010476A"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86A520" w14:textId="77777777" w:rsidR="00921721" w:rsidRPr="0010476A"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 </w:t>
                  </w:r>
                  <w:r w:rsidRPr="001F3A35">
                    <w:rPr>
                      <w:rFonts w:asciiTheme="minorHAnsi" w:hAnsiTheme="minorHAnsi" w:cs="Arial"/>
                      <w:color w:val="4F81BD" w:themeColor="accent1"/>
                      <w:sz w:val="18"/>
                      <w:szCs w:val="18"/>
                      <w:lang w:val="en-GB"/>
                    </w:rPr>
                    <w:t xml:space="preserve">107,53 </w:t>
                  </w:r>
                </w:p>
              </w:tc>
            </w:tr>
            <w:tr w:rsidR="00921721" w:rsidRPr="003E7EB2" w14:paraId="21DA3661"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4C9C58BF" w14:textId="77777777" w:rsidR="00921721" w:rsidRPr="003E7EB2" w:rsidRDefault="00921721" w:rsidP="00880D09">
                  <w:pPr>
                    <w:spacing w:before="20"/>
                    <w:jc w:val="center"/>
                    <w:rPr>
                      <w:rFonts w:asciiTheme="minorHAnsi" w:hAnsiTheme="minorHAnsi" w:cs="Arial"/>
                      <w:color w:val="4F81BD" w:themeColor="accent1"/>
                      <w:sz w:val="18"/>
                      <w:szCs w:val="18"/>
                      <w:lang w:val="fr-BE"/>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056D08"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 xml:space="preserve">Masowe </w:t>
                  </w:r>
                  <w:r w:rsidRPr="002C6855">
                    <w:rPr>
                      <w:rFonts w:asciiTheme="minorHAnsi" w:hAnsiTheme="minorHAnsi" w:cs="Arial"/>
                      <w:color w:val="4F81BD" w:themeColor="accent1"/>
                      <w:sz w:val="18"/>
                      <w:szCs w:val="18"/>
                      <w:lang w:val="fr-BE"/>
                    </w:rPr>
                    <w:br/>
                    <w:t>(1000t - 18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C3496FC" w14:textId="77777777" w:rsidR="00921721" w:rsidRPr="0010476A"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911B89" w14:textId="77777777" w:rsidR="00921721" w:rsidRPr="0010476A"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 </w:t>
                  </w:r>
                  <w:r w:rsidRPr="001F3A35">
                    <w:rPr>
                      <w:rFonts w:asciiTheme="minorHAnsi" w:hAnsiTheme="minorHAnsi" w:cs="Arial"/>
                      <w:color w:val="4F81BD" w:themeColor="accent1"/>
                      <w:sz w:val="18"/>
                      <w:szCs w:val="18"/>
                      <w:lang w:val="en-GB"/>
                    </w:rPr>
                    <w:t xml:space="preserve">107,53 </w:t>
                  </w:r>
                </w:p>
              </w:tc>
            </w:tr>
            <w:tr w:rsidR="00921721" w:rsidRPr="006856C6" w14:paraId="5CDA8517"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4B64F863" w14:textId="77777777" w:rsidR="00921721" w:rsidRPr="003E7EB2" w:rsidRDefault="00921721" w:rsidP="00880D09">
                  <w:pPr>
                    <w:spacing w:before="20"/>
                    <w:jc w:val="center"/>
                    <w:rPr>
                      <w:rFonts w:asciiTheme="minorHAnsi" w:hAnsiTheme="minorHAnsi" w:cs="Arial"/>
                      <w:color w:val="4F81BD" w:themeColor="accent1"/>
                      <w:sz w:val="18"/>
                      <w:szCs w:val="18"/>
                      <w:lang w:val="fr-BE"/>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99BCF0" w14:textId="77777777" w:rsidR="00921721" w:rsidRPr="003E7EB2"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 xml:space="preserve">Gabarytowe </w:t>
                  </w:r>
                  <w:r w:rsidRPr="002C6855">
                    <w:rPr>
                      <w:rFonts w:asciiTheme="minorHAnsi" w:hAnsiTheme="minorHAnsi" w:cs="Arial"/>
                      <w:color w:val="4F81BD" w:themeColor="accent1"/>
                      <w:sz w:val="18"/>
                      <w:szCs w:val="18"/>
                      <w:lang w:val="fr-BE"/>
                    </w:rPr>
                    <w:br/>
                    <w:t>(1000t - 26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3F22E42"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E5898C"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11 </w:t>
                  </w:r>
                  <w:r w:rsidRPr="001F3A35">
                    <w:rPr>
                      <w:rFonts w:asciiTheme="minorHAnsi" w:hAnsiTheme="minorHAnsi" w:cs="Arial"/>
                      <w:color w:val="4F81BD" w:themeColor="accent1"/>
                      <w:sz w:val="18"/>
                      <w:szCs w:val="18"/>
                      <w:lang w:val="en-GB"/>
                    </w:rPr>
                    <w:t xml:space="preserve">107,53 </w:t>
                  </w:r>
                </w:p>
              </w:tc>
            </w:tr>
            <w:tr w:rsidR="00921721" w:rsidRPr="006856C6" w14:paraId="016BD474" w14:textId="77777777" w:rsidTr="00921721">
              <w:trPr>
                <w:gridAfter w:val="1"/>
                <w:wAfter w:w="9" w:type="dxa"/>
                <w:trHeight w:val="247"/>
              </w:trPr>
              <w:tc>
                <w:tcPr>
                  <w:tcW w:w="1647" w:type="dxa"/>
                  <w:vMerge/>
                  <w:tcBorders>
                    <w:left w:val="single" w:sz="4" w:space="0" w:color="FFFFFF"/>
                    <w:bottom w:val="single" w:sz="4" w:space="0" w:color="FFFFFF"/>
                    <w:right w:val="nil"/>
                  </w:tcBorders>
                  <w:shd w:val="clear" w:color="auto" w:fill="DBE5F1" w:themeFill="accent1" w:themeFillTint="33"/>
                  <w:vAlign w:val="center"/>
                </w:tcPr>
                <w:p w14:paraId="4630BD44"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D9A17C" w14:textId="77777777" w:rsidR="00921721" w:rsidRPr="003E7EB2"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 xml:space="preserve">Kontenerowe </w:t>
                  </w:r>
                  <w:r w:rsidRPr="002C6855">
                    <w:rPr>
                      <w:rFonts w:asciiTheme="minorHAnsi" w:hAnsiTheme="minorHAnsi" w:cs="Arial"/>
                      <w:color w:val="4F81BD" w:themeColor="accent1"/>
                      <w:sz w:val="18"/>
                      <w:szCs w:val="18"/>
                      <w:lang w:val="fr-BE"/>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614EC55"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BB745D"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11 </w:t>
                  </w:r>
                  <w:r w:rsidRPr="001F3A35">
                    <w:rPr>
                      <w:rFonts w:asciiTheme="minorHAnsi" w:hAnsiTheme="minorHAnsi" w:cs="Arial"/>
                      <w:color w:val="4F81BD" w:themeColor="accent1"/>
                      <w:sz w:val="18"/>
                      <w:szCs w:val="18"/>
                      <w:lang w:val="en-GB"/>
                    </w:rPr>
                    <w:t xml:space="preserve">107,53 </w:t>
                  </w:r>
                </w:p>
              </w:tc>
            </w:tr>
            <w:tr w:rsidR="00921721" w:rsidRPr="003D4863" w14:paraId="2C87AFD9" w14:textId="77777777" w:rsidTr="00921721">
              <w:trPr>
                <w:gridAfter w:val="1"/>
                <w:wAfter w:w="9" w:type="dxa"/>
                <w:trHeight w:val="247"/>
              </w:trPr>
              <w:tc>
                <w:tcPr>
                  <w:tcW w:w="1647" w:type="dxa"/>
                  <w:vMerge w:val="restart"/>
                  <w:tcBorders>
                    <w:top w:val="single" w:sz="4" w:space="0" w:color="FFFFFF"/>
                    <w:left w:val="single" w:sz="4" w:space="0" w:color="FFFFFF"/>
                    <w:right w:val="nil"/>
                  </w:tcBorders>
                  <w:shd w:val="clear" w:color="auto" w:fill="DBE5F1" w:themeFill="accent1" w:themeFillTint="33"/>
                  <w:vAlign w:val="center"/>
                </w:tcPr>
                <w:p w14:paraId="20C2104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F6443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Średnio, wszystkie rodzaje </w:t>
                  </w:r>
                  <w:r w:rsidRPr="002C6855">
                    <w:rPr>
                      <w:rFonts w:asciiTheme="minorHAnsi" w:hAnsiTheme="minorHAnsi" w:cs="Arial"/>
                      <w:color w:val="4F81BD" w:themeColor="accent1"/>
                      <w:sz w:val="18"/>
                      <w:szCs w:val="18"/>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5A4A71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AB3E74"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r w:rsidR="00921721" w:rsidRPr="003D4863" w14:paraId="5AB408E8"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6C71EB26" w14:textId="77777777" w:rsidR="00921721" w:rsidRPr="002C6855" w:rsidRDefault="00921721" w:rsidP="00880D09">
                  <w:pPr>
                    <w:spacing w:before="20"/>
                    <w:jc w:val="center"/>
                    <w:rPr>
                      <w:rFonts w:asciiTheme="minorHAnsi" w:hAnsiTheme="minorHAnsi" w:cs="Arial"/>
                      <w:color w:val="4F81BD" w:themeColor="accent1"/>
                      <w:sz w:val="18"/>
                      <w:szCs w:val="18"/>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571068"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Masowe </w:t>
                  </w:r>
                  <w:r w:rsidRPr="002C6855">
                    <w:rPr>
                      <w:rFonts w:asciiTheme="minorHAnsi" w:hAnsiTheme="minorHAnsi" w:cs="Arial"/>
                      <w:color w:val="4F81BD" w:themeColor="accent1"/>
                      <w:sz w:val="18"/>
                      <w:szCs w:val="18"/>
                    </w:rPr>
                    <w:br/>
                    <w:t>(1000t - 18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C1D4C82"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0CF231"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r w:rsidR="00921721" w:rsidRPr="003D4863" w14:paraId="5400A539"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47C69495" w14:textId="77777777" w:rsidR="00921721" w:rsidRPr="002C6855" w:rsidRDefault="00921721" w:rsidP="00880D09">
                  <w:pPr>
                    <w:spacing w:before="20"/>
                    <w:jc w:val="center"/>
                    <w:rPr>
                      <w:rFonts w:asciiTheme="minorHAnsi" w:hAnsiTheme="minorHAnsi" w:cs="Arial"/>
                      <w:color w:val="4F81BD" w:themeColor="accent1"/>
                      <w:sz w:val="18"/>
                      <w:szCs w:val="18"/>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3EEBFA"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Gabarytowe </w:t>
                  </w:r>
                  <w:r w:rsidRPr="002C6855">
                    <w:rPr>
                      <w:rFonts w:asciiTheme="minorHAnsi" w:hAnsiTheme="minorHAnsi" w:cs="Arial"/>
                      <w:color w:val="4F81BD" w:themeColor="accent1"/>
                      <w:sz w:val="18"/>
                      <w:szCs w:val="18"/>
                    </w:rPr>
                    <w:br/>
                    <w:t>(1000t - 26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0EF931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EB8957"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r w:rsidR="00921721" w:rsidRPr="003D4863" w14:paraId="63FA6191" w14:textId="77777777" w:rsidTr="00921721">
              <w:trPr>
                <w:gridAfter w:val="1"/>
                <w:wAfter w:w="9" w:type="dxa"/>
                <w:trHeight w:val="247"/>
              </w:trPr>
              <w:tc>
                <w:tcPr>
                  <w:tcW w:w="1647" w:type="dxa"/>
                  <w:vMerge/>
                  <w:tcBorders>
                    <w:left w:val="single" w:sz="4" w:space="0" w:color="FFFFFF"/>
                    <w:bottom w:val="single" w:sz="4" w:space="0" w:color="FFFFFF"/>
                    <w:right w:val="nil"/>
                  </w:tcBorders>
                  <w:shd w:val="clear" w:color="auto" w:fill="DBE5F1" w:themeFill="accent1" w:themeFillTint="33"/>
                  <w:vAlign w:val="center"/>
                </w:tcPr>
                <w:p w14:paraId="37CF54A6" w14:textId="77777777" w:rsidR="00921721" w:rsidRPr="002C6855" w:rsidRDefault="00921721" w:rsidP="00880D09">
                  <w:pPr>
                    <w:spacing w:before="20"/>
                    <w:jc w:val="center"/>
                    <w:rPr>
                      <w:rFonts w:asciiTheme="minorHAnsi" w:hAnsiTheme="minorHAnsi" w:cs="Arial"/>
                      <w:color w:val="4F81BD" w:themeColor="accent1"/>
                      <w:sz w:val="18"/>
                      <w:szCs w:val="18"/>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EF2F16"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Kontenerowe </w:t>
                  </w:r>
                  <w:r w:rsidRPr="002C6855">
                    <w:rPr>
                      <w:rFonts w:asciiTheme="minorHAnsi" w:hAnsiTheme="minorHAnsi" w:cs="Arial"/>
                      <w:color w:val="4F81BD" w:themeColor="accent1"/>
                      <w:sz w:val="18"/>
                      <w:szCs w:val="18"/>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DEE1D1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DF84E7"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bl>
          <w:p w14:paraId="177DD4BD" w14:textId="77777777" w:rsidR="00921721" w:rsidRDefault="00921721" w:rsidP="00880D09">
            <w:pPr>
              <w:spacing w:after="120"/>
              <w:ind w:right="170"/>
              <w:jc w:val="both"/>
              <w:rPr>
                <w:rFonts w:asciiTheme="minorHAnsi" w:hAnsiTheme="minorHAnsi" w:cs="Arial"/>
                <w:b/>
                <w:i/>
                <w:sz w:val="16"/>
                <w:szCs w:val="16"/>
              </w:rPr>
            </w:pPr>
            <w:r w:rsidRPr="003E7EB2">
              <w:rPr>
                <w:rFonts w:asciiTheme="minorHAnsi" w:hAnsiTheme="minorHAnsi" w:cs="Arial"/>
                <w:b/>
                <w:i/>
                <w:sz w:val="16"/>
                <w:szCs w:val="16"/>
              </w:rPr>
              <w:t xml:space="preserve">Źródło: </w:t>
            </w:r>
            <w:r w:rsidRPr="00B13338">
              <w:rPr>
                <w:rFonts w:asciiTheme="minorHAnsi" w:hAnsiTheme="minorHAnsi"/>
                <w:b/>
                <w:i/>
                <w:sz w:val="16"/>
                <w:szCs w:val="16"/>
              </w:rPr>
              <w:t>Opracowanie własne CUPT na podstawie</w:t>
            </w:r>
            <w:r w:rsidRPr="00B13338">
              <w:rPr>
                <w:rFonts w:asciiTheme="minorHAnsi" w:hAnsiTheme="minorHAnsi" w:cs="Arial"/>
                <w:b/>
                <w:i/>
                <w:sz w:val="16"/>
                <w:szCs w:val="16"/>
              </w:rPr>
              <w:t xml:space="preserve"> </w:t>
            </w:r>
            <w:r w:rsidRPr="003E7EB2">
              <w:rPr>
                <w:rFonts w:asciiTheme="minorHAnsi" w:hAnsiTheme="minorHAnsi" w:cs="Arial"/>
                <w:b/>
                <w:i/>
                <w:sz w:val="16"/>
                <w:szCs w:val="16"/>
              </w:rPr>
              <w:t xml:space="preserve">"EIB Project Carbon </w:t>
            </w:r>
            <w:proofErr w:type="spellStart"/>
            <w:r w:rsidRPr="003E7EB2">
              <w:rPr>
                <w:rFonts w:asciiTheme="minorHAnsi" w:hAnsiTheme="minorHAnsi" w:cs="Arial"/>
                <w:b/>
                <w:i/>
                <w:sz w:val="16"/>
                <w:szCs w:val="16"/>
              </w:rPr>
              <w:t>Footpri</w:t>
            </w:r>
            <w:r>
              <w:rPr>
                <w:rFonts w:asciiTheme="minorHAnsi" w:hAnsiTheme="minorHAnsi" w:cs="Arial"/>
                <w:b/>
                <w:i/>
                <w:sz w:val="16"/>
                <w:szCs w:val="16"/>
              </w:rPr>
              <w:t>nt</w:t>
            </w:r>
            <w:proofErr w:type="spellEnd"/>
            <w:r>
              <w:rPr>
                <w:rFonts w:asciiTheme="minorHAnsi" w:hAnsiTheme="minorHAnsi" w:cs="Arial"/>
                <w:b/>
                <w:i/>
                <w:sz w:val="16"/>
                <w:szCs w:val="16"/>
              </w:rPr>
              <w:t xml:space="preserve"> </w:t>
            </w:r>
            <w:proofErr w:type="spellStart"/>
            <w:r>
              <w:rPr>
                <w:rFonts w:asciiTheme="minorHAnsi" w:hAnsiTheme="minorHAnsi" w:cs="Arial"/>
                <w:b/>
                <w:i/>
                <w:sz w:val="16"/>
                <w:szCs w:val="16"/>
              </w:rPr>
              <w:t>Methodologies</w:t>
            </w:r>
            <w:proofErr w:type="spellEnd"/>
            <w:r>
              <w:rPr>
                <w:rFonts w:asciiTheme="minorHAnsi" w:hAnsiTheme="minorHAnsi" w:cs="Arial"/>
                <w:b/>
                <w:i/>
                <w:sz w:val="16"/>
                <w:szCs w:val="16"/>
              </w:rPr>
              <w:t>", lipiec 2020, oraz wskaźnika</w:t>
            </w:r>
            <w:r w:rsidRPr="003A7E7C">
              <w:rPr>
                <w:rFonts w:asciiTheme="minorHAnsi" w:hAnsiTheme="minorHAnsi" w:cs="Arial"/>
                <w:b/>
                <w:i/>
                <w:sz w:val="16"/>
                <w:szCs w:val="16"/>
              </w:rPr>
              <w:t xml:space="preserve"> emisji CO</w:t>
            </w:r>
            <w:r w:rsidRPr="003A7E7C">
              <w:rPr>
                <w:rFonts w:asciiTheme="minorHAnsi" w:hAnsiTheme="minorHAnsi" w:cs="Arial"/>
                <w:b/>
                <w:i/>
                <w:sz w:val="16"/>
                <w:szCs w:val="16"/>
                <w:vertAlign w:val="subscript"/>
              </w:rPr>
              <w:t>2</w:t>
            </w:r>
            <w:r w:rsidRPr="003A7E7C">
              <w:rPr>
                <w:rFonts w:asciiTheme="minorHAnsi" w:hAnsiTheme="minorHAnsi" w:cs="Arial"/>
                <w:b/>
                <w:i/>
                <w:sz w:val="16"/>
                <w:szCs w:val="16"/>
              </w:rPr>
              <w:t xml:space="preserve"> dla odbiorców końcowych sieciowej energii elektrycznej</w:t>
            </w:r>
            <w:r>
              <w:rPr>
                <w:rFonts w:asciiTheme="minorHAnsi" w:hAnsiTheme="minorHAnsi" w:cs="Arial"/>
                <w:b/>
                <w:i/>
                <w:sz w:val="16"/>
                <w:szCs w:val="16"/>
              </w:rPr>
              <w:t xml:space="preserve"> za rok 2019 wg </w:t>
            </w:r>
            <w:proofErr w:type="spellStart"/>
            <w:r>
              <w:rPr>
                <w:rFonts w:asciiTheme="minorHAnsi" w:hAnsiTheme="minorHAnsi" w:cs="Arial"/>
                <w:b/>
                <w:i/>
                <w:sz w:val="16"/>
                <w:szCs w:val="16"/>
              </w:rPr>
              <w:t>KOBiZE</w:t>
            </w:r>
            <w:proofErr w:type="spellEnd"/>
            <w:r>
              <w:rPr>
                <w:rFonts w:asciiTheme="minorHAnsi" w:hAnsiTheme="minorHAnsi" w:cs="Arial"/>
                <w:b/>
                <w:i/>
                <w:sz w:val="16"/>
                <w:szCs w:val="16"/>
              </w:rPr>
              <w:t xml:space="preserve">. </w:t>
            </w:r>
          </w:p>
          <w:p w14:paraId="51572110" w14:textId="77777777" w:rsidR="00921721" w:rsidRPr="002C6855" w:rsidRDefault="00921721" w:rsidP="00880D09">
            <w:pPr>
              <w:spacing w:after="120"/>
              <w:ind w:right="170"/>
              <w:jc w:val="both"/>
              <w:rPr>
                <w:rFonts w:asciiTheme="minorHAnsi" w:hAnsiTheme="minorHAnsi"/>
                <w:b/>
                <w:i/>
                <w:sz w:val="16"/>
                <w:szCs w:val="16"/>
              </w:rPr>
            </w:pPr>
            <w:r w:rsidRPr="002C6855">
              <w:rPr>
                <w:rFonts w:asciiTheme="minorHAnsi" w:hAnsiTheme="minorHAnsi" w:cs="Arial"/>
                <w:b/>
                <w:i/>
                <w:sz w:val="16"/>
                <w:szCs w:val="16"/>
              </w:rPr>
              <w:t xml:space="preserve">(*)Łącznie emisje związane z wytwarzaniem i </w:t>
            </w:r>
            <w:proofErr w:type="spellStart"/>
            <w:r w:rsidRPr="002C6855">
              <w:rPr>
                <w:rFonts w:asciiTheme="minorHAnsi" w:hAnsiTheme="minorHAnsi" w:cs="Arial"/>
                <w:b/>
                <w:i/>
                <w:sz w:val="16"/>
                <w:szCs w:val="16"/>
              </w:rPr>
              <w:t>przesyłem</w:t>
            </w:r>
            <w:proofErr w:type="spellEnd"/>
            <w:r w:rsidRPr="002C6855">
              <w:rPr>
                <w:rFonts w:asciiTheme="minorHAnsi" w:hAnsiTheme="minorHAnsi" w:cs="Arial"/>
                <w:b/>
                <w:i/>
                <w:sz w:val="16"/>
                <w:szCs w:val="16"/>
              </w:rPr>
              <w:t xml:space="preserve"> energii elektrycznej sieciowej zużywanej przez pociąg oraz emisje związane ze zużyciem paliwa w pociągu.</w:t>
            </w:r>
          </w:p>
          <w:p w14:paraId="7E2910D0" w14:textId="77777777" w:rsidR="00921721" w:rsidRDefault="00921721" w:rsidP="00880D09">
            <w:pPr>
              <w:spacing w:after="120"/>
              <w:ind w:right="170"/>
              <w:jc w:val="both"/>
              <w:rPr>
                <w:rFonts w:asciiTheme="minorHAnsi" w:hAnsiTheme="minorHAnsi" w:cs="Arial"/>
                <w:sz w:val="20"/>
                <w:szCs w:val="20"/>
                <w:u w:val="single"/>
              </w:rPr>
            </w:pPr>
          </w:p>
          <w:p w14:paraId="169C4AD1" w14:textId="7332C7D4" w:rsidR="00921721" w:rsidRPr="00B72029" w:rsidRDefault="00921721" w:rsidP="00880D09">
            <w:pPr>
              <w:spacing w:after="120"/>
              <w:ind w:right="170"/>
              <w:jc w:val="both"/>
              <w:rPr>
                <w:rFonts w:asciiTheme="minorHAnsi" w:hAnsiTheme="minorHAnsi" w:cs="Arial"/>
                <w:sz w:val="20"/>
                <w:szCs w:val="20"/>
                <w:u w:val="single"/>
              </w:rPr>
            </w:pPr>
            <w:r w:rsidRPr="00B72029">
              <w:rPr>
                <w:rFonts w:asciiTheme="minorHAnsi" w:hAnsiTheme="minorHAnsi" w:cs="Arial"/>
                <w:sz w:val="20"/>
                <w:szCs w:val="20"/>
                <w:u w:val="single"/>
              </w:rPr>
              <w:t>Jednostkowe koszty emisji CO</w:t>
            </w:r>
            <w:r w:rsidRPr="00F13EAB">
              <w:rPr>
                <w:rFonts w:asciiTheme="minorHAnsi" w:hAnsiTheme="minorHAnsi" w:cs="Arial"/>
                <w:sz w:val="20"/>
                <w:szCs w:val="20"/>
                <w:u w:val="single"/>
                <w:vertAlign w:val="subscript"/>
              </w:rPr>
              <w:t>2</w:t>
            </w:r>
            <w:r>
              <w:rPr>
                <w:rFonts w:asciiTheme="minorHAnsi" w:hAnsiTheme="minorHAnsi" w:cs="Arial"/>
                <w:sz w:val="20"/>
                <w:szCs w:val="20"/>
                <w:u w:val="single"/>
              </w:rPr>
              <w:t>e</w:t>
            </w:r>
            <w:r w:rsidRPr="00F13EAB">
              <w:rPr>
                <w:rFonts w:asciiTheme="minorHAnsi" w:hAnsiTheme="minorHAnsi" w:cs="Arial"/>
                <w:sz w:val="20"/>
                <w:szCs w:val="20"/>
                <w:u w:val="single"/>
                <w:vertAlign w:val="subscript"/>
              </w:rPr>
              <w:t xml:space="preserve"> </w:t>
            </w:r>
          </w:p>
          <w:p w14:paraId="04EEEBE7" w14:textId="77777777" w:rsidR="00921721" w:rsidRDefault="00921721" w:rsidP="00880D09">
            <w:pPr>
              <w:pStyle w:val="anxnormal"/>
              <w:spacing w:after="120"/>
              <w:ind w:left="0"/>
              <w:rPr>
                <w:rFonts w:asciiTheme="minorHAnsi" w:hAnsiTheme="minorHAnsi"/>
                <w:lang w:eastAsia="en-US"/>
              </w:rPr>
            </w:pPr>
            <w:r>
              <w:rPr>
                <w:rFonts w:asciiTheme="minorHAnsi" w:hAnsiTheme="minorHAnsi"/>
                <w:lang w:eastAsia="en-US"/>
              </w:rPr>
              <w:t>EBI,</w:t>
            </w:r>
            <w:r w:rsidRPr="00054D26">
              <w:rPr>
                <w:rFonts w:asciiTheme="minorHAnsi" w:hAnsiTheme="minorHAnsi"/>
                <w:lang w:eastAsia="en-US"/>
              </w:rPr>
              <w:t xml:space="preserve"> ceny ukryte CO</w:t>
            </w:r>
            <w:r w:rsidRPr="00F73A39">
              <w:rPr>
                <w:rFonts w:asciiTheme="minorHAnsi" w:hAnsiTheme="minorHAnsi"/>
                <w:vertAlign w:val="subscript"/>
                <w:lang w:eastAsia="en-US"/>
              </w:rPr>
              <w:t>2</w:t>
            </w:r>
            <w:r w:rsidRPr="00054D26">
              <w:rPr>
                <w:rFonts w:asciiTheme="minorHAnsi" w:hAnsiTheme="minorHAnsi"/>
                <w:lang w:eastAsia="en-US"/>
              </w:rPr>
              <w:t xml:space="preserve"> w €/tCO</w:t>
            </w:r>
            <w:r w:rsidRPr="00F73A39">
              <w:rPr>
                <w:rFonts w:asciiTheme="minorHAnsi" w:hAnsiTheme="minorHAnsi"/>
                <w:vertAlign w:val="subscript"/>
                <w:lang w:eastAsia="en-US"/>
              </w:rPr>
              <w:t>2</w:t>
            </w:r>
            <w:r w:rsidRPr="00054D26">
              <w:rPr>
                <w:rFonts w:asciiTheme="minorHAnsi" w:hAnsiTheme="minorHAnsi"/>
                <w:lang w:eastAsia="en-US"/>
              </w:rPr>
              <w:t>e, ceny 2016</w:t>
            </w:r>
          </w:p>
          <w:tbl>
            <w:tblPr>
              <w:tblW w:w="6624" w:type="dxa"/>
              <w:tblLayout w:type="fixed"/>
              <w:tblLook w:val="04A0" w:firstRow="1" w:lastRow="0" w:firstColumn="1" w:lastColumn="0" w:noHBand="0" w:noVBand="1"/>
            </w:tblPr>
            <w:tblGrid>
              <w:gridCol w:w="828"/>
              <w:gridCol w:w="828"/>
              <w:gridCol w:w="828"/>
              <w:gridCol w:w="828"/>
              <w:gridCol w:w="828"/>
              <w:gridCol w:w="828"/>
              <w:gridCol w:w="828"/>
              <w:gridCol w:w="828"/>
            </w:tblGrid>
            <w:tr w:rsidR="00921721" w:rsidRPr="007463B9" w14:paraId="455B667E" w14:textId="77777777" w:rsidTr="00880D09">
              <w:trPr>
                <w:trHeight w:hRule="exact" w:val="349"/>
              </w:trPr>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CDCA454" w14:textId="3955EFEC" w:rsidR="00921721" w:rsidRPr="00D74336" w:rsidRDefault="005C3677"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GB"/>
                    </w:rPr>
                    <w:t>Lata</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7991930"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983DF9">
                    <w:rPr>
                      <w:rFonts w:asciiTheme="minorHAnsi" w:eastAsia="Arial Narrow" w:hAnsiTheme="minorHAnsi" w:cs="Arial Narrow"/>
                      <w:b/>
                      <w:color w:val="FFFFFF"/>
                      <w:spacing w:val="-1"/>
                      <w:w w:val="108"/>
                      <w:position w:val="-1"/>
                      <w:sz w:val="18"/>
                      <w:szCs w:val="18"/>
                      <w:lang w:val="en-US"/>
                    </w:rPr>
                    <w:t>2020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76804C7" w14:textId="77777777" w:rsidR="00921721" w:rsidRPr="00B74323"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US"/>
                    </w:rPr>
                    <w:t>2025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1C8C24EE"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77181BF"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88B5A92"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51E793E"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D1E1012"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2050</w:t>
                  </w:r>
                </w:p>
              </w:tc>
            </w:tr>
            <w:tr w:rsidR="00921721" w:rsidRPr="007463B9" w14:paraId="1AA98AF6" w14:textId="77777777" w:rsidTr="00880D09">
              <w:trPr>
                <w:trHeight w:val="117"/>
              </w:trPr>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77D573" w14:textId="77777777" w:rsidR="00921721" w:rsidRPr="002C6855"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lang w:val="en-US"/>
                    </w:rPr>
                  </w:pPr>
                  <w:r w:rsidRPr="00B72029">
                    <w:rPr>
                      <w:rFonts w:asciiTheme="minorHAnsi" w:hAnsiTheme="minorHAnsi"/>
                      <w:color w:val="4F81BD" w:themeColor="accent1"/>
                      <w:sz w:val="18"/>
                      <w:lang w:val="en-GB"/>
                    </w:rPr>
                    <w:t>E</w:t>
                  </w:r>
                  <w:r w:rsidRPr="00637253">
                    <w:rPr>
                      <w:rFonts w:asciiTheme="minorHAnsi" w:hAnsiTheme="minorHAnsi"/>
                      <w:color w:val="4F81BD" w:themeColor="accent1"/>
                      <w:sz w:val="18"/>
                      <w:lang w:val="en-GB"/>
                    </w:rPr>
                    <w:t>UR/</w:t>
                  </w:r>
                  <w:r>
                    <w:rPr>
                      <w:rFonts w:asciiTheme="minorHAnsi" w:hAnsiTheme="minorHAnsi"/>
                      <w:color w:val="4F81BD" w:themeColor="accent1"/>
                      <w:sz w:val="18"/>
                      <w:lang w:val="en-GB"/>
                    </w:rPr>
                    <w:t xml:space="preserve"> </w:t>
                  </w:r>
                  <w:r w:rsidRPr="00637253">
                    <w:rPr>
                      <w:rFonts w:asciiTheme="minorHAnsi" w:hAnsiTheme="minorHAnsi"/>
                      <w:color w:val="4F81BD" w:themeColor="accent1"/>
                      <w:sz w:val="18"/>
                      <w:lang w:val="en-GB"/>
                    </w:rPr>
                    <w:t>tCO</w:t>
                  </w:r>
                  <w:r w:rsidRPr="00F73A39">
                    <w:rPr>
                      <w:rFonts w:asciiTheme="minorHAnsi" w:hAnsiTheme="minorHAnsi"/>
                      <w:color w:val="4F81BD" w:themeColor="accent1"/>
                      <w:sz w:val="18"/>
                      <w:vertAlign w:val="subscript"/>
                      <w:lang w:val="en-GB"/>
                    </w:rPr>
                    <w:t>2</w:t>
                  </w:r>
                  <w:r>
                    <w:rPr>
                      <w:rFonts w:asciiTheme="minorHAnsi" w:hAnsiTheme="minorHAnsi"/>
                      <w:color w:val="4F81BD" w:themeColor="accent1"/>
                      <w:sz w:val="18"/>
                      <w:lang w:val="en-GB"/>
                    </w:rPr>
                    <w:t>e</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6448946"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531CDD"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165</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8753B4"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250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A2FF53"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390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29F24F"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525</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41B4C3"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660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C0848A"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800</w:t>
                  </w:r>
                </w:p>
              </w:tc>
            </w:tr>
          </w:tbl>
          <w:p w14:paraId="7544B743" w14:textId="77777777" w:rsidR="00921721" w:rsidRPr="002833A8" w:rsidRDefault="00921721" w:rsidP="00880D09">
            <w:pPr>
              <w:spacing w:after="120"/>
              <w:ind w:right="170"/>
              <w:jc w:val="both"/>
              <w:rPr>
                <w:rFonts w:asciiTheme="minorHAnsi" w:hAnsiTheme="minorHAnsi" w:cs="Arial"/>
                <w:b/>
                <w:i/>
                <w:sz w:val="16"/>
                <w:szCs w:val="16"/>
              </w:rPr>
            </w:pPr>
            <w:proofErr w:type="spellStart"/>
            <w:r w:rsidRPr="003E7EB2">
              <w:rPr>
                <w:rFonts w:asciiTheme="minorHAnsi" w:hAnsiTheme="minorHAnsi" w:cs="Arial"/>
                <w:b/>
                <w:i/>
                <w:sz w:val="16"/>
                <w:szCs w:val="16"/>
                <w:lang w:val="en-US"/>
              </w:rPr>
              <w:t>Źródło</w:t>
            </w:r>
            <w:proofErr w:type="spellEnd"/>
            <w:r w:rsidRPr="003E7EB2">
              <w:rPr>
                <w:rFonts w:asciiTheme="minorHAnsi" w:hAnsiTheme="minorHAnsi" w:cs="Arial"/>
                <w:b/>
                <w:i/>
                <w:sz w:val="16"/>
                <w:szCs w:val="16"/>
                <w:lang w:val="en-US"/>
              </w:rPr>
              <w:t xml:space="preserve">: EIB Group Climate Bank Roadmap (2020) (Annex 5. </w:t>
            </w:r>
            <w:proofErr w:type="spellStart"/>
            <w:r w:rsidRPr="00983DF9">
              <w:rPr>
                <w:rFonts w:asciiTheme="minorHAnsi" w:hAnsiTheme="minorHAnsi" w:cs="Arial"/>
                <w:b/>
                <w:i/>
                <w:sz w:val="16"/>
                <w:szCs w:val="16"/>
              </w:rPr>
              <w:t>Aligned</w:t>
            </w:r>
            <w:proofErr w:type="spellEnd"/>
            <w:r w:rsidRPr="00983DF9">
              <w:rPr>
                <w:rFonts w:asciiTheme="minorHAnsi" w:hAnsiTheme="minorHAnsi" w:cs="Arial"/>
                <w:b/>
                <w:i/>
                <w:sz w:val="16"/>
                <w:szCs w:val="16"/>
              </w:rPr>
              <w:t xml:space="preserve"> </w:t>
            </w:r>
            <w:proofErr w:type="spellStart"/>
            <w:r w:rsidRPr="00983DF9">
              <w:rPr>
                <w:rFonts w:asciiTheme="minorHAnsi" w:hAnsiTheme="minorHAnsi" w:cs="Arial"/>
                <w:b/>
                <w:i/>
                <w:sz w:val="16"/>
                <w:szCs w:val="16"/>
              </w:rPr>
              <w:t>carbon</w:t>
            </w:r>
            <w:proofErr w:type="spellEnd"/>
            <w:r w:rsidRPr="00983DF9">
              <w:rPr>
                <w:rFonts w:asciiTheme="minorHAnsi" w:hAnsiTheme="minorHAnsi" w:cs="Arial"/>
                <w:b/>
                <w:i/>
                <w:sz w:val="16"/>
                <w:szCs w:val="16"/>
              </w:rPr>
              <w:t xml:space="preserve"> </w:t>
            </w:r>
            <w:proofErr w:type="spellStart"/>
            <w:r w:rsidRPr="00983DF9">
              <w:rPr>
                <w:rFonts w:asciiTheme="minorHAnsi" w:hAnsiTheme="minorHAnsi" w:cs="Arial"/>
                <w:b/>
                <w:i/>
                <w:sz w:val="16"/>
                <w:szCs w:val="16"/>
              </w:rPr>
              <w:t>prices</w:t>
            </w:r>
            <w:proofErr w:type="spellEnd"/>
            <w:r w:rsidRPr="00983DF9">
              <w:rPr>
                <w:rFonts w:asciiTheme="minorHAnsi" w:hAnsiTheme="minorHAnsi" w:cs="Arial"/>
                <w:b/>
                <w:i/>
                <w:sz w:val="16"/>
                <w:szCs w:val="16"/>
              </w:rPr>
              <w:t>)</w:t>
            </w:r>
          </w:p>
          <w:p w14:paraId="68377282" w14:textId="77777777" w:rsidR="00921721" w:rsidRDefault="00921721" w:rsidP="00880D09">
            <w:pPr>
              <w:pStyle w:val="anxnormal"/>
              <w:ind w:left="0"/>
              <w:rPr>
                <w:rFonts w:asciiTheme="minorHAnsi" w:hAnsiTheme="minorHAnsi"/>
                <w:u w:val="single"/>
                <w:lang w:eastAsia="en-US"/>
              </w:rPr>
            </w:pPr>
          </w:p>
          <w:p w14:paraId="3230D818" w14:textId="77777777" w:rsidR="00921721" w:rsidRDefault="00921721" w:rsidP="00880D09">
            <w:pPr>
              <w:pStyle w:val="anxnormal"/>
              <w:ind w:left="0"/>
              <w:rPr>
                <w:rFonts w:asciiTheme="minorHAnsi" w:hAnsiTheme="minorHAnsi"/>
                <w:u w:val="single"/>
                <w:lang w:eastAsia="en-US"/>
              </w:rPr>
            </w:pPr>
          </w:p>
          <w:p w14:paraId="5E12C3CB" w14:textId="77777777" w:rsidR="00921721" w:rsidRDefault="00921721" w:rsidP="00880D09">
            <w:pPr>
              <w:pStyle w:val="anxnormal"/>
              <w:ind w:left="0"/>
              <w:rPr>
                <w:rFonts w:asciiTheme="minorHAnsi" w:hAnsiTheme="minorHAnsi"/>
                <w:u w:val="single"/>
                <w:lang w:eastAsia="en-US"/>
              </w:rPr>
            </w:pPr>
          </w:p>
          <w:p w14:paraId="16DED5A8" w14:textId="75050EB9" w:rsidR="00921721"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lastRenderedPageBreak/>
              <w:t>Obliczenie kosztów jednostkowych zmian klimatu</w:t>
            </w:r>
            <w:r>
              <w:rPr>
                <w:rFonts w:asciiTheme="minorHAnsi" w:hAnsiTheme="minorHAnsi"/>
                <w:u w:val="single"/>
                <w:lang w:eastAsia="en-US"/>
              </w:rPr>
              <w:t xml:space="preserve"> i </w:t>
            </w: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7DB745B3" w14:textId="77777777" w:rsidR="00921721" w:rsidRDefault="00921721" w:rsidP="00880D09">
            <w:pPr>
              <w:jc w:val="both"/>
              <w:rPr>
                <w:rFonts w:asciiTheme="minorHAnsi" w:hAnsiTheme="minorHAnsi" w:cstheme="minorHAnsi"/>
                <w:sz w:val="20"/>
                <w:szCs w:val="20"/>
              </w:rPr>
            </w:pPr>
            <w:r w:rsidRPr="00983DF9">
              <w:rPr>
                <w:rFonts w:asciiTheme="minorHAnsi" w:hAnsiTheme="minorHAnsi" w:cstheme="minorHAnsi"/>
                <w:sz w:val="20"/>
                <w:szCs w:val="20"/>
                <w:lang w:eastAsia="en-US"/>
              </w:rPr>
              <w:t xml:space="preserve">Obliczenie kosztu jednostkowego dla </w:t>
            </w:r>
            <w:r>
              <w:rPr>
                <w:rFonts w:asciiTheme="minorHAnsi" w:hAnsiTheme="minorHAnsi" w:cstheme="minorHAnsi"/>
                <w:sz w:val="20"/>
                <w:szCs w:val="20"/>
                <w:lang w:eastAsia="en-US"/>
              </w:rPr>
              <w:t xml:space="preserve">obecnie przyjętego </w:t>
            </w:r>
            <w:r w:rsidRPr="00983DF9">
              <w:rPr>
                <w:rFonts w:asciiTheme="minorHAnsi" w:hAnsiTheme="minorHAnsi" w:cstheme="minorHAnsi"/>
                <w:sz w:val="20"/>
                <w:szCs w:val="20"/>
                <w:lang w:eastAsia="en-US"/>
              </w:rPr>
              <w:t xml:space="preserve">roku bazowego </w:t>
            </w:r>
            <w:r w:rsidRPr="00983DF9">
              <w:rPr>
                <w:rFonts w:asciiTheme="minorHAnsi" w:hAnsiTheme="minorHAnsi" w:cstheme="minorHAnsi"/>
                <w:sz w:val="20"/>
                <w:szCs w:val="20"/>
              </w:rPr>
              <w:t>(202</w:t>
            </w:r>
            <w:r>
              <w:rPr>
                <w:rFonts w:asciiTheme="minorHAnsi" w:hAnsiTheme="minorHAnsi" w:cstheme="minorHAnsi"/>
                <w:sz w:val="20"/>
                <w:szCs w:val="20"/>
              </w:rPr>
              <w:t>1</w:t>
            </w:r>
            <w:r w:rsidRPr="00983DF9">
              <w:rPr>
                <w:rFonts w:asciiTheme="minorHAnsi" w:hAnsiTheme="minorHAnsi" w:cstheme="minorHAnsi"/>
                <w:sz w:val="20"/>
                <w:szCs w:val="20"/>
              </w:rPr>
              <w:t xml:space="preserve">) </w:t>
            </w:r>
            <w:r>
              <w:rPr>
                <w:rFonts w:asciiTheme="minorHAnsi" w:hAnsiTheme="minorHAnsi" w:cstheme="minorHAnsi"/>
                <w:sz w:val="20"/>
                <w:szCs w:val="20"/>
              </w:rPr>
              <w:t>wymaga przeliczenia z EUR na PLN (kurs 2016), a </w:t>
            </w:r>
            <w:r w:rsidRPr="00983DF9">
              <w:rPr>
                <w:rFonts w:asciiTheme="minorHAnsi" w:hAnsiTheme="minorHAnsi" w:cstheme="minorHAnsi"/>
                <w:sz w:val="20"/>
                <w:szCs w:val="20"/>
              </w:rPr>
              <w:t xml:space="preserve">następnie </w:t>
            </w:r>
            <w:r>
              <w:rPr>
                <w:rFonts w:asciiTheme="minorHAnsi" w:hAnsiTheme="minorHAnsi" w:cstheme="minorHAnsi"/>
                <w:sz w:val="20"/>
                <w:szCs w:val="20"/>
              </w:rPr>
              <w:t>przeliczenia</w:t>
            </w:r>
            <w:r w:rsidRPr="00983DF9">
              <w:rPr>
                <w:rFonts w:asciiTheme="minorHAnsi" w:hAnsiTheme="minorHAnsi" w:cstheme="minorHAnsi"/>
                <w:sz w:val="20"/>
                <w:szCs w:val="20"/>
              </w:rPr>
              <w:t xml:space="preserve"> kosztu jednostkowego CO</w:t>
            </w:r>
            <w:r w:rsidRPr="00F73A39">
              <w:rPr>
                <w:rFonts w:asciiTheme="minorHAnsi" w:hAnsiTheme="minorHAnsi" w:cstheme="minorHAnsi"/>
                <w:sz w:val="20"/>
                <w:szCs w:val="20"/>
                <w:vertAlign w:val="subscript"/>
              </w:rPr>
              <w:t>2</w:t>
            </w:r>
            <w:r w:rsidRPr="00983DF9">
              <w:rPr>
                <w:rFonts w:asciiTheme="minorHAnsi" w:hAnsiTheme="minorHAnsi" w:cstheme="minorHAnsi"/>
                <w:sz w:val="20"/>
                <w:szCs w:val="20"/>
              </w:rPr>
              <w:t xml:space="preserve"> (2016) na poziom cenowy analizy (202</w:t>
            </w:r>
            <w:r>
              <w:rPr>
                <w:rFonts w:asciiTheme="minorHAnsi" w:hAnsiTheme="minorHAnsi" w:cstheme="minorHAnsi"/>
                <w:sz w:val="20"/>
                <w:szCs w:val="20"/>
              </w:rPr>
              <w:t>1</w:t>
            </w:r>
            <w:r w:rsidRPr="00983DF9">
              <w:rPr>
                <w:rFonts w:asciiTheme="minorHAnsi" w:hAnsiTheme="minorHAnsi" w:cstheme="minorHAnsi"/>
                <w:sz w:val="20"/>
                <w:szCs w:val="20"/>
              </w:rPr>
              <w:t>). Koszty jednostkowe dla pozostałej części okresu o</w:t>
            </w:r>
            <w:r>
              <w:rPr>
                <w:rFonts w:asciiTheme="minorHAnsi" w:hAnsiTheme="minorHAnsi" w:cstheme="minorHAnsi"/>
                <w:sz w:val="20"/>
                <w:szCs w:val="20"/>
              </w:rPr>
              <w:t>dniesienia zostaną oszacowane w oparciu o </w:t>
            </w:r>
            <w:r w:rsidRPr="00983DF9">
              <w:rPr>
                <w:rFonts w:asciiTheme="minorHAnsi" w:hAnsiTheme="minorHAnsi" w:cstheme="minorHAnsi"/>
                <w:sz w:val="20"/>
                <w:szCs w:val="20"/>
              </w:rPr>
              <w:t>interpolację liniową wyżej określonych kosztów jed</w:t>
            </w:r>
            <w:r>
              <w:rPr>
                <w:rFonts w:asciiTheme="minorHAnsi" w:hAnsiTheme="minorHAnsi" w:cstheme="minorHAnsi"/>
                <w:sz w:val="20"/>
                <w:szCs w:val="20"/>
              </w:rPr>
              <w:t>nostkowych, jak przedstawiono w </w:t>
            </w:r>
            <w:r w:rsidRPr="00534221">
              <w:rPr>
                <w:rFonts w:asciiTheme="minorHAnsi" w:hAnsiTheme="minorHAnsi" w:cstheme="minorHAnsi"/>
                <w:b/>
                <w:i/>
                <w:sz w:val="20"/>
                <w:szCs w:val="20"/>
              </w:rPr>
              <w:t>pliku Excel</w:t>
            </w:r>
            <w:r w:rsidRPr="008F608B">
              <w:rPr>
                <w:rFonts w:asciiTheme="minorHAnsi" w:hAnsiTheme="minorHAnsi" w:cstheme="minorHAnsi"/>
                <w:sz w:val="20"/>
                <w:szCs w:val="20"/>
              </w:rPr>
              <w:t xml:space="preserve"> </w:t>
            </w:r>
            <w:r>
              <w:rPr>
                <w:rFonts w:asciiTheme="minorHAnsi" w:hAnsiTheme="minorHAnsi" w:cstheme="minorHAnsi"/>
                <w:sz w:val="20"/>
                <w:szCs w:val="20"/>
              </w:rPr>
              <w:t xml:space="preserve">z kosztami </w:t>
            </w:r>
            <w:proofErr w:type="spellStart"/>
            <w:r>
              <w:rPr>
                <w:rFonts w:asciiTheme="minorHAnsi" w:hAnsiTheme="minorHAnsi" w:cstheme="minorHAnsi"/>
                <w:sz w:val="20"/>
                <w:szCs w:val="20"/>
              </w:rPr>
              <w:t>jednostowymi</w:t>
            </w:r>
            <w:proofErr w:type="spellEnd"/>
            <w:r>
              <w:rPr>
                <w:rFonts w:asciiTheme="minorHAnsi" w:hAnsiTheme="minorHAnsi" w:cstheme="minorHAnsi"/>
                <w:sz w:val="20"/>
                <w:szCs w:val="20"/>
              </w:rPr>
              <w:t xml:space="preserve">. </w:t>
            </w:r>
          </w:p>
          <w:p w14:paraId="7AF9E2A7" w14:textId="77777777" w:rsidR="00921721" w:rsidRPr="00983DF9" w:rsidRDefault="00921721" w:rsidP="00880D09">
            <w:pPr>
              <w:rPr>
                <w:rFonts w:asciiTheme="minorHAnsi" w:hAnsiTheme="minorHAnsi" w:cstheme="minorHAnsi"/>
                <w:sz w:val="20"/>
                <w:szCs w:val="20"/>
              </w:rPr>
            </w:pPr>
          </w:p>
          <w:p w14:paraId="5F791FF8" w14:textId="77777777" w:rsidR="00921721" w:rsidRPr="009F2FD2" w:rsidRDefault="00921721" w:rsidP="00880D09">
            <w:pPr>
              <w:pStyle w:val="anxnormal"/>
              <w:ind w:left="0"/>
              <w:rPr>
                <w:rFonts w:asciiTheme="minorHAnsi" w:hAnsiTheme="minorHAnsi" w:cs="Arial-Narrow,Bold"/>
                <w:b/>
                <w:bCs/>
                <w:color w:val="4F81BD" w:themeColor="accent1"/>
                <w:sz w:val="23"/>
                <w:szCs w:val="23"/>
                <w:lang w:eastAsia="en-GB"/>
              </w:rPr>
            </w:pPr>
            <w:r w:rsidRPr="009F2FD2">
              <w:rPr>
                <w:rFonts w:asciiTheme="minorHAnsi" w:hAnsiTheme="minorHAnsi" w:cs="Arial-Narrow,Bold"/>
                <w:b/>
                <w:bCs/>
                <w:color w:val="4F81BD" w:themeColor="accent1"/>
                <w:sz w:val="23"/>
                <w:szCs w:val="23"/>
                <w:lang w:eastAsia="en-GB"/>
              </w:rPr>
              <w:t>8. Koszty hałasu</w:t>
            </w:r>
          </w:p>
          <w:p w14:paraId="44CC5E4F"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Metoda pierwsza</w:t>
            </w:r>
          </w:p>
          <w:p w14:paraId="6F4AE825"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 xml:space="preserve">Jednostkowe koszty ekonomiczne hałasu </w:t>
            </w:r>
            <w:r>
              <w:rPr>
                <w:rFonts w:asciiTheme="minorHAnsi" w:hAnsiTheme="minorHAnsi"/>
                <w:lang w:eastAsia="en-US"/>
              </w:rPr>
              <w:t xml:space="preserve">pojazdów drogowych </w:t>
            </w:r>
            <w:r w:rsidRPr="00731E4E">
              <w:rPr>
                <w:rFonts w:asciiTheme="minorHAnsi" w:hAnsiTheme="minorHAnsi"/>
                <w:lang w:eastAsia="en-US"/>
              </w:rPr>
              <w:t>[PLN/</w:t>
            </w:r>
            <w:proofErr w:type="spellStart"/>
            <w:r w:rsidRPr="00731E4E">
              <w:rPr>
                <w:rFonts w:asciiTheme="minorHAnsi" w:hAnsiTheme="minorHAnsi"/>
                <w:lang w:eastAsia="en-US"/>
              </w:rPr>
              <w:t>poj</w:t>
            </w:r>
            <w:proofErr w:type="spellEnd"/>
            <w:r w:rsidRPr="00731E4E">
              <w:rPr>
                <w:rFonts w:asciiTheme="minorHAnsi" w:hAnsiTheme="minorHAnsi"/>
                <w:lang w:eastAsia="en-US"/>
              </w:rPr>
              <w:t xml:space="preserve">-km], ceny </w:t>
            </w:r>
            <w:r>
              <w:rPr>
                <w:rFonts w:asciiTheme="minorHAnsi" w:hAnsiTheme="minorHAnsi"/>
                <w:lang w:eastAsia="en-US"/>
              </w:rPr>
              <w:t>2021</w:t>
            </w:r>
          </w:p>
          <w:tbl>
            <w:tblPr>
              <w:tblW w:w="6227" w:type="dxa"/>
              <w:tblLayout w:type="fixed"/>
              <w:tblLook w:val="04A0" w:firstRow="1" w:lastRow="0" w:firstColumn="1" w:lastColumn="0" w:noHBand="0" w:noVBand="1"/>
            </w:tblPr>
            <w:tblGrid>
              <w:gridCol w:w="2486"/>
              <w:gridCol w:w="1247"/>
              <w:gridCol w:w="1247"/>
              <w:gridCol w:w="1247"/>
            </w:tblGrid>
            <w:tr w:rsidR="00921721" w:rsidRPr="007463B9" w14:paraId="3029A5FB" w14:textId="77777777" w:rsidTr="00880D09">
              <w:trPr>
                <w:trHeight w:hRule="exact" w:val="712"/>
              </w:trPr>
              <w:tc>
                <w:tcPr>
                  <w:tcW w:w="24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B8BF6A"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3E7EB2">
                    <w:rPr>
                      <w:rFonts w:asciiTheme="minorHAnsi" w:hAnsiTheme="minorHAnsi" w:cs="Arial"/>
                      <w:b/>
                      <w:bCs/>
                      <w:color w:val="FFFFFF"/>
                      <w:sz w:val="16"/>
                      <w:szCs w:val="16"/>
                    </w:rPr>
                    <w:t xml:space="preserve">Wartości jednostkowe w oparciu </w:t>
                  </w:r>
                  <w:r w:rsidRPr="00387FFD">
                    <w:rPr>
                      <w:rFonts w:asciiTheme="minorHAnsi" w:hAnsiTheme="minorHAnsi" w:cs="Arial"/>
                      <w:b/>
                      <w:bCs/>
                      <w:color w:val="FFFFFF"/>
                      <w:sz w:val="16"/>
                      <w:szCs w:val="16"/>
                    </w:rPr>
                    <w:t>o</w:t>
                  </w:r>
                  <w:r>
                    <w:rPr>
                      <w:rFonts w:asciiTheme="minorHAnsi" w:hAnsiTheme="minorHAnsi" w:cs="Arial"/>
                      <w:b/>
                      <w:bCs/>
                      <w:color w:val="FFFFFF"/>
                      <w:sz w:val="16"/>
                      <w:szCs w:val="16"/>
                    </w:rPr>
                    <w:t xml:space="preserve"> k</w:t>
                  </w:r>
                  <w:r w:rsidRPr="003350DF">
                    <w:rPr>
                      <w:rFonts w:asciiTheme="minorHAnsi" w:hAnsiTheme="minorHAnsi" w:cs="Arial"/>
                      <w:b/>
                      <w:bCs/>
                      <w:color w:val="FFFFFF"/>
                      <w:sz w:val="16"/>
                      <w:szCs w:val="16"/>
                    </w:rPr>
                    <w:t xml:space="preserve">rańcowe koszty zewnętrzne hałasu </w:t>
                  </w:r>
                  <w:r w:rsidRPr="003E7EB2">
                    <w:rPr>
                      <w:rFonts w:asciiTheme="minorHAnsi" w:hAnsiTheme="minorHAnsi" w:cs="Arial"/>
                      <w:b/>
                      <w:bCs/>
                      <w:color w:val="FFFFFF"/>
                      <w:sz w:val="16"/>
                      <w:szCs w:val="16"/>
                    </w:rPr>
                    <w:t>(PLN/</w:t>
                  </w:r>
                  <w:proofErr w:type="spellStart"/>
                  <w:r w:rsidRPr="003E7EB2">
                    <w:rPr>
                      <w:rFonts w:asciiTheme="minorHAnsi" w:hAnsiTheme="minorHAnsi" w:cs="Arial"/>
                      <w:b/>
                      <w:bCs/>
                      <w:color w:val="FFFFFF"/>
                      <w:sz w:val="16"/>
                      <w:szCs w:val="16"/>
                    </w:rPr>
                    <w:t>poj</w:t>
                  </w:r>
                  <w:proofErr w:type="spellEnd"/>
                  <w:r w:rsidRPr="003E7EB2">
                    <w:rPr>
                      <w:rFonts w:asciiTheme="minorHAnsi" w:hAnsiTheme="minorHAnsi" w:cs="Arial"/>
                      <w:b/>
                      <w:bCs/>
                      <w:color w:val="FFFFFF"/>
                      <w:sz w:val="16"/>
                      <w:szCs w:val="16"/>
                    </w:rPr>
                    <w:t>-km)</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594159A" w14:textId="77777777" w:rsidR="00921721" w:rsidRPr="002F209F" w:rsidRDefault="00921721" w:rsidP="00880D09">
                  <w:pPr>
                    <w:snapToGrid w:val="0"/>
                    <w:spacing w:before="20" w:after="20"/>
                    <w:jc w:val="center"/>
                    <w:rPr>
                      <w:rFonts w:asciiTheme="minorHAnsi" w:hAnsiTheme="minorHAnsi" w:cs="Arial"/>
                      <w:b/>
                      <w:bCs/>
                      <w:color w:val="FFFFFF"/>
                      <w:sz w:val="18"/>
                      <w:szCs w:val="18"/>
                      <w:lang w:val="en-GB"/>
                    </w:rPr>
                  </w:pPr>
                  <w:proofErr w:type="spellStart"/>
                  <w:r w:rsidRPr="002C6855">
                    <w:rPr>
                      <w:rFonts w:asciiTheme="minorHAnsi" w:hAnsiTheme="minorHAnsi" w:cs="Arial"/>
                      <w:b/>
                      <w:bCs/>
                      <w:color w:val="FFFFFF"/>
                      <w:sz w:val="18"/>
                      <w:szCs w:val="18"/>
                      <w:lang w:val="en-GB"/>
                    </w:rPr>
                    <w:t>Metropolia</w:t>
                  </w:r>
                  <w:proofErr w:type="spellEnd"/>
                  <w:r w:rsidRPr="002C6855">
                    <w:rPr>
                      <w:rFonts w:asciiTheme="minorHAnsi" w:hAnsiTheme="minorHAnsi" w:cs="Arial"/>
                      <w:b/>
                      <w:bCs/>
                      <w:color w:val="FFFFFF"/>
                      <w:sz w:val="18"/>
                      <w:szCs w:val="18"/>
                      <w:lang w:val="en-GB"/>
                    </w:rPr>
                    <w:t xml:space="preserve"> (*)</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D0DBBD1" w14:textId="77777777" w:rsidR="00921721" w:rsidRPr="002F209F" w:rsidRDefault="00921721" w:rsidP="00880D09">
                  <w:pPr>
                    <w:snapToGrid w:val="0"/>
                    <w:spacing w:before="20" w:after="20"/>
                    <w:jc w:val="center"/>
                    <w:rPr>
                      <w:rFonts w:asciiTheme="minorHAnsi" w:hAnsiTheme="minorHAnsi" w:cs="Arial"/>
                      <w:b/>
                      <w:bCs/>
                      <w:color w:val="FFFFFF"/>
                      <w:sz w:val="18"/>
                      <w:szCs w:val="18"/>
                      <w:lang w:val="en-GB"/>
                    </w:rPr>
                  </w:pPr>
                  <w:proofErr w:type="spellStart"/>
                  <w:r w:rsidRPr="002C6855">
                    <w:rPr>
                      <w:rFonts w:asciiTheme="minorHAnsi" w:hAnsiTheme="minorHAnsi" w:cs="Arial"/>
                      <w:b/>
                      <w:bCs/>
                      <w:color w:val="FFFFFF"/>
                      <w:sz w:val="18"/>
                      <w:szCs w:val="18"/>
                      <w:lang w:val="en-GB"/>
                    </w:rPr>
                    <w:t>Obszar</w:t>
                  </w:r>
                  <w:proofErr w:type="spellEnd"/>
                  <w:r w:rsidRPr="002C6855">
                    <w:rPr>
                      <w:rFonts w:asciiTheme="minorHAnsi" w:hAnsiTheme="minorHAnsi" w:cs="Arial"/>
                      <w:b/>
                      <w:bCs/>
                      <w:color w:val="FFFFFF"/>
                      <w:sz w:val="18"/>
                      <w:szCs w:val="18"/>
                      <w:lang w:val="en-GB"/>
                    </w:rPr>
                    <w:t xml:space="preserve"> </w:t>
                  </w:r>
                  <w:r w:rsidRPr="002C6855">
                    <w:rPr>
                      <w:rFonts w:asciiTheme="minorHAnsi" w:hAnsiTheme="minorHAnsi" w:cs="Arial"/>
                      <w:b/>
                      <w:bCs/>
                      <w:color w:val="FFFFFF"/>
                      <w:sz w:val="18"/>
                      <w:szCs w:val="18"/>
                      <w:lang w:val="en-GB"/>
                    </w:rPr>
                    <w:br/>
                  </w:r>
                  <w:proofErr w:type="spellStart"/>
                  <w:r w:rsidRPr="002C6855">
                    <w:rPr>
                      <w:rFonts w:asciiTheme="minorHAnsi" w:hAnsiTheme="minorHAnsi" w:cs="Arial"/>
                      <w:b/>
                      <w:bCs/>
                      <w:color w:val="FFFFFF"/>
                      <w:sz w:val="18"/>
                      <w:szCs w:val="18"/>
                      <w:lang w:val="en-GB"/>
                    </w:rPr>
                    <w:t>miejski</w:t>
                  </w:r>
                  <w:proofErr w:type="spellEnd"/>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22EB18F8" w14:textId="77777777" w:rsidR="00921721" w:rsidRPr="002F209F" w:rsidRDefault="00921721" w:rsidP="00880D09">
                  <w:pPr>
                    <w:snapToGrid w:val="0"/>
                    <w:spacing w:before="20" w:after="20"/>
                    <w:jc w:val="center"/>
                    <w:rPr>
                      <w:rFonts w:asciiTheme="minorHAnsi" w:hAnsiTheme="minorHAnsi" w:cs="Arial"/>
                      <w:b/>
                      <w:bCs/>
                      <w:color w:val="FFFFFF"/>
                      <w:sz w:val="18"/>
                      <w:szCs w:val="18"/>
                      <w:lang w:val="en-GB"/>
                    </w:rPr>
                  </w:pPr>
                  <w:proofErr w:type="spellStart"/>
                  <w:r w:rsidRPr="002C6855">
                    <w:rPr>
                      <w:rFonts w:asciiTheme="minorHAnsi" w:hAnsiTheme="minorHAnsi" w:cs="Arial"/>
                      <w:b/>
                      <w:bCs/>
                      <w:color w:val="FFFFFF"/>
                      <w:sz w:val="18"/>
                      <w:szCs w:val="18"/>
                      <w:lang w:val="en-GB"/>
                    </w:rPr>
                    <w:t>Obszar</w:t>
                  </w:r>
                  <w:proofErr w:type="spellEnd"/>
                  <w:r w:rsidRPr="002C6855">
                    <w:rPr>
                      <w:rFonts w:asciiTheme="minorHAnsi" w:hAnsiTheme="minorHAnsi" w:cs="Arial"/>
                      <w:b/>
                      <w:bCs/>
                      <w:color w:val="FFFFFF"/>
                      <w:sz w:val="18"/>
                      <w:szCs w:val="18"/>
                      <w:lang w:val="en-GB"/>
                    </w:rPr>
                    <w:t xml:space="preserve"> </w:t>
                  </w:r>
                  <w:r w:rsidRPr="002C6855">
                    <w:rPr>
                      <w:rFonts w:asciiTheme="minorHAnsi" w:hAnsiTheme="minorHAnsi" w:cs="Arial"/>
                      <w:b/>
                      <w:bCs/>
                      <w:color w:val="FFFFFF"/>
                      <w:sz w:val="18"/>
                      <w:szCs w:val="18"/>
                      <w:lang w:val="en-GB"/>
                    </w:rPr>
                    <w:br/>
                  </w:r>
                  <w:proofErr w:type="spellStart"/>
                  <w:r w:rsidRPr="002C6855">
                    <w:rPr>
                      <w:rFonts w:asciiTheme="minorHAnsi" w:hAnsiTheme="minorHAnsi" w:cs="Arial"/>
                      <w:b/>
                      <w:bCs/>
                      <w:color w:val="FFFFFF"/>
                      <w:sz w:val="18"/>
                      <w:szCs w:val="18"/>
                      <w:lang w:val="en-GB"/>
                    </w:rPr>
                    <w:t>zamiejski</w:t>
                  </w:r>
                  <w:proofErr w:type="spellEnd"/>
                </w:p>
              </w:tc>
            </w:tr>
            <w:tr w:rsidR="00921721" w:rsidRPr="007463B9" w14:paraId="2869E1AE"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D15763" w14:textId="77777777" w:rsidR="00921721" w:rsidRPr="001569CA"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LV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22125C90"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0,057</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3575D3DC"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44D66B5"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0,0004</w:t>
                  </w:r>
                </w:p>
              </w:tc>
            </w:tr>
            <w:tr w:rsidR="00921721" w:rsidRPr="007463B9" w14:paraId="4E016C3E"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103A555" w14:textId="77777777" w:rsidR="00921721" w:rsidRPr="00CA444D"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HGV</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03EA6E8C"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0,703</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539F9AF8"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2D090494"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0,005</w:t>
                  </w:r>
                </w:p>
              </w:tc>
            </w:tr>
            <w:tr w:rsidR="00921721" w:rsidRPr="007463B9" w14:paraId="0FF7A3AF"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A2757E" w14:textId="77777777" w:rsidR="00921721" w:rsidRDefault="00921721" w:rsidP="00880D09">
                  <w:pPr>
                    <w:spacing w:before="20"/>
                    <w:rPr>
                      <w:rFonts w:asciiTheme="minorHAnsi" w:hAnsiTheme="minorHAnsi" w:cs="Arial"/>
                      <w:color w:val="4F81BD" w:themeColor="accent1"/>
                      <w:sz w:val="18"/>
                      <w:szCs w:val="18"/>
                      <w:lang w:val="en-GB"/>
                    </w:rPr>
                  </w:pPr>
                  <w:proofErr w:type="spellStart"/>
                  <w:r>
                    <w:rPr>
                      <w:rFonts w:asciiTheme="minorHAnsi" w:hAnsiTheme="minorHAnsi" w:cs="Arial"/>
                      <w:color w:val="4F81BD" w:themeColor="accent1"/>
                      <w:sz w:val="18"/>
                      <w:szCs w:val="18"/>
                      <w:lang w:val="en-GB"/>
                    </w:rPr>
                    <w:t>Autobus</w:t>
                  </w:r>
                  <w:proofErr w:type="spellEnd"/>
                  <w:r>
                    <w:rPr>
                      <w:rFonts w:asciiTheme="minorHAnsi" w:hAnsiTheme="minorHAnsi" w:cs="Arial"/>
                      <w:color w:val="4F81BD" w:themeColor="accent1"/>
                      <w:sz w:val="18"/>
                      <w:szCs w:val="18"/>
                      <w:lang w:val="en-GB"/>
                    </w:rPr>
                    <w:t xml:space="preserve">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1E823CFD"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0,444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56A8410"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0,028</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62591E98"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0,003</w:t>
                  </w:r>
                </w:p>
              </w:tc>
            </w:tr>
          </w:tbl>
          <w:p w14:paraId="2A4F2AB8" w14:textId="77777777" w:rsidR="00921721" w:rsidRDefault="00921721" w:rsidP="00880D09">
            <w:pPr>
              <w:ind w:right="170"/>
              <w:jc w:val="both"/>
              <w:rPr>
                <w:rFonts w:asciiTheme="minorHAnsi" w:hAnsiTheme="minorHAnsi" w:cs="Arial"/>
                <w:b/>
                <w:i/>
                <w:sz w:val="16"/>
                <w:szCs w:val="16"/>
                <w:lang w:val="en-US"/>
              </w:rPr>
            </w:pPr>
            <w:proofErr w:type="spellStart"/>
            <w:r w:rsidRPr="002C6855">
              <w:rPr>
                <w:rFonts w:asciiTheme="minorHAnsi" w:hAnsiTheme="minorHAnsi" w:cs="Arial"/>
                <w:b/>
                <w:i/>
                <w:sz w:val="16"/>
                <w:szCs w:val="16"/>
                <w:lang w:val="en-US"/>
              </w:rPr>
              <w:t>Źródło</w:t>
            </w:r>
            <w:proofErr w:type="spellEnd"/>
            <w:r w:rsidRPr="00CF54F6">
              <w:rPr>
                <w:rFonts w:asciiTheme="minorHAnsi" w:hAnsiTheme="minorHAnsi" w:cs="Arial"/>
                <w:b/>
                <w:i/>
                <w:sz w:val="16"/>
                <w:szCs w:val="16"/>
                <w:lang w:val="en-US"/>
              </w:rPr>
              <w:t xml:space="preserve">: CUPT-JASPERS work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w:t>
            </w:r>
            <w:r w:rsidRPr="002C6855">
              <w:rPr>
                <w:rFonts w:asciiTheme="minorHAnsi" w:hAnsiTheme="minorHAnsi" w:cs="Arial"/>
                <w:b/>
                <w:i/>
                <w:sz w:val="16"/>
                <w:szCs w:val="16"/>
                <w:lang w:val="en-US"/>
              </w:rPr>
              <w:t xml:space="preserve"> </w:t>
            </w:r>
          </w:p>
          <w:p w14:paraId="3A26ACE3" w14:textId="77777777" w:rsidR="00921721" w:rsidRPr="002C6855" w:rsidRDefault="00921721" w:rsidP="00880D09">
            <w:pPr>
              <w:ind w:right="170"/>
              <w:jc w:val="both"/>
              <w:rPr>
                <w:rFonts w:asciiTheme="minorHAnsi" w:hAnsiTheme="minorHAnsi" w:cs="Arial"/>
                <w:snapToGrid w:val="0"/>
                <w:sz w:val="20"/>
                <w:szCs w:val="20"/>
                <w:lang w:eastAsia="en-US"/>
              </w:rPr>
            </w:pPr>
            <w:r w:rsidRPr="003E7EB2">
              <w:rPr>
                <w:rFonts w:asciiTheme="minorHAnsi" w:hAnsiTheme="minorHAnsi" w:cs="Arial"/>
                <w:b/>
                <w:i/>
                <w:sz w:val="16"/>
                <w:szCs w:val="16"/>
              </w:rPr>
              <w:t xml:space="preserve">(*) Obszar metropolitalny: miasto lub aglomeracja o liczbie mieszkańców przekraczającej 0,5 miliona (definicja według </w:t>
            </w:r>
            <w:proofErr w:type="spellStart"/>
            <w:r w:rsidRPr="003E7EB2">
              <w:rPr>
                <w:rFonts w:asciiTheme="minorHAnsi" w:hAnsiTheme="minorHAnsi" w:cs="Arial"/>
                <w:b/>
                <w:i/>
                <w:sz w:val="16"/>
                <w:szCs w:val="16"/>
              </w:rPr>
              <w:t>Handbook</w:t>
            </w:r>
            <w:proofErr w:type="spellEnd"/>
            <w:r w:rsidRPr="003E7EB2">
              <w:rPr>
                <w:rFonts w:asciiTheme="minorHAnsi" w:hAnsiTheme="minorHAnsi" w:cs="Arial"/>
                <w:b/>
                <w:i/>
                <w:sz w:val="16"/>
                <w:szCs w:val="16"/>
              </w:rPr>
              <w:t xml:space="preserve"> on the </w:t>
            </w:r>
            <w:proofErr w:type="spellStart"/>
            <w:r w:rsidRPr="003E7EB2">
              <w:rPr>
                <w:rFonts w:asciiTheme="minorHAnsi" w:hAnsiTheme="minorHAnsi" w:cs="Arial"/>
                <w:b/>
                <w:i/>
                <w:sz w:val="16"/>
                <w:szCs w:val="16"/>
              </w:rPr>
              <w:t>External</w:t>
            </w:r>
            <w:proofErr w:type="spellEnd"/>
            <w:r w:rsidRPr="003E7EB2">
              <w:rPr>
                <w:rFonts w:asciiTheme="minorHAnsi" w:hAnsiTheme="minorHAnsi" w:cs="Arial"/>
                <w:b/>
                <w:i/>
                <w:sz w:val="16"/>
                <w:szCs w:val="16"/>
              </w:rPr>
              <w:t xml:space="preserve"> </w:t>
            </w:r>
            <w:proofErr w:type="spellStart"/>
            <w:r w:rsidRPr="003E7EB2">
              <w:rPr>
                <w:rFonts w:asciiTheme="minorHAnsi" w:hAnsiTheme="minorHAnsi" w:cs="Arial"/>
                <w:b/>
                <w:i/>
                <w:sz w:val="16"/>
                <w:szCs w:val="16"/>
              </w:rPr>
              <w:t>Costs</w:t>
            </w:r>
            <w:proofErr w:type="spellEnd"/>
            <w:r w:rsidRPr="003E7EB2">
              <w:rPr>
                <w:rFonts w:asciiTheme="minorHAnsi" w:hAnsiTheme="minorHAnsi" w:cs="Arial"/>
                <w:b/>
                <w:i/>
                <w:sz w:val="16"/>
                <w:szCs w:val="16"/>
              </w:rPr>
              <w:t xml:space="preserve"> of Transport, EC, January 2019)</w:t>
            </w:r>
          </w:p>
          <w:p w14:paraId="78C34459" w14:textId="77777777" w:rsidR="00921721" w:rsidRPr="00054D26" w:rsidRDefault="00921721" w:rsidP="00880D09">
            <w:pPr>
              <w:ind w:right="170"/>
              <w:jc w:val="both"/>
              <w:rPr>
                <w:rFonts w:asciiTheme="minorHAnsi" w:hAnsiTheme="minorHAnsi" w:cs="Arial"/>
                <w:snapToGrid w:val="0"/>
                <w:sz w:val="20"/>
                <w:szCs w:val="20"/>
                <w:highlight w:val="yellow"/>
                <w:lang w:eastAsia="en-US"/>
              </w:rPr>
            </w:pPr>
          </w:p>
          <w:p w14:paraId="7621F9E6" w14:textId="77777777" w:rsidR="00921721" w:rsidRPr="00054D26" w:rsidRDefault="00921721" w:rsidP="00880D09">
            <w:pPr>
              <w:ind w:right="170"/>
              <w:jc w:val="both"/>
              <w:rPr>
                <w:rFonts w:asciiTheme="minorHAnsi" w:hAnsiTheme="minorHAnsi" w:cs="Arial"/>
                <w:snapToGrid w:val="0"/>
                <w:sz w:val="20"/>
                <w:szCs w:val="20"/>
                <w:lang w:eastAsia="en-US"/>
              </w:rPr>
            </w:pPr>
            <w:r w:rsidRPr="00054D26">
              <w:rPr>
                <w:rStyle w:val="jlqj4b"/>
                <w:rFonts w:asciiTheme="minorHAnsi" w:hAnsiTheme="minorHAnsi" w:cstheme="minorHAnsi"/>
                <w:color w:val="000000"/>
                <w:sz w:val="20"/>
                <w:szCs w:val="20"/>
              </w:rPr>
              <w:t>Pojazdy elektryczne nie są uwzględnione.</w:t>
            </w:r>
            <w:r w:rsidRPr="00054D26">
              <w:rPr>
                <w:rStyle w:val="viiyi"/>
                <w:rFonts w:asciiTheme="minorHAnsi" w:hAnsiTheme="minorHAnsi" w:cstheme="minorHAnsi"/>
                <w:color w:val="000000"/>
                <w:sz w:val="20"/>
                <w:szCs w:val="20"/>
              </w:rPr>
              <w:t xml:space="preserve"> </w:t>
            </w:r>
            <w:r w:rsidRPr="00054D26">
              <w:rPr>
                <w:rStyle w:val="jlqj4b"/>
                <w:rFonts w:asciiTheme="minorHAnsi" w:hAnsiTheme="minorHAnsi" w:cstheme="minorHAnsi"/>
                <w:color w:val="000000"/>
                <w:sz w:val="20"/>
                <w:szCs w:val="20"/>
              </w:rPr>
              <w:t>Zakłada się, że koszty hałasu są pomi</w:t>
            </w:r>
            <w:r>
              <w:rPr>
                <w:rStyle w:val="jlqj4b"/>
                <w:rFonts w:asciiTheme="minorHAnsi" w:hAnsiTheme="minorHAnsi" w:cstheme="minorHAnsi"/>
                <w:color w:val="000000"/>
                <w:sz w:val="20"/>
                <w:szCs w:val="20"/>
              </w:rPr>
              <w:t>jane</w:t>
            </w:r>
            <w:r w:rsidRPr="00054D26">
              <w:rPr>
                <w:rStyle w:val="jlqj4b"/>
                <w:rFonts w:asciiTheme="minorHAnsi" w:hAnsiTheme="minorHAnsi" w:cstheme="minorHAnsi"/>
                <w:color w:val="000000"/>
                <w:sz w:val="20"/>
                <w:szCs w:val="20"/>
              </w:rPr>
              <w:t xml:space="preserve"> dla pojazdów elektrycznych, tzn. wartości jednostkowe dotyczą tylko pojazdów z silnikiem spalinowym</w:t>
            </w:r>
            <w:r w:rsidRPr="00054D26">
              <w:rPr>
                <w:rFonts w:asciiTheme="minorHAnsi" w:hAnsiTheme="minorHAnsi" w:cs="Arial"/>
                <w:snapToGrid w:val="0"/>
                <w:sz w:val="20"/>
                <w:szCs w:val="20"/>
                <w:lang w:eastAsia="en-US"/>
              </w:rPr>
              <w:t xml:space="preserve">. </w:t>
            </w:r>
          </w:p>
          <w:p w14:paraId="107CD83B" w14:textId="77777777" w:rsidR="00921721" w:rsidRPr="00054D26" w:rsidRDefault="00921721" w:rsidP="00880D09">
            <w:pPr>
              <w:ind w:right="170"/>
              <w:jc w:val="both"/>
              <w:rPr>
                <w:rFonts w:asciiTheme="minorHAnsi" w:hAnsiTheme="minorHAnsi" w:cs="Arial"/>
                <w:snapToGrid w:val="0"/>
                <w:sz w:val="20"/>
                <w:szCs w:val="20"/>
                <w:lang w:eastAsia="en-US"/>
              </w:rPr>
            </w:pPr>
          </w:p>
          <w:p w14:paraId="208003A9" w14:textId="77777777" w:rsidR="00921721" w:rsidRPr="00A40C0A" w:rsidRDefault="00921721" w:rsidP="00880D09">
            <w:pPr>
              <w:ind w:right="170"/>
              <w:jc w:val="both"/>
              <w:rPr>
                <w:rFonts w:asciiTheme="minorHAnsi" w:hAnsiTheme="minorHAnsi"/>
                <w:u w:val="single"/>
                <w:lang w:eastAsia="en-US"/>
              </w:rPr>
            </w:pPr>
            <w:r w:rsidRPr="00A40C0A">
              <w:rPr>
                <w:rFonts w:asciiTheme="minorHAnsi" w:hAnsiTheme="minorHAnsi" w:cs="Arial"/>
                <w:snapToGrid w:val="0"/>
                <w:sz w:val="20"/>
                <w:szCs w:val="20"/>
                <w:u w:val="single"/>
                <w:lang w:eastAsia="en-US"/>
              </w:rPr>
              <w:t>Transport kolejowy</w:t>
            </w:r>
          </w:p>
          <w:p w14:paraId="6A193505" w14:textId="77777777" w:rsidR="00921721" w:rsidRPr="002C6855" w:rsidRDefault="00921721" w:rsidP="00880D09">
            <w:pPr>
              <w:pStyle w:val="anxnormal"/>
              <w:ind w:left="0"/>
              <w:rPr>
                <w:rFonts w:asciiTheme="minorHAnsi" w:hAnsiTheme="minorHAnsi"/>
                <w:lang w:eastAsia="en-US"/>
              </w:rPr>
            </w:pPr>
            <w:r>
              <w:rPr>
                <w:rFonts w:asciiTheme="minorHAnsi" w:hAnsiTheme="minorHAnsi"/>
                <w:lang w:eastAsia="en-US"/>
              </w:rPr>
              <w:t>J</w:t>
            </w:r>
            <w:r w:rsidRPr="00731E4E">
              <w:rPr>
                <w:rFonts w:asciiTheme="minorHAnsi" w:hAnsiTheme="minorHAnsi"/>
                <w:lang w:eastAsia="en-US"/>
              </w:rPr>
              <w:t>ednostkowe koszty ekonomiczne hałasu</w:t>
            </w:r>
            <w:r>
              <w:rPr>
                <w:rFonts w:asciiTheme="minorHAnsi" w:hAnsiTheme="minorHAnsi"/>
                <w:lang w:eastAsia="en-US"/>
              </w:rPr>
              <w:t xml:space="preserve"> pociągów</w:t>
            </w:r>
            <w:r w:rsidRPr="00731E4E">
              <w:rPr>
                <w:rFonts w:asciiTheme="minorHAnsi" w:hAnsiTheme="minorHAnsi"/>
                <w:lang w:eastAsia="en-US"/>
              </w:rPr>
              <w:t xml:space="preserve"> [PLN/</w:t>
            </w:r>
            <w:proofErr w:type="spellStart"/>
            <w:r>
              <w:rPr>
                <w:rFonts w:asciiTheme="minorHAnsi" w:hAnsiTheme="minorHAnsi"/>
                <w:lang w:eastAsia="en-US"/>
              </w:rPr>
              <w:t>poc</w:t>
            </w:r>
            <w:proofErr w:type="spellEnd"/>
            <w:r w:rsidRPr="00731E4E">
              <w:rPr>
                <w:rFonts w:asciiTheme="minorHAnsi" w:hAnsiTheme="minorHAnsi"/>
                <w:lang w:eastAsia="en-US"/>
              </w:rPr>
              <w:t xml:space="preserve">-km], ceny </w:t>
            </w:r>
            <w:r>
              <w:rPr>
                <w:rFonts w:asciiTheme="minorHAnsi" w:hAnsiTheme="minorHAnsi"/>
                <w:lang w:eastAsia="en-US"/>
              </w:rPr>
              <w:t>2021</w:t>
            </w:r>
          </w:p>
          <w:tbl>
            <w:tblPr>
              <w:tblW w:w="6176" w:type="dxa"/>
              <w:tblLayout w:type="fixed"/>
              <w:tblLook w:val="04A0" w:firstRow="1" w:lastRow="0" w:firstColumn="1" w:lastColumn="0" w:noHBand="0" w:noVBand="1"/>
            </w:tblPr>
            <w:tblGrid>
              <w:gridCol w:w="2593"/>
              <w:gridCol w:w="1107"/>
              <w:gridCol w:w="1238"/>
              <w:gridCol w:w="1238"/>
            </w:tblGrid>
            <w:tr w:rsidR="00921721" w:rsidRPr="003D4863" w14:paraId="5890026A" w14:textId="77777777" w:rsidTr="00880D09">
              <w:trPr>
                <w:trHeight w:hRule="exact" w:val="677"/>
              </w:trPr>
              <w:tc>
                <w:tcPr>
                  <w:tcW w:w="259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413FDB8"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3E7EB2">
                    <w:rPr>
                      <w:rFonts w:asciiTheme="minorHAnsi" w:hAnsiTheme="minorHAnsi" w:cs="Arial"/>
                      <w:b/>
                      <w:bCs/>
                      <w:color w:val="FFFFFF"/>
                      <w:sz w:val="16"/>
                      <w:szCs w:val="16"/>
                    </w:rPr>
                    <w:t xml:space="preserve">Wartości jednostkowe w oparciu </w:t>
                  </w:r>
                  <w:r w:rsidRPr="00387FFD">
                    <w:rPr>
                      <w:rFonts w:asciiTheme="minorHAnsi" w:hAnsiTheme="minorHAnsi" w:cs="Arial"/>
                      <w:b/>
                      <w:bCs/>
                      <w:color w:val="FFFFFF"/>
                      <w:sz w:val="16"/>
                      <w:szCs w:val="16"/>
                    </w:rPr>
                    <w:t>o</w:t>
                  </w:r>
                  <w:r>
                    <w:rPr>
                      <w:rFonts w:asciiTheme="minorHAnsi" w:hAnsiTheme="minorHAnsi" w:cs="Arial"/>
                      <w:b/>
                      <w:bCs/>
                      <w:color w:val="FFFFFF"/>
                      <w:sz w:val="16"/>
                      <w:szCs w:val="16"/>
                    </w:rPr>
                    <w:t xml:space="preserve"> k</w:t>
                  </w:r>
                  <w:r w:rsidRPr="003350DF">
                    <w:rPr>
                      <w:rFonts w:asciiTheme="minorHAnsi" w:hAnsiTheme="minorHAnsi" w:cs="Arial"/>
                      <w:b/>
                      <w:bCs/>
                      <w:color w:val="FFFFFF"/>
                      <w:sz w:val="16"/>
                      <w:szCs w:val="16"/>
                    </w:rPr>
                    <w:t xml:space="preserve">rańcowe koszty zewnętrzne hałasu </w:t>
                  </w:r>
                  <w:r w:rsidRPr="003E7EB2">
                    <w:rPr>
                      <w:rFonts w:asciiTheme="minorHAnsi" w:hAnsiTheme="minorHAnsi" w:cs="Arial"/>
                      <w:b/>
                      <w:bCs/>
                      <w:color w:val="FFFFFF"/>
                      <w:sz w:val="16"/>
                      <w:szCs w:val="16"/>
                    </w:rPr>
                    <w:t>(PLN/</w:t>
                  </w:r>
                  <w:proofErr w:type="spellStart"/>
                  <w:r w:rsidRPr="003E7EB2">
                    <w:rPr>
                      <w:rFonts w:asciiTheme="minorHAnsi" w:hAnsiTheme="minorHAnsi" w:cs="Arial"/>
                      <w:b/>
                      <w:bCs/>
                      <w:color w:val="FFFFFF"/>
                      <w:sz w:val="16"/>
                      <w:szCs w:val="16"/>
                    </w:rPr>
                    <w:t>po</w:t>
                  </w:r>
                  <w:r>
                    <w:rPr>
                      <w:rFonts w:asciiTheme="minorHAnsi" w:hAnsiTheme="minorHAnsi" w:cs="Arial"/>
                      <w:b/>
                      <w:bCs/>
                      <w:color w:val="FFFFFF"/>
                      <w:sz w:val="16"/>
                      <w:szCs w:val="16"/>
                    </w:rPr>
                    <w:t>c</w:t>
                  </w:r>
                  <w:proofErr w:type="spellEnd"/>
                  <w:r w:rsidRPr="003E7EB2">
                    <w:rPr>
                      <w:rFonts w:asciiTheme="minorHAnsi" w:hAnsiTheme="minorHAnsi" w:cs="Arial"/>
                      <w:b/>
                      <w:bCs/>
                      <w:color w:val="FFFFFF"/>
                      <w:sz w:val="16"/>
                      <w:szCs w:val="16"/>
                    </w:rPr>
                    <w:t>-km)</w:t>
                  </w:r>
                </w:p>
              </w:tc>
              <w:tc>
                <w:tcPr>
                  <w:tcW w:w="1107"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DF9742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Metropolia (*)</w:t>
                  </w:r>
                </w:p>
              </w:tc>
              <w:tc>
                <w:tcPr>
                  <w:tcW w:w="1238"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5EAD79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Obszar </w:t>
                  </w:r>
                  <w:r w:rsidRPr="002C6855">
                    <w:rPr>
                      <w:rFonts w:asciiTheme="minorHAnsi" w:hAnsiTheme="minorHAnsi" w:cs="Arial"/>
                      <w:b/>
                      <w:bCs/>
                      <w:color w:val="FFFFFF"/>
                      <w:sz w:val="18"/>
                      <w:szCs w:val="18"/>
                    </w:rPr>
                    <w:br/>
                    <w:t>miejski</w:t>
                  </w:r>
                </w:p>
              </w:tc>
              <w:tc>
                <w:tcPr>
                  <w:tcW w:w="1238" w:type="dxa"/>
                  <w:tcBorders>
                    <w:top w:val="single" w:sz="4" w:space="0" w:color="FFFFFF"/>
                    <w:left w:val="single" w:sz="4" w:space="0" w:color="FFFFFF"/>
                    <w:bottom w:val="single" w:sz="4" w:space="0" w:color="FFFFFF"/>
                    <w:right w:val="nil"/>
                  </w:tcBorders>
                  <w:shd w:val="clear" w:color="auto" w:fill="A6A6A6" w:themeFill="background1" w:themeFillShade="A6"/>
                  <w:vAlign w:val="bottom"/>
                </w:tcPr>
                <w:p w14:paraId="6D5E5FD9"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Obszar </w:t>
                  </w:r>
                  <w:r w:rsidRPr="002C6855">
                    <w:rPr>
                      <w:rFonts w:asciiTheme="minorHAnsi" w:hAnsiTheme="minorHAnsi" w:cs="Arial"/>
                      <w:b/>
                      <w:bCs/>
                      <w:color w:val="FFFFFF"/>
                      <w:sz w:val="18"/>
                      <w:szCs w:val="18"/>
                    </w:rPr>
                    <w:br/>
                    <w:t>zamiejski</w:t>
                  </w:r>
                </w:p>
              </w:tc>
            </w:tr>
            <w:tr w:rsidR="00921721" w:rsidRPr="003D4863" w14:paraId="29C2675B" w14:textId="77777777" w:rsidTr="00880D09">
              <w:trPr>
                <w:trHeight w:val="564"/>
              </w:trPr>
              <w:tc>
                <w:tcPr>
                  <w:tcW w:w="259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B97CA5" w14:textId="77777777" w:rsidR="00921721" w:rsidRPr="002C6855" w:rsidRDefault="00921721" w:rsidP="00880D09">
                  <w:pPr>
                    <w:spacing w:before="20"/>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Pociągi pasażerskie </w:t>
                  </w:r>
                  <w:proofErr w:type="spellStart"/>
                  <w:r w:rsidRPr="002C6855">
                    <w:rPr>
                      <w:rFonts w:asciiTheme="minorHAnsi" w:hAnsiTheme="minorHAnsi" w:cs="Arial"/>
                      <w:color w:val="4F81BD" w:themeColor="accent1"/>
                      <w:sz w:val="18"/>
                      <w:szCs w:val="18"/>
                    </w:rPr>
                    <w:t>międzyaglomeracyjne</w:t>
                  </w:r>
                  <w:proofErr w:type="spellEnd"/>
                </w:p>
              </w:tc>
              <w:tc>
                <w:tcPr>
                  <w:tcW w:w="110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EF7B25" w14:textId="77777777" w:rsidR="00921721" w:rsidRPr="002C6855"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269</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53EC92" w14:textId="77777777" w:rsidR="00921721" w:rsidRPr="002C6855"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627</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A7645F" w14:textId="77777777" w:rsidR="00921721" w:rsidRPr="002C6855"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081</w:t>
                  </w:r>
                </w:p>
              </w:tc>
            </w:tr>
            <w:tr w:rsidR="00921721" w:rsidRPr="001F00C4" w14:paraId="1FA40E12" w14:textId="77777777" w:rsidTr="00880D09">
              <w:trPr>
                <w:trHeight w:val="564"/>
              </w:trPr>
              <w:tc>
                <w:tcPr>
                  <w:tcW w:w="259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03D58B" w14:textId="77777777" w:rsidR="00921721" w:rsidRPr="002C6855" w:rsidRDefault="00921721" w:rsidP="00880D09">
                  <w:pPr>
                    <w:spacing w:before="20"/>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lastRenderedPageBreak/>
                    <w:t>Pociągi towarowe</w:t>
                  </w:r>
                </w:p>
              </w:tc>
              <w:tc>
                <w:tcPr>
                  <w:tcW w:w="110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23F3EA" w14:textId="77777777" w:rsidR="00921721" w:rsidRPr="001F00C4"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852</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51173F" w14:textId="77777777" w:rsidR="00921721" w:rsidRPr="001F00C4"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808</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F5B16A" w14:textId="77777777" w:rsidR="00921721" w:rsidRPr="001F00C4"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117</w:t>
                  </w:r>
                </w:p>
              </w:tc>
            </w:tr>
          </w:tbl>
          <w:p w14:paraId="73BC84DA" w14:textId="77777777" w:rsidR="00921721" w:rsidRPr="003C5433" w:rsidRDefault="00921721" w:rsidP="00880D09">
            <w:pPr>
              <w:ind w:right="170"/>
              <w:jc w:val="both"/>
              <w:rPr>
                <w:rFonts w:asciiTheme="minorHAnsi" w:hAnsiTheme="minorHAnsi" w:cs="Arial"/>
                <w:snapToGrid w:val="0"/>
                <w:sz w:val="20"/>
                <w:szCs w:val="20"/>
                <w:lang w:eastAsia="en-US"/>
              </w:rPr>
            </w:pPr>
            <w:r w:rsidRPr="003C5433">
              <w:rPr>
                <w:rFonts w:asciiTheme="minorHAnsi" w:hAnsiTheme="minorHAnsi" w:cs="Arial"/>
                <w:b/>
                <w:i/>
                <w:sz w:val="16"/>
                <w:szCs w:val="16"/>
              </w:rPr>
              <w:t>Źródło:</w:t>
            </w:r>
            <w:r w:rsidRPr="003C5433">
              <w:t xml:space="preserve"> </w:t>
            </w:r>
            <w:r w:rsidRPr="003C5433">
              <w:rPr>
                <w:rFonts w:asciiTheme="minorHAnsi" w:hAnsiTheme="minorHAnsi" w:cs="Arial"/>
                <w:b/>
                <w:i/>
                <w:sz w:val="16"/>
                <w:szCs w:val="16"/>
              </w:rPr>
              <w:t xml:space="preserve">obliczenia własne na podstawie </w:t>
            </w:r>
            <w:proofErr w:type="spellStart"/>
            <w:r w:rsidRPr="003C5433">
              <w:rPr>
                <w:rFonts w:asciiTheme="minorHAnsi" w:hAnsiTheme="minorHAnsi" w:cs="Arial"/>
                <w:b/>
                <w:i/>
                <w:sz w:val="16"/>
                <w:szCs w:val="16"/>
              </w:rPr>
              <w:t>Handbook</w:t>
            </w:r>
            <w:proofErr w:type="spellEnd"/>
            <w:r w:rsidRPr="003C5433">
              <w:rPr>
                <w:rFonts w:asciiTheme="minorHAnsi" w:hAnsiTheme="minorHAnsi" w:cs="Arial"/>
                <w:b/>
                <w:i/>
                <w:sz w:val="16"/>
                <w:szCs w:val="16"/>
              </w:rPr>
              <w:t xml:space="preserve"> on the </w:t>
            </w:r>
            <w:proofErr w:type="spellStart"/>
            <w:r w:rsidRPr="003C5433">
              <w:rPr>
                <w:rFonts w:asciiTheme="minorHAnsi" w:hAnsiTheme="minorHAnsi" w:cs="Arial"/>
                <w:b/>
                <w:i/>
                <w:sz w:val="16"/>
                <w:szCs w:val="16"/>
              </w:rPr>
              <w:t>External</w:t>
            </w:r>
            <w:proofErr w:type="spellEnd"/>
            <w:r w:rsidRPr="003C5433">
              <w:rPr>
                <w:rFonts w:asciiTheme="minorHAnsi" w:hAnsiTheme="minorHAnsi" w:cs="Arial"/>
                <w:b/>
                <w:i/>
                <w:sz w:val="16"/>
                <w:szCs w:val="16"/>
              </w:rPr>
              <w:t xml:space="preserve"> </w:t>
            </w:r>
            <w:proofErr w:type="spellStart"/>
            <w:r w:rsidRPr="003C5433">
              <w:rPr>
                <w:rFonts w:asciiTheme="minorHAnsi" w:hAnsiTheme="minorHAnsi" w:cs="Arial"/>
                <w:b/>
                <w:i/>
                <w:sz w:val="16"/>
                <w:szCs w:val="16"/>
              </w:rPr>
              <w:t>Costs</w:t>
            </w:r>
            <w:proofErr w:type="spellEnd"/>
            <w:r w:rsidRPr="003C5433">
              <w:rPr>
                <w:rFonts w:asciiTheme="minorHAnsi" w:hAnsiTheme="minorHAnsi" w:cs="Arial"/>
                <w:b/>
                <w:i/>
                <w:sz w:val="16"/>
                <w:szCs w:val="16"/>
              </w:rPr>
              <w:t xml:space="preserve"> of Transport (January 2019), plik "FINAL_marginal_costs_air-poll_climate_WTT_noise.xlsx", zakładka "</w:t>
            </w:r>
            <w:proofErr w:type="spellStart"/>
            <w:r w:rsidRPr="003C5433">
              <w:rPr>
                <w:rFonts w:asciiTheme="minorHAnsi" w:hAnsiTheme="minorHAnsi" w:cs="Arial"/>
                <w:b/>
                <w:i/>
                <w:sz w:val="16"/>
                <w:szCs w:val="16"/>
              </w:rPr>
              <w:t>noise_all</w:t>
            </w:r>
            <w:proofErr w:type="spellEnd"/>
            <w:r w:rsidRPr="003C5433">
              <w:rPr>
                <w:rFonts w:asciiTheme="minorHAnsi" w:hAnsiTheme="minorHAnsi" w:cs="Arial"/>
                <w:b/>
                <w:i/>
                <w:sz w:val="16"/>
                <w:szCs w:val="16"/>
              </w:rPr>
              <w:t>"</w:t>
            </w:r>
          </w:p>
          <w:p w14:paraId="2241A7DE" w14:textId="77777777" w:rsidR="00921721" w:rsidRPr="002C6855" w:rsidRDefault="00921721" w:rsidP="00880D09">
            <w:pPr>
              <w:pStyle w:val="anxnormal"/>
              <w:ind w:left="0"/>
              <w:rPr>
                <w:rFonts w:asciiTheme="minorHAnsi" w:hAnsiTheme="minorHAnsi"/>
                <w:u w:val="single"/>
                <w:lang w:eastAsia="en-US"/>
              </w:rPr>
            </w:pPr>
            <w:r w:rsidRPr="002C6855">
              <w:rPr>
                <w:rFonts w:asciiTheme="minorHAnsi" w:hAnsiTheme="minorHAnsi"/>
                <w:u w:val="single"/>
                <w:lang w:eastAsia="en-US"/>
              </w:rPr>
              <w:t>Metoda druga</w:t>
            </w:r>
          </w:p>
          <w:p w14:paraId="4BD1AF1D" w14:textId="77777777" w:rsidR="00921721" w:rsidRPr="002C6855" w:rsidRDefault="00921721" w:rsidP="00880D09">
            <w:pPr>
              <w:pStyle w:val="anxnormal"/>
              <w:spacing w:after="120"/>
              <w:ind w:left="0"/>
              <w:rPr>
                <w:rFonts w:asciiTheme="minorHAnsi" w:hAnsiTheme="minorHAnsi"/>
                <w:lang w:eastAsia="en-US"/>
              </w:rPr>
            </w:pPr>
            <w:r w:rsidRPr="002C6855">
              <w:rPr>
                <w:rFonts w:asciiTheme="minorHAnsi" w:hAnsiTheme="minorHAnsi"/>
                <w:lang w:eastAsia="en-US"/>
              </w:rPr>
              <w:t>Wskaźnik negatywnego wpływu hałasu: odsetek osób dorosłych poiryto</w:t>
            </w:r>
            <w:r>
              <w:rPr>
                <w:rFonts w:asciiTheme="minorHAnsi" w:hAnsiTheme="minorHAnsi"/>
                <w:lang w:eastAsia="en-US"/>
              </w:rPr>
              <w:t>wanych w odniesieniu do osób (w </w:t>
            </w:r>
            <w:r w:rsidRPr="002C6855">
              <w:rPr>
                <w:rFonts w:asciiTheme="minorHAnsi" w:hAnsiTheme="minorHAnsi"/>
                <w:lang w:eastAsia="en-US"/>
              </w:rPr>
              <w:t>każdym wieku) narażonych na nadmierny hałas</w:t>
            </w:r>
          </w:p>
          <w:tbl>
            <w:tblPr>
              <w:tblW w:w="4248" w:type="dxa"/>
              <w:tblLayout w:type="fixed"/>
              <w:tblLook w:val="04A0" w:firstRow="1" w:lastRow="0" w:firstColumn="1" w:lastColumn="0" w:noHBand="0" w:noVBand="1"/>
            </w:tblPr>
            <w:tblGrid>
              <w:gridCol w:w="1378"/>
              <w:gridCol w:w="2870"/>
            </w:tblGrid>
            <w:tr w:rsidR="00921721" w:rsidRPr="002F209F" w14:paraId="1BC88BAC" w14:textId="77777777" w:rsidTr="00880D09">
              <w:trPr>
                <w:trHeight w:hRule="exact" w:val="569"/>
              </w:trPr>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37BF9B" w14:textId="77777777" w:rsidR="00921721" w:rsidRPr="002C6855" w:rsidRDefault="00921721" w:rsidP="00880D09">
                  <w:pPr>
                    <w:jc w:val="center"/>
                    <w:rPr>
                      <w:rFonts w:asciiTheme="minorHAnsi" w:hAnsiTheme="minorHAnsi" w:cs="Arial"/>
                      <w:b/>
                      <w:bCs/>
                      <w:color w:val="FFFFFF"/>
                      <w:sz w:val="18"/>
                      <w:szCs w:val="18"/>
                    </w:rPr>
                  </w:pPr>
                  <w:proofErr w:type="spellStart"/>
                  <w:r w:rsidRPr="002C6855">
                    <w:rPr>
                      <w:rFonts w:asciiTheme="minorHAnsi" w:hAnsiTheme="minorHAnsi" w:cs="Arial"/>
                      <w:b/>
                      <w:bCs/>
                      <w:color w:val="FFFFFF"/>
                      <w:sz w:val="18"/>
                      <w:szCs w:val="18"/>
                    </w:rPr>
                    <w:t>LAeq</w:t>
                  </w:r>
                  <w:proofErr w:type="spellEnd"/>
                  <w:r w:rsidRPr="002C6855">
                    <w:rPr>
                      <w:rFonts w:asciiTheme="minorHAnsi" w:hAnsiTheme="minorHAnsi" w:cs="Arial"/>
                      <w:b/>
                      <w:bCs/>
                      <w:color w:val="FFFFFF"/>
                      <w:sz w:val="18"/>
                      <w:szCs w:val="18"/>
                    </w:rPr>
                    <w:t xml:space="preserve"> </w:t>
                  </w:r>
                  <w:proofErr w:type="spellStart"/>
                  <w:r w:rsidRPr="002C6855">
                    <w:rPr>
                      <w:rFonts w:asciiTheme="minorHAnsi" w:hAnsiTheme="minorHAnsi" w:cs="Arial"/>
                      <w:b/>
                      <w:bCs/>
                      <w:color w:val="FFFFFF"/>
                      <w:sz w:val="18"/>
                      <w:szCs w:val="18"/>
                    </w:rPr>
                    <w:t>dB</w:t>
                  </w:r>
                  <w:proofErr w:type="spellEnd"/>
                </w:p>
              </w:tc>
              <w:tc>
                <w:tcPr>
                  <w:tcW w:w="28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BE6F81" w14:textId="77777777" w:rsidR="00921721" w:rsidRPr="002C6855" w:rsidRDefault="00921721" w:rsidP="00880D09">
                  <w:pPr>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Odsetek osób narażonych na dokuczliwość hałasu (%)</w:t>
                  </w:r>
                </w:p>
              </w:tc>
            </w:tr>
            <w:tr w:rsidR="00921721" w:rsidRPr="002F209F" w14:paraId="146E0F3D"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A2F6D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55-57</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E54AA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5,6</w:t>
                  </w:r>
                </w:p>
              </w:tc>
            </w:tr>
            <w:tr w:rsidR="00921721" w:rsidRPr="002F209F" w14:paraId="16AE67C6"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4B4278"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58-60</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41CEF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7,5</w:t>
                  </w:r>
                </w:p>
              </w:tc>
            </w:tr>
            <w:tr w:rsidR="00921721" w:rsidRPr="002F209F" w14:paraId="511F451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CFE2AF"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61-63</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381F8E"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9,9</w:t>
                  </w:r>
                </w:p>
              </w:tc>
            </w:tr>
            <w:tr w:rsidR="00921721" w:rsidRPr="002F209F" w14:paraId="717B64F8"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AAF154"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64-66</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F8F92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13,0</w:t>
                  </w:r>
                </w:p>
              </w:tc>
            </w:tr>
            <w:tr w:rsidR="00921721" w:rsidRPr="002F209F" w14:paraId="2A3E8633"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DD7E73"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67-69</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48BB1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16,8</w:t>
                  </w:r>
                </w:p>
              </w:tc>
            </w:tr>
            <w:tr w:rsidR="00921721" w:rsidRPr="002F209F" w14:paraId="4F3F0E8C"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AF1D62"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70-72</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06FDAF"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21,5</w:t>
                  </w:r>
                </w:p>
              </w:tc>
            </w:tr>
            <w:tr w:rsidR="00921721" w:rsidRPr="002F209F" w14:paraId="391CCABE"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1DE0E2"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73-75</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4917A4"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27,3</w:t>
                  </w:r>
                </w:p>
              </w:tc>
            </w:tr>
            <w:tr w:rsidR="00921721" w:rsidRPr="002F209F" w14:paraId="0ABF73F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9A9E8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76-78</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C0BA7E"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34,2</w:t>
                  </w:r>
                </w:p>
              </w:tc>
            </w:tr>
            <w:tr w:rsidR="00921721" w:rsidRPr="002F209F" w14:paraId="6D93CF8E"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D10F7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78-81</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4C2E2B"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42,4</w:t>
                  </w:r>
                </w:p>
              </w:tc>
            </w:tr>
          </w:tbl>
          <w:p w14:paraId="5A8E73AB" w14:textId="77777777" w:rsidR="00921721" w:rsidRPr="00117D7B" w:rsidRDefault="00921721" w:rsidP="00880D09">
            <w:pPr>
              <w:ind w:right="170"/>
              <w:jc w:val="both"/>
              <w:rPr>
                <w:rFonts w:asciiTheme="minorHAnsi" w:hAnsiTheme="minorHAnsi" w:cs="Arial"/>
                <w:b/>
                <w:i/>
                <w:sz w:val="16"/>
                <w:szCs w:val="16"/>
              </w:rPr>
            </w:pPr>
            <w:r>
              <w:rPr>
                <w:rFonts w:asciiTheme="minorHAnsi" w:hAnsiTheme="minorHAnsi" w:cs="Arial"/>
                <w:b/>
                <w:i/>
                <w:sz w:val="16"/>
                <w:szCs w:val="16"/>
              </w:rPr>
              <w:t>Źródło: Opracowanie własne na </w:t>
            </w:r>
            <w:r w:rsidRPr="00117D7B">
              <w:rPr>
                <w:rFonts w:asciiTheme="minorHAnsi" w:hAnsiTheme="minorHAnsi" w:cs="Arial"/>
                <w:b/>
                <w:i/>
                <w:sz w:val="16"/>
                <w:szCs w:val="16"/>
              </w:rPr>
              <w:t>podstawie HEATCO.</w:t>
            </w:r>
          </w:p>
          <w:p w14:paraId="25F85558" w14:textId="77777777" w:rsidR="00921721" w:rsidRPr="002C6855" w:rsidRDefault="00921721" w:rsidP="00880D09">
            <w:pPr>
              <w:pStyle w:val="anxnormal"/>
              <w:spacing w:after="120"/>
              <w:ind w:left="0"/>
              <w:rPr>
                <w:rFonts w:asciiTheme="minorHAnsi" w:hAnsiTheme="minorHAnsi"/>
                <w:lang w:eastAsia="en-US"/>
              </w:rPr>
            </w:pPr>
            <w:r w:rsidRPr="002C6855">
              <w:rPr>
                <w:rFonts w:asciiTheme="minorHAnsi" w:hAnsiTheme="minorHAnsi"/>
                <w:lang w:eastAsia="en-US"/>
              </w:rPr>
              <w:t>Jednostkowe koszty ekonomiczne hałasu [PLN/osobę/rok], ceny 20</w:t>
            </w:r>
            <w:r>
              <w:rPr>
                <w:rFonts w:asciiTheme="minorHAnsi" w:hAnsiTheme="minorHAnsi"/>
                <w:lang w:eastAsia="en-US"/>
              </w:rPr>
              <w:t>21</w:t>
            </w:r>
          </w:p>
          <w:tbl>
            <w:tblPr>
              <w:tblW w:w="4849" w:type="dxa"/>
              <w:tblLayout w:type="fixed"/>
              <w:tblLook w:val="04A0" w:firstRow="1" w:lastRow="0" w:firstColumn="1" w:lastColumn="0" w:noHBand="0" w:noVBand="1"/>
            </w:tblPr>
            <w:tblGrid>
              <w:gridCol w:w="969"/>
              <w:gridCol w:w="969"/>
              <w:gridCol w:w="969"/>
              <w:gridCol w:w="969"/>
              <w:gridCol w:w="973"/>
            </w:tblGrid>
            <w:tr w:rsidR="00921721" w:rsidRPr="002F209F" w14:paraId="5E0FAE48" w14:textId="77777777" w:rsidTr="00880D09">
              <w:trPr>
                <w:trHeight w:val="478"/>
              </w:trPr>
              <w:tc>
                <w:tcPr>
                  <w:tcW w:w="4849" w:type="dxa"/>
                  <w:gridSpan w:val="5"/>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2EECBD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Jednostkowe koszty hałasu dla różnych poziomów w </w:t>
                  </w:r>
                  <w:proofErr w:type="spellStart"/>
                  <w:r w:rsidRPr="002C6855">
                    <w:rPr>
                      <w:rFonts w:asciiTheme="minorHAnsi" w:hAnsiTheme="minorHAnsi" w:cs="Arial"/>
                      <w:b/>
                      <w:bCs/>
                      <w:color w:val="FFFFFF"/>
                      <w:sz w:val="18"/>
                      <w:szCs w:val="18"/>
                    </w:rPr>
                    <w:t>dB</w:t>
                  </w:r>
                  <w:proofErr w:type="spellEnd"/>
                  <w:r w:rsidRPr="002C6855">
                    <w:rPr>
                      <w:rFonts w:asciiTheme="minorHAnsi" w:hAnsiTheme="minorHAnsi" w:cs="Arial"/>
                      <w:b/>
                      <w:bCs/>
                      <w:color w:val="FFFFFF"/>
                      <w:sz w:val="18"/>
                      <w:szCs w:val="18"/>
                    </w:rPr>
                    <w:t xml:space="preserve"> (A) (PLN/osobę/rok)</w:t>
                  </w:r>
                </w:p>
              </w:tc>
            </w:tr>
            <w:tr w:rsidR="00921721" w:rsidRPr="007463B9" w14:paraId="08355826" w14:textId="77777777" w:rsidTr="00880D09">
              <w:trPr>
                <w:trHeight w:hRule="exact" w:val="309"/>
              </w:trPr>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A9DE78F"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55-59</w:t>
                  </w:r>
                </w:p>
              </w:tc>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6C925E7"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60-64</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5DBFD74C"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65-69</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23B36A49"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70-74</w:t>
                  </w:r>
                </w:p>
              </w:tc>
              <w:tc>
                <w:tcPr>
                  <w:tcW w:w="9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50126AC"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&gt;75</w:t>
                  </w:r>
                </w:p>
              </w:tc>
            </w:tr>
            <w:tr w:rsidR="00921721" w:rsidRPr="007463B9" w14:paraId="2708FEC9" w14:textId="77777777" w:rsidTr="00880D09">
              <w:trPr>
                <w:trHeight w:val="258"/>
              </w:trPr>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1835E1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414</w:t>
                  </w:r>
                </w:p>
              </w:tc>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BE0368"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879</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F957F3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1 514</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53DCBBD"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2 435</w:t>
                  </w:r>
                </w:p>
              </w:tc>
              <w:tc>
                <w:tcPr>
                  <w:tcW w:w="97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BDEBB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3 089</w:t>
                  </w:r>
                </w:p>
              </w:tc>
            </w:tr>
          </w:tbl>
          <w:p w14:paraId="1F23320C" w14:textId="77777777" w:rsidR="00921721" w:rsidRPr="00343533" w:rsidRDefault="00921721" w:rsidP="00880D09">
            <w:pPr>
              <w:spacing w:after="120"/>
              <w:ind w:right="170"/>
              <w:jc w:val="both"/>
              <w:rPr>
                <w:rFonts w:asciiTheme="minorHAnsi" w:hAnsiTheme="minorHAnsi" w:cs="Arial"/>
                <w:b/>
                <w:i/>
                <w:sz w:val="16"/>
                <w:szCs w:val="16"/>
                <w:lang w:val="en-GB"/>
              </w:rPr>
            </w:pPr>
            <w:proofErr w:type="spellStart"/>
            <w:r w:rsidRPr="00343533">
              <w:rPr>
                <w:rFonts w:asciiTheme="minorHAnsi" w:hAnsiTheme="minorHAnsi" w:cs="Arial"/>
                <w:b/>
                <w:i/>
                <w:sz w:val="16"/>
                <w:szCs w:val="16"/>
                <w:lang w:val="en-GB"/>
              </w:rPr>
              <w:t>Źródło</w:t>
            </w:r>
            <w:proofErr w:type="spellEnd"/>
            <w:r w:rsidRPr="00343533">
              <w:rPr>
                <w:rFonts w:asciiTheme="minorHAnsi" w:hAnsiTheme="minorHAnsi" w:cs="Arial"/>
                <w:b/>
                <w:i/>
                <w:sz w:val="16"/>
                <w:szCs w:val="16"/>
                <w:lang w:val="en-GB"/>
              </w:rPr>
              <w:t xml:space="preserve">: </w:t>
            </w:r>
            <w:proofErr w:type="spellStart"/>
            <w:r w:rsidRPr="00343533">
              <w:rPr>
                <w:rFonts w:asciiTheme="minorHAnsi" w:hAnsiTheme="minorHAnsi" w:cs="Arial"/>
                <w:b/>
                <w:i/>
                <w:sz w:val="16"/>
                <w:szCs w:val="16"/>
                <w:lang w:val="en-GB"/>
              </w:rPr>
              <w:t>Opracowanie</w:t>
            </w:r>
            <w:proofErr w:type="spellEnd"/>
            <w:r w:rsidRPr="00343533">
              <w:rPr>
                <w:rFonts w:asciiTheme="minorHAnsi" w:hAnsiTheme="minorHAnsi" w:cs="Arial"/>
                <w:b/>
                <w:i/>
                <w:sz w:val="16"/>
                <w:szCs w:val="16"/>
                <w:lang w:val="en-GB"/>
              </w:rPr>
              <w:t xml:space="preserve"> CUPT-JASPERS </w:t>
            </w:r>
            <w:proofErr w:type="spellStart"/>
            <w:r w:rsidRPr="00343533">
              <w:rPr>
                <w:rFonts w:asciiTheme="minorHAnsi" w:hAnsiTheme="minorHAnsi" w:cs="Arial"/>
                <w:b/>
                <w:i/>
                <w:sz w:val="16"/>
                <w:szCs w:val="16"/>
                <w:lang w:val="en-GB"/>
              </w:rPr>
              <w:t>na</w:t>
            </w:r>
            <w:proofErr w:type="spellEnd"/>
            <w:r w:rsidRPr="00343533">
              <w:rPr>
                <w:rFonts w:asciiTheme="minorHAnsi" w:hAnsiTheme="minorHAnsi" w:cs="Arial"/>
                <w:b/>
                <w:i/>
                <w:sz w:val="16"/>
                <w:szCs w:val="16"/>
                <w:lang w:val="en-GB"/>
              </w:rPr>
              <w:t> </w:t>
            </w:r>
            <w:proofErr w:type="spellStart"/>
            <w:r w:rsidRPr="00343533">
              <w:rPr>
                <w:rFonts w:asciiTheme="minorHAnsi" w:hAnsiTheme="minorHAnsi" w:cs="Arial"/>
                <w:b/>
                <w:i/>
                <w:sz w:val="16"/>
                <w:szCs w:val="16"/>
                <w:lang w:val="en-GB"/>
              </w:rPr>
              <w:t>podstawie</w:t>
            </w:r>
            <w:proofErr w:type="spellEnd"/>
            <w:r w:rsidRPr="00343533">
              <w:rPr>
                <w:rFonts w:asciiTheme="minorHAnsi" w:hAnsiTheme="minorHAnsi" w:cs="Arial"/>
                <w:b/>
                <w:i/>
                <w:sz w:val="16"/>
                <w:szCs w:val="16"/>
                <w:lang w:val="en-GB"/>
              </w:rPr>
              <w:t xml:space="preserve"> Handbook on the External Costs of Transport (January 2019), </w:t>
            </w:r>
            <w:proofErr w:type="spellStart"/>
            <w:r w:rsidRPr="00343533">
              <w:rPr>
                <w:rFonts w:asciiTheme="minorHAnsi" w:hAnsiTheme="minorHAnsi" w:cs="Arial"/>
                <w:b/>
                <w:i/>
                <w:sz w:val="16"/>
                <w:szCs w:val="16"/>
                <w:lang w:val="en-GB"/>
              </w:rPr>
              <w:t>plik</w:t>
            </w:r>
            <w:proofErr w:type="spellEnd"/>
            <w:r w:rsidRPr="00343533">
              <w:rPr>
                <w:rFonts w:asciiTheme="minorHAnsi" w:hAnsiTheme="minorHAnsi" w:cs="Arial"/>
                <w:b/>
                <w:i/>
                <w:sz w:val="16"/>
                <w:szCs w:val="16"/>
                <w:lang w:val="en-GB"/>
              </w:rPr>
              <w:t xml:space="preserve"> "FINAL_marginal_costs_air-poll_climate_WTT_noise.xlsx", </w:t>
            </w:r>
            <w:proofErr w:type="spellStart"/>
            <w:r w:rsidRPr="00343533">
              <w:rPr>
                <w:rFonts w:asciiTheme="minorHAnsi" w:hAnsiTheme="minorHAnsi" w:cs="Arial"/>
                <w:b/>
                <w:i/>
                <w:sz w:val="16"/>
                <w:szCs w:val="16"/>
                <w:lang w:val="en-GB"/>
              </w:rPr>
              <w:t>zakładka</w:t>
            </w:r>
            <w:proofErr w:type="spellEnd"/>
            <w:r w:rsidRPr="00343533">
              <w:rPr>
                <w:rFonts w:asciiTheme="minorHAnsi" w:hAnsiTheme="minorHAnsi" w:cs="Arial"/>
                <w:b/>
                <w:i/>
                <w:sz w:val="16"/>
                <w:szCs w:val="16"/>
                <w:lang w:val="en-GB"/>
              </w:rPr>
              <w:t xml:space="preserve"> "</w:t>
            </w:r>
            <w:proofErr w:type="spellStart"/>
            <w:r w:rsidRPr="00343533">
              <w:rPr>
                <w:rFonts w:asciiTheme="minorHAnsi" w:hAnsiTheme="minorHAnsi" w:cs="Arial"/>
                <w:b/>
                <w:i/>
                <w:sz w:val="16"/>
                <w:szCs w:val="16"/>
                <w:lang w:val="en-GB"/>
              </w:rPr>
              <w:t>noise_input</w:t>
            </w:r>
            <w:proofErr w:type="spellEnd"/>
            <w:r w:rsidRPr="00343533">
              <w:rPr>
                <w:rFonts w:asciiTheme="minorHAnsi" w:hAnsiTheme="minorHAnsi" w:cs="Arial"/>
                <w:b/>
                <w:i/>
                <w:sz w:val="16"/>
                <w:szCs w:val="16"/>
                <w:lang w:val="en-GB"/>
              </w:rPr>
              <w:t>".</w:t>
            </w:r>
          </w:p>
          <w:p w14:paraId="2443C5B6" w14:textId="77777777" w:rsidR="00921721" w:rsidRPr="00343533" w:rsidRDefault="00921721" w:rsidP="00880D09">
            <w:pPr>
              <w:pStyle w:val="anxnormal"/>
              <w:ind w:left="0"/>
              <w:rPr>
                <w:rFonts w:asciiTheme="minorHAnsi" w:hAnsiTheme="minorHAnsi"/>
                <w:u w:val="single"/>
                <w:lang w:val="en-GB" w:eastAsia="en-US"/>
              </w:rPr>
            </w:pPr>
          </w:p>
          <w:p w14:paraId="5704984E" w14:textId="77777777" w:rsidR="00921721" w:rsidRPr="002F209F" w:rsidRDefault="00921721" w:rsidP="00880D09">
            <w:pPr>
              <w:pStyle w:val="anxnormal"/>
              <w:ind w:left="0"/>
              <w:rPr>
                <w:rFonts w:asciiTheme="minorHAnsi" w:hAnsiTheme="minorHAnsi"/>
                <w:u w:val="single"/>
                <w:lang w:eastAsia="en-US"/>
              </w:rPr>
            </w:pPr>
            <w:r w:rsidRPr="002F209F">
              <w:rPr>
                <w:rFonts w:asciiTheme="minorHAnsi" w:hAnsiTheme="minorHAnsi"/>
                <w:u w:val="single"/>
                <w:lang w:eastAsia="en-US"/>
              </w:rPr>
              <w:t>Zmienność kosztów jednostkowych w czasie</w:t>
            </w:r>
          </w:p>
          <w:p w14:paraId="6653C339" w14:textId="77777777" w:rsidR="00921721" w:rsidRDefault="00921721" w:rsidP="00880D09">
            <w:pPr>
              <w:pStyle w:val="anxnormal"/>
              <w:ind w:left="0"/>
              <w:rPr>
                <w:rFonts w:asciiTheme="minorHAnsi" w:hAnsiTheme="minorHAnsi"/>
                <w:lang w:eastAsia="en-US"/>
              </w:rPr>
            </w:pPr>
            <w:r w:rsidRPr="002F209F">
              <w:rPr>
                <w:rFonts w:asciiTheme="minorHAnsi" w:hAnsiTheme="minorHAnsi"/>
                <w:lang w:eastAsia="en-US"/>
              </w:rPr>
              <w:t>Prognoza zmiany jednostkowych kosztów hałasu w czasie (do policzenia) jest oparta</w:t>
            </w:r>
            <w:r>
              <w:rPr>
                <w:rFonts w:asciiTheme="minorHAnsi" w:hAnsiTheme="minorHAnsi"/>
                <w:lang w:eastAsia="en-US"/>
              </w:rPr>
              <w:t xml:space="preserve"> o prognozowany wzrost PKB na 1 </w:t>
            </w:r>
            <w:r w:rsidRPr="002F209F">
              <w:rPr>
                <w:rFonts w:asciiTheme="minorHAnsi" w:hAnsiTheme="minorHAnsi"/>
                <w:lang w:eastAsia="en-US"/>
              </w:rPr>
              <w:t>mieszk</w:t>
            </w:r>
            <w:r>
              <w:rPr>
                <w:rFonts w:asciiTheme="minorHAnsi" w:hAnsiTheme="minorHAnsi"/>
                <w:lang w:eastAsia="en-US"/>
              </w:rPr>
              <w:t>ańca (wartości podane w punkcie </w:t>
            </w:r>
            <w:r w:rsidRPr="002F209F">
              <w:rPr>
                <w:rFonts w:asciiTheme="minorHAnsi" w:hAnsiTheme="minorHAnsi"/>
                <w:lang w:eastAsia="en-US"/>
              </w:rPr>
              <w:t xml:space="preserve">2) przy zastosowaniu współczynnika elastyczności </w:t>
            </w:r>
            <w:r>
              <w:rPr>
                <w:rFonts w:asciiTheme="minorHAnsi" w:hAnsiTheme="minorHAnsi"/>
                <w:lang w:eastAsia="en-US"/>
              </w:rPr>
              <w:t>0,</w:t>
            </w:r>
            <w:r w:rsidRPr="002F209F">
              <w:rPr>
                <w:rFonts w:asciiTheme="minorHAnsi" w:hAnsiTheme="minorHAnsi"/>
                <w:lang w:eastAsia="en-US"/>
              </w:rPr>
              <w:t>8.</w:t>
            </w:r>
          </w:p>
          <w:p w14:paraId="36754836" w14:textId="77777777" w:rsidR="00921721" w:rsidRDefault="00921721" w:rsidP="00880D09">
            <w:pPr>
              <w:pStyle w:val="anxnormal"/>
              <w:ind w:left="0"/>
              <w:rPr>
                <w:rFonts w:asciiTheme="minorHAnsi" w:hAnsiTheme="minorHAnsi"/>
                <w:lang w:eastAsia="en-US"/>
              </w:rPr>
            </w:pPr>
          </w:p>
          <w:p w14:paraId="4C6005AD" w14:textId="77777777" w:rsidR="00921721" w:rsidRPr="00CD7B3F" w:rsidRDefault="00921721" w:rsidP="00880D09">
            <w:pPr>
              <w:pStyle w:val="anxnormal"/>
              <w:ind w:left="0"/>
              <w:rPr>
                <w:rFonts w:asciiTheme="minorHAnsi" w:hAnsiTheme="minorHAnsi" w:cs="Arial-Narrow,Bold"/>
                <w:b/>
                <w:bCs/>
                <w:color w:val="4F81BD" w:themeColor="accent1"/>
                <w:sz w:val="23"/>
                <w:szCs w:val="23"/>
                <w:lang w:eastAsia="en-GB"/>
              </w:rPr>
            </w:pPr>
            <w:r w:rsidRPr="009F2FD2">
              <w:rPr>
                <w:rFonts w:asciiTheme="minorHAnsi" w:hAnsiTheme="minorHAnsi" w:cs="Arial-Narrow,Bold"/>
                <w:b/>
                <w:bCs/>
                <w:color w:val="4F81BD" w:themeColor="accent1"/>
                <w:sz w:val="23"/>
                <w:szCs w:val="23"/>
                <w:lang w:eastAsia="en-GB"/>
              </w:rPr>
              <w:lastRenderedPageBreak/>
              <w:t>9</w:t>
            </w:r>
            <w:r w:rsidRPr="00CD7B3F">
              <w:rPr>
                <w:rFonts w:asciiTheme="minorHAnsi" w:hAnsiTheme="minorHAnsi" w:cs="Arial-Narrow,Bold"/>
                <w:b/>
                <w:bCs/>
                <w:color w:val="4F81BD" w:themeColor="accent1"/>
                <w:sz w:val="23"/>
                <w:szCs w:val="23"/>
                <w:lang w:eastAsia="en-GB"/>
              </w:rPr>
              <w:t>. Koszty utrzymania infrastruktury drogowej (koszty jednostkowe</w:t>
            </w:r>
            <w:r>
              <w:rPr>
                <w:rFonts w:asciiTheme="minorHAnsi" w:hAnsiTheme="minorHAnsi" w:cs="Arial-Narrow,Bold"/>
                <w:b/>
                <w:bCs/>
                <w:color w:val="4F81BD" w:themeColor="accent1"/>
                <w:sz w:val="23"/>
                <w:szCs w:val="23"/>
                <w:lang w:eastAsia="en-GB"/>
              </w:rPr>
              <w:t xml:space="preserve"> </w:t>
            </w:r>
            <w:r w:rsidRPr="00CD7B3F">
              <w:rPr>
                <w:rFonts w:asciiTheme="minorHAnsi" w:hAnsiTheme="minorHAnsi" w:cs="Arial-Narrow,Bold"/>
                <w:b/>
                <w:bCs/>
                <w:color w:val="4F81BD" w:themeColor="accent1"/>
                <w:sz w:val="23"/>
                <w:szCs w:val="23"/>
                <w:lang w:eastAsia="en-GB"/>
              </w:rPr>
              <w:t>dotyczące nawierzchni asfaltowych i betonowych)</w:t>
            </w:r>
          </w:p>
          <w:p w14:paraId="1AC69152" w14:textId="77777777" w:rsidR="00921721" w:rsidRPr="00C128CE" w:rsidRDefault="00921721" w:rsidP="00880D09">
            <w:pPr>
              <w:pStyle w:val="anxnormal"/>
              <w:spacing w:after="120"/>
              <w:ind w:left="0"/>
              <w:rPr>
                <w:rFonts w:asciiTheme="minorHAnsi" w:hAnsiTheme="minorHAnsi"/>
                <w:lang w:eastAsia="en-US"/>
              </w:rPr>
            </w:pPr>
            <w:r w:rsidRPr="00031F28">
              <w:rPr>
                <w:rFonts w:asciiTheme="minorHAnsi" w:hAnsiTheme="minorHAnsi"/>
                <w:lang w:eastAsia="en-US"/>
              </w:rPr>
              <w:t>Jeżeli dla danego projektu dostępne są</w:t>
            </w:r>
            <w:r>
              <w:rPr>
                <w:rFonts w:asciiTheme="minorHAnsi" w:hAnsiTheme="minorHAnsi"/>
                <w:lang w:eastAsia="en-US"/>
              </w:rPr>
              <w:t xml:space="preserve"> </w:t>
            </w:r>
            <w:r w:rsidRPr="00031F28">
              <w:rPr>
                <w:rFonts w:asciiTheme="minorHAnsi" w:hAnsiTheme="minorHAnsi"/>
                <w:lang w:eastAsia="en-US"/>
              </w:rPr>
              <w:t xml:space="preserve">szczegółowe dane dotyczące kosztów eksploatacji i utrzymania (tzn. podejście </w:t>
            </w:r>
            <w:r>
              <w:rPr>
                <w:rFonts w:asciiTheme="minorHAnsi" w:hAnsiTheme="minorHAnsi"/>
                <w:lang w:eastAsia="en-US"/>
              </w:rPr>
              <w:t xml:space="preserve">utrzymaniowe przedstawione w rozdziale 1.9.2, </w:t>
            </w:r>
            <w:r w:rsidRPr="00031F28">
              <w:rPr>
                <w:rFonts w:asciiTheme="minorHAnsi" w:hAnsiTheme="minorHAnsi"/>
                <w:lang w:eastAsia="en-US"/>
              </w:rPr>
              <w:t xml:space="preserve">a także </w:t>
            </w:r>
            <w:r>
              <w:rPr>
                <w:rFonts w:asciiTheme="minorHAnsi" w:hAnsiTheme="minorHAnsi"/>
                <w:lang w:eastAsia="en-US"/>
              </w:rPr>
              <w:t xml:space="preserve">poniższe </w:t>
            </w:r>
            <w:r w:rsidRPr="00031F28">
              <w:rPr>
                <w:rFonts w:asciiTheme="minorHAnsi" w:hAnsiTheme="minorHAnsi"/>
                <w:lang w:eastAsia="en-US"/>
              </w:rPr>
              <w:t xml:space="preserve">koszty </w:t>
            </w:r>
            <w:r>
              <w:rPr>
                <w:rFonts w:asciiTheme="minorHAnsi" w:hAnsiTheme="minorHAnsi"/>
                <w:lang w:eastAsia="en-US"/>
              </w:rPr>
              <w:t>jednostkowe nie </w:t>
            </w:r>
            <w:r w:rsidRPr="00031F28">
              <w:rPr>
                <w:rFonts w:asciiTheme="minorHAnsi" w:hAnsiTheme="minorHAnsi"/>
                <w:lang w:eastAsia="en-US"/>
              </w:rPr>
              <w:t>są właściwe do zastosowania), to należy przedstawić odpowiednie dla tego projektu koszty jako stawki jednostkowe na km w rozbiciu na poszczególne składniki, aby umożliwić szybkie porównanie wariantów inwestycyjnych projektu.</w:t>
            </w:r>
            <w:r>
              <w:rPr>
                <w:rFonts w:asciiTheme="minorHAnsi" w:hAnsiTheme="minorHAnsi"/>
                <w:lang w:eastAsia="en-US"/>
              </w:rPr>
              <w:t xml:space="preserve"> </w:t>
            </w:r>
          </w:p>
          <w:p w14:paraId="4EC1B79A"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Jednostkowe koszty eksploatacji i utrzymania bieżącego [PLN/km]</w:t>
            </w:r>
            <w:r>
              <w:rPr>
                <w:rFonts w:asciiTheme="minorHAnsi" w:hAnsiTheme="minorHAnsi"/>
                <w:lang w:eastAsia="en-US"/>
              </w:rPr>
              <w:t>, ceny 2021</w:t>
            </w:r>
          </w:p>
          <w:tbl>
            <w:tblPr>
              <w:tblW w:w="6803" w:type="dxa"/>
              <w:tblLayout w:type="fixed"/>
              <w:tblLook w:val="04A0" w:firstRow="1" w:lastRow="0" w:firstColumn="1" w:lastColumn="0" w:noHBand="0" w:noVBand="1"/>
            </w:tblPr>
            <w:tblGrid>
              <w:gridCol w:w="3401"/>
              <w:gridCol w:w="3402"/>
            </w:tblGrid>
            <w:tr w:rsidR="00921721" w:rsidRPr="00CD7B3F" w14:paraId="7E167318" w14:textId="77777777" w:rsidTr="00880D09">
              <w:trPr>
                <w:trHeight w:hRule="exact" w:val="520"/>
              </w:trPr>
              <w:tc>
                <w:tcPr>
                  <w:tcW w:w="34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AD6D5A"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Klasa drogi</w:t>
                  </w:r>
                </w:p>
              </w:tc>
              <w:tc>
                <w:tcPr>
                  <w:tcW w:w="34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04910CE"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Jednostkowe koszty eksploatacji i utrzymania bieżącego [PLN/km], netto</w:t>
                  </w:r>
                </w:p>
              </w:tc>
            </w:tr>
            <w:tr w:rsidR="00921721" w:rsidRPr="00CD7B3F" w14:paraId="74279452"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4A4BC4"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A,S - 2x2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497558"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9</w:t>
                  </w:r>
                  <w:r w:rsidRPr="00CD7B3F">
                    <w:rPr>
                      <w:rFonts w:asciiTheme="minorHAnsi" w:hAnsiTheme="minorHAnsi" w:cs="Arial"/>
                      <w:color w:val="4F81BD" w:themeColor="accent1"/>
                      <w:sz w:val="18"/>
                      <w:szCs w:val="18"/>
                    </w:rPr>
                    <w:t>0 000</w:t>
                  </w:r>
                </w:p>
              </w:tc>
            </w:tr>
            <w:tr w:rsidR="00921721" w:rsidRPr="00CD7B3F" w14:paraId="3EE05344"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720873"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2+1</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ABAE498"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4</w:t>
                  </w:r>
                  <w:r w:rsidRPr="00CD7B3F">
                    <w:rPr>
                      <w:rFonts w:asciiTheme="minorHAnsi" w:hAnsiTheme="minorHAnsi" w:cs="Arial"/>
                      <w:color w:val="4F81BD" w:themeColor="accent1"/>
                      <w:sz w:val="18"/>
                      <w:szCs w:val="18"/>
                    </w:rPr>
                    <w:t>0 000</w:t>
                  </w:r>
                </w:p>
              </w:tc>
            </w:tr>
            <w:tr w:rsidR="00921721" w:rsidRPr="00CD7B3F" w14:paraId="4BEEF172"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E72C73"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1x2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A0FBF6"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1</w:t>
                  </w:r>
                  <w:r w:rsidRPr="00CD7B3F">
                    <w:rPr>
                      <w:rFonts w:asciiTheme="minorHAnsi" w:hAnsiTheme="minorHAnsi" w:cs="Arial"/>
                      <w:color w:val="4F81BD" w:themeColor="accent1"/>
                      <w:sz w:val="18"/>
                      <w:szCs w:val="18"/>
                    </w:rPr>
                    <w:t>0 000</w:t>
                  </w:r>
                </w:p>
              </w:tc>
            </w:tr>
            <w:tr w:rsidR="00921721" w:rsidRPr="00CD7B3F" w14:paraId="1E17210D"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B17D87"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2x2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297916"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3</w:t>
                  </w:r>
                  <w:r w:rsidRPr="00CD7B3F">
                    <w:rPr>
                      <w:rFonts w:asciiTheme="minorHAnsi" w:hAnsiTheme="minorHAnsi" w:cs="Arial"/>
                      <w:color w:val="4F81BD" w:themeColor="accent1"/>
                      <w:sz w:val="18"/>
                      <w:szCs w:val="18"/>
                    </w:rPr>
                    <w:t>0 000</w:t>
                  </w:r>
                </w:p>
              </w:tc>
            </w:tr>
            <w:tr w:rsidR="00921721" w:rsidRPr="00CD7B3F" w14:paraId="24E42A98"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5BC450"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1x2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873409"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6</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 xml:space="preserve"> 000</w:t>
                  </w:r>
                </w:p>
              </w:tc>
            </w:tr>
            <w:tr w:rsidR="00921721" w:rsidRPr="00CD7B3F" w14:paraId="648B6DC1"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42BD4B"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64C94C"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6</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 xml:space="preserve"> 00</w:t>
                  </w:r>
                  <w:r>
                    <w:rPr>
                      <w:rFonts w:asciiTheme="minorHAnsi" w:hAnsiTheme="minorHAnsi" w:cs="Arial"/>
                      <w:color w:val="4F81BD" w:themeColor="accent1"/>
                      <w:sz w:val="18"/>
                      <w:szCs w:val="18"/>
                    </w:rPr>
                    <w:t>0</w:t>
                  </w:r>
                </w:p>
              </w:tc>
            </w:tr>
          </w:tbl>
          <w:p w14:paraId="53FE7CC6" w14:textId="77777777" w:rsidR="00921721" w:rsidRPr="00CD7B3F" w:rsidRDefault="00921721" w:rsidP="00880D09">
            <w:pPr>
              <w:spacing w:before="120" w:after="120"/>
              <w:ind w:right="170"/>
              <w:jc w:val="both"/>
              <w:rPr>
                <w:rFonts w:asciiTheme="minorHAnsi" w:hAnsiTheme="minorHAnsi" w:cs="Arial"/>
                <w:b/>
                <w:i/>
                <w:sz w:val="16"/>
                <w:szCs w:val="16"/>
              </w:rPr>
            </w:pPr>
            <w:r>
              <w:rPr>
                <w:rFonts w:asciiTheme="minorHAnsi" w:hAnsiTheme="minorHAnsi" w:cs="Arial"/>
                <w:b/>
                <w:i/>
                <w:sz w:val="16"/>
                <w:szCs w:val="16"/>
              </w:rPr>
              <w:t>Źródło: Opracowanie własne na </w:t>
            </w:r>
            <w:r w:rsidRPr="00CD7B3F">
              <w:rPr>
                <w:rFonts w:asciiTheme="minorHAnsi" w:hAnsiTheme="minorHAnsi" w:cs="Arial"/>
                <w:b/>
                <w:i/>
                <w:sz w:val="16"/>
                <w:szCs w:val="16"/>
              </w:rPr>
              <w:t>podstawie danych z przetargów GDDKiA “Utrzymaj standard”.</w:t>
            </w:r>
          </w:p>
          <w:p w14:paraId="650594D7" w14:textId="77777777" w:rsidR="00921721" w:rsidRPr="00CD7B3F" w:rsidRDefault="00921721" w:rsidP="00880D09">
            <w:pPr>
              <w:ind w:right="170"/>
              <w:jc w:val="both"/>
              <w:rPr>
                <w:rFonts w:asciiTheme="minorHAnsi" w:hAnsiTheme="minorHAnsi" w:cs="Arial"/>
                <w:sz w:val="16"/>
                <w:szCs w:val="16"/>
              </w:rPr>
            </w:pPr>
            <w:r>
              <w:rPr>
                <w:rFonts w:asciiTheme="minorHAnsi" w:hAnsiTheme="minorHAnsi" w:cs="Arial"/>
                <w:sz w:val="16"/>
                <w:szCs w:val="16"/>
              </w:rPr>
              <w:t>Uwaga: (1) </w:t>
            </w:r>
            <w:r w:rsidRPr="00CD7B3F">
              <w:rPr>
                <w:rFonts w:asciiTheme="minorHAnsi" w:hAnsiTheme="minorHAnsi" w:cs="Arial"/>
                <w:sz w:val="16"/>
                <w:szCs w:val="16"/>
              </w:rPr>
              <w:t>Powyższe koszty jednostkowe obejmują wszystkie działania związane z bieżącym i prewencyjnym utrzymaniem wszystkich elementów infrastruktury drogowej (m.in</w:t>
            </w:r>
            <w:r>
              <w:rPr>
                <w:rFonts w:asciiTheme="minorHAnsi" w:hAnsiTheme="minorHAnsi" w:cs="Arial"/>
                <w:sz w:val="16"/>
                <w:szCs w:val="16"/>
              </w:rPr>
              <w:t>.</w:t>
            </w:r>
            <w:r w:rsidRPr="00CD7B3F">
              <w:rPr>
                <w:rFonts w:asciiTheme="minorHAnsi" w:hAnsiTheme="minorHAnsi" w:cs="Arial"/>
                <w:sz w:val="16"/>
                <w:szCs w:val="16"/>
              </w:rPr>
              <w:t xml:space="preserve"> nawierzchni, węzłów i innych obiektów, dróg serwisowych, odwodnienia, wyposażenia BRD, ekranów akustycznych itd.).</w:t>
            </w:r>
          </w:p>
          <w:p w14:paraId="222BDEF0" w14:textId="77777777" w:rsidR="00921721" w:rsidRDefault="00921721" w:rsidP="00880D09">
            <w:pPr>
              <w:ind w:right="170"/>
              <w:jc w:val="both"/>
              <w:rPr>
                <w:rFonts w:asciiTheme="minorHAnsi" w:hAnsiTheme="minorHAnsi" w:cs="Arial"/>
                <w:sz w:val="16"/>
                <w:szCs w:val="16"/>
              </w:rPr>
            </w:pPr>
            <w:r>
              <w:rPr>
                <w:rFonts w:asciiTheme="minorHAnsi" w:hAnsiTheme="minorHAnsi" w:cs="Arial"/>
                <w:sz w:val="16"/>
                <w:szCs w:val="16"/>
              </w:rPr>
              <w:t>(2) W</w:t>
            </w:r>
            <w:r w:rsidRPr="00CD7B3F">
              <w:rPr>
                <w:rFonts w:asciiTheme="minorHAnsi" w:hAnsiTheme="minorHAnsi" w:cs="Arial"/>
                <w:sz w:val="16"/>
                <w:szCs w:val="16"/>
              </w:rPr>
              <w:t> przypadku innych niż wymienione przekroje poprzeczne (także dla dróg niższych klas) można zastosować korektę pro-rata odzwierciedlającą różnicę w liczbie pasów ruchu (lub szerokości).</w:t>
            </w:r>
          </w:p>
          <w:p w14:paraId="08146712" w14:textId="77777777" w:rsidR="00921721" w:rsidRPr="00CD7B3F" w:rsidRDefault="00921721" w:rsidP="00880D09">
            <w:pPr>
              <w:ind w:right="170"/>
              <w:jc w:val="both"/>
              <w:rPr>
                <w:rFonts w:asciiTheme="minorHAnsi" w:hAnsiTheme="minorHAnsi" w:cs="Arial"/>
                <w:sz w:val="16"/>
                <w:szCs w:val="16"/>
              </w:rPr>
            </w:pPr>
          </w:p>
          <w:p w14:paraId="11C2D4C4"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Jednostkowe koszty utrzymania okresowego [PLN/km]</w:t>
            </w:r>
            <w:r>
              <w:rPr>
                <w:rFonts w:asciiTheme="minorHAnsi" w:hAnsiTheme="minorHAnsi"/>
                <w:lang w:eastAsia="en-US"/>
              </w:rPr>
              <w:t>, ceny 2021</w:t>
            </w:r>
          </w:p>
          <w:tbl>
            <w:tblPr>
              <w:tblW w:w="6859" w:type="dxa"/>
              <w:tblLayout w:type="fixed"/>
              <w:tblLook w:val="04A0" w:firstRow="1" w:lastRow="0" w:firstColumn="1" w:lastColumn="0" w:noHBand="0" w:noVBand="1"/>
            </w:tblPr>
            <w:tblGrid>
              <w:gridCol w:w="3429"/>
              <w:gridCol w:w="3430"/>
            </w:tblGrid>
            <w:tr w:rsidR="00921721" w:rsidRPr="00CD7B3F" w14:paraId="7D7A1AE3" w14:textId="77777777" w:rsidTr="00880D09">
              <w:trPr>
                <w:trHeight w:hRule="exact" w:val="519"/>
              </w:trPr>
              <w:tc>
                <w:tcPr>
                  <w:tcW w:w="342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A6911A8"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Klasa drogi</w:t>
                  </w:r>
                </w:p>
              </w:tc>
              <w:tc>
                <w:tcPr>
                  <w:tcW w:w="343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D74B8D"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Jednostkowe koszty utrzymania okresowego [PLN/km], netto</w:t>
                  </w:r>
                </w:p>
              </w:tc>
            </w:tr>
            <w:tr w:rsidR="00921721" w:rsidRPr="00CD7B3F" w14:paraId="0620494F"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667F49"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A,S - 2x2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2DE113"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 xml:space="preserve">1 </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00 000</w:t>
                  </w:r>
                </w:p>
              </w:tc>
            </w:tr>
            <w:tr w:rsidR="00921721" w:rsidRPr="00CD7B3F" w14:paraId="31C9224B"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A9000B"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2+1</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735D25"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 xml:space="preserve">1 </w:t>
                  </w:r>
                  <w:r>
                    <w:rPr>
                      <w:rFonts w:asciiTheme="minorHAnsi" w:hAnsiTheme="minorHAnsi" w:cs="Arial"/>
                      <w:color w:val="4F81BD" w:themeColor="accent1"/>
                      <w:sz w:val="18"/>
                      <w:szCs w:val="18"/>
                    </w:rPr>
                    <w:t>1</w:t>
                  </w:r>
                  <w:r w:rsidRPr="00CD7B3F">
                    <w:rPr>
                      <w:rFonts w:asciiTheme="minorHAnsi" w:hAnsiTheme="minorHAnsi" w:cs="Arial"/>
                      <w:color w:val="4F81BD" w:themeColor="accent1"/>
                      <w:sz w:val="18"/>
                      <w:szCs w:val="18"/>
                    </w:rPr>
                    <w:t>00 000</w:t>
                  </w:r>
                </w:p>
              </w:tc>
            </w:tr>
            <w:tr w:rsidR="00921721" w:rsidRPr="00CD7B3F" w14:paraId="70E94290"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C356686"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1x2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AADCE5"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9</w:t>
                  </w:r>
                  <w:r w:rsidRPr="00CD7B3F">
                    <w:rPr>
                      <w:rFonts w:asciiTheme="minorHAnsi" w:hAnsiTheme="minorHAnsi" w:cs="Arial"/>
                      <w:color w:val="4F81BD" w:themeColor="accent1"/>
                      <w:sz w:val="18"/>
                      <w:szCs w:val="18"/>
                    </w:rPr>
                    <w:t>00 000</w:t>
                  </w:r>
                </w:p>
              </w:tc>
            </w:tr>
            <w:tr w:rsidR="00921721" w:rsidRPr="00CD7B3F" w14:paraId="7C85D46E"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AB7471"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2x2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9EDCB5"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 xml:space="preserve">1 </w:t>
                  </w:r>
                  <w:r>
                    <w:rPr>
                      <w:rFonts w:asciiTheme="minorHAnsi" w:hAnsiTheme="minorHAnsi" w:cs="Arial"/>
                      <w:color w:val="4F81BD" w:themeColor="accent1"/>
                      <w:sz w:val="18"/>
                      <w:szCs w:val="18"/>
                    </w:rPr>
                    <w:t>2</w:t>
                  </w:r>
                  <w:r w:rsidRPr="00CD7B3F">
                    <w:rPr>
                      <w:rFonts w:asciiTheme="minorHAnsi" w:hAnsiTheme="minorHAnsi" w:cs="Arial"/>
                      <w:color w:val="4F81BD" w:themeColor="accent1"/>
                      <w:sz w:val="18"/>
                      <w:szCs w:val="18"/>
                    </w:rPr>
                    <w:t>00 000</w:t>
                  </w:r>
                </w:p>
              </w:tc>
            </w:tr>
            <w:tr w:rsidR="00921721" w:rsidRPr="00CD7B3F" w14:paraId="49309901"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338782"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1x2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E25055"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8</w:t>
                  </w:r>
                  <w:r w:rsidRPr="00CD7B3F">
                    <w:rPr>
                      <w:rFonts w:asciiTheme="minorHAnsi" w:hAnsiTheme="minorHAnsi" w:cs="Arial"/>
                      <w:color w:val="4F81BD" w:themeColor="accent1"/>
                      <w:sz w:val="18"/>
                      <w:szCs w:val="18"/>
                    </w:rPr>
                    <w:t>00 000</w:t>
                  </w:r>
                </w:p>
              </w:tc>
            </w:tr>
            <w:tr w:rsidR="00921721" w:rsidRPr="00CD7B3F" w14:paraId="747AE816"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6AAA2E"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0F995A" w14:textId="77777777" w:rsidR="00921721" w:rsidRPr="00CD7B3F" w:rsidRDefault="00921721" w:rsidP="00880D09">
                  <w:pPr>
                    <w:tabs>
                      <w:tab w:val="left" w:pos="945"/>
                      <w:tab w:val="center" w:pos="1284"/>
                    </w:tabs>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6</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0 000</w:t>
                  </w:r>
                </w:p>
              </w:tc>
            </w:tr>
          </w:tbl>
          <w:p w14:paraId="2A267E64" w14:textId="77777777" w:rsidR="00921721" w:rsidRPr="00CD7B3F" w:rsidRDefault="00921721" w:rsidP="00880D09">
            <w:pPr>
              <w:spacing w:before="120" w:after="120"/>
              <w:ind w:right="170"/>
              <w:jc w:val="both"/>
              <w:rPr>
                <w:rFonts w:asciiTheme="minorHAnsi" w:hAnsiTheme="minorHAnsi" w:cs="Arial"/>
                <w:b/>
                <w:i/>
                <w:sz w:val="16"/>
                <w:szCs w:val="16"/>
              </w:rPr>
            </w:pPr>
            <w:r>
              <w:rPr>
                <w:rFonts w:asciiTheme="minorHAnsi" w:hAnsiTheme="minorHAnsi" w:cs="Arial"/>
                <w:b/>
                <w:i/>
                <w:sz w:val="16"/>
                <w:szCs w:val="16"/>
              </w:rPr>
              <w:lastRenderedPageBreak/>
              <w:t>Źródło: Opracowanie własne na </w:t>
            </w:r>
            <w:r w:rsidRPr="00CD7B3F">
              <w:rPr>
                <w:rFonts w:asciiTheme="minorHAnsi" w:hAnsiTheme="minorHAnsi" w:cs="Arial"/>
                <w:b/>
                <w:i/>
                <w:sz w:val="16"/>
                <w:szCs w:val="16"/>
              </w:rPr>
              <w:t>podstawie danych z przetargów utrzymaniowych GDDKiA.</w:t>
            </w:r>
          </w:p>
          <w:p w14:paraId="21CB9979" w14:textId="77777777" w:rsidR="00921721" w:rsidRPr="00CD7B3F" w:rsidRDefault="00921721" w:rsidP="00880D09">
            <w:pPr>
              <w:ind w:right="170"/>
              <w:jc w:val="both"/>
              <w:rPr>
                <w:rFonts w:asciiTheme="minorHAnsi" w:hAnsiTheme="minorHAnsi" w:cs="Arial"/>
                <w:sz w:val="16"/>
                <w:szCs w:val="16"/>
              </w:rPr>
            </w:pPr>
            <w:r>
              <w:rPr>
                <w:rFonts w:asciiTheme="minorHAnsi" w:hAnsiTheme="minorHAnsi" w:cs="Arial"/>
                <w:sz w:val="16"/>
                <w:szCs w:val="16"/>
              </w:rPr>
              <w:t>Uwaga: (1) </w:t>
            </w:r>
            <w:r w:rsidRPr="00CD7B3F">
              <w:rPr>
                <w:rFonts w:asciiTheme="minorHAnsi" w:hAnsiTheme="minorHAnsi" w:cs="Arial"/>
                <w:sz w:val="16"/>
                <w:szCs w:val="16"/>
              </w:rPr>
              <w:t>Powyższe koszty jednostkowe obejmują wszystkie działania związane z okresowym utrzymaniem wszystkich elementów infrastruktury drogowej (m.in</w:t>
            </w:r>
            <w:r>
              <w:rPr>
                <w:rFonts w:asciiTheme="minorHAnsi" w:hAnsiTheme="minorHAnsi" w:cs="Arial"/>
                <w:sz w:val="16"/>
                <w:szCs w:val="16"/>
              </w:rPr>
              <w:t>.</w:t>
            </w:r>
            <w:r w:rsidRPr="00CD7B3F">
              <w:rPr>
                <w:rFonts w:asciiTheme="minorHAnsi" w:hAnsiTheme="minorHAnsi" w:cs="Arial"/>
                <w:sz w:val="16"/>
                <w:szCs w:val="16"/>
              </w:rPr>
              <w:t xml:space="preserve"> nawierzchni, węzłów i innych obiektów, dróg serwisowych, odwodnienia, wyposażenia BRD, ekranów akustycznych itd.).</w:t>
            </w:r>
          </w:p>
          <w:p w14:paraId="1ACB73F4" w14:textId="77777777" w:rsidR="00921721" w:rsidRPr="00CD7B3F" w:rsidRDefault="00921721" w:rsidP="00880D09">
            <w:pPr>
              <w:ind w:right="170"/>
              <w:jc w:val="both"/>
              <w:rPr>
                <w:rFonts w:asciiTheme="minorHAnsi" w:hAnsiTheme="minorHAnsi" w:cs="Arial"/>
                <w:sz w:val="16"/>
                <w:szCs w:val="16"/>
              </w:rPr>
            </w:pPr>
            <w:r>
              <w:rPr>
                <w:rFonts w:asciiTheme="minorHAnsi" w:hAnsiTheme="minorHAnsi" w:cs="Arial"/>
                <w:sz w:val="16"/>
                <w:szCs w:val="16"/>
              </w:rPr>
              <w:t>(2) W</w:t>
            </w:r>
            <w:r w:rsidRPr="00CD7B3F">
              <w:rPr>
                <w:rFonts w:asciiTheme="minorHAnsi" w:hAnsiTheme="minorHAnsi" w:cs="Arial"/>
                <w:sz w:val="16"/>
                <w:szCs w:val="16"/>
              </w:rPr>
              <w:t> przypadku innych niż wymienione przekroje poprzeczne (także dla dróg niższych klas) można zastosować korektę pro-rata odzwierciedlającą różnicę w liczbie pasów ruchu (lub szerokości).</w:t>
            </w:r>
          </w:p>
          <w:p w14:paraId="0A2C0593" w14:textId="77777777" w:rsidR="00921721" w:rsidRPr="00CD7B3F" w:rsidRDefault="00921721" w:rsidP="00880D09">
            <w:pPr>
              <w:ind w:right="170"/>
              <w:jc w:val="both"/>
              <w:rPr>
                <w:rFonts w:asciiTheme="minorHAnsi" w:hAnsiTheme="minorHAnsi" w:cs="Arial"/>
                <w:sz w:val="16"/>
                <w:szCs w:val="16"/>
              </w:rPr>
            </w:pPr>
          </w:p>
          <w:p w14:paraId="55DE9924" w14:textId="77777777" w:rsidR="00921721" w:rsidRPr="00CD7B3F" w:rsidRDefault="00921721" w:rsidP="00880D09">
            <w:pPr>
              <w:pStyle w:val="anxnormal"/>
              <w:ind w:left="0"/>
              <w:rPr>
                <w:rFonts w:asciiTheme="minorHAnsi" w:hAnsiTheme="minorHAnsi"/>
                <w:u w:val="single"/>
                <w:lang w:eastAsia="en-US"/>
              </w:rPr>
            </w:pPr>
            <w:r w:rsidRPr="00CD7B3F">
              <w:rPr>
                <w:rFonts w:asciiTheme="minorHAnsi" w:hAnsiTheme="minorHAnsi"/>
                <w:u w:val="single"/>
                <w:lang w:eastAsia="en-US"/>
              </w:rPr>
              <w:t>Zmienność kosztów jednostkowych w czasie</w:t>
            </w:r>
          </w:p>
          <w:p w14:paraId="57A5D185"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 xml:space="preserve">Zakłada się brak realnego wzrostu jednostkowych kosztów </w:t>
            </w:r>
            <w:r w:rsidRPr="00CD7B3F">
              <w:rPr>
                <w:rFonts w:asciiTheme="minorHAnsi" w:hAnsiTheme="minorHAnsi"/>
                <w:lang w:eastAsia="en-US"/>
              </w:rPr>
              <w:t xml:space="preserve">eksploatacji i utrzymania </w:t>
            </w:r>
            <w:r>
              <w:rPr>
                <w:rFonts w:asciiTheme="minorHAnsi" w:hAnsiTheme="minorHAnsi"/>
                <w:lang w:eastAsia="en-US"/>
              </w:rPr>
              <w:t xml:space="preserve">infrastruktury drogowej </w:t>
            </w:r>
            <w:r w:rsidRPr="00731E4E">
              <w:rPr>
                <w:rFonts w:asciiTheme="minorHAnsi" w:hAnsiTheme="minorHAnsi"/>
                <w:lang w:eastAsia="en-US"/>
              </w:rPr>
              <w:t>w</w:t>
            </w:r>
            <w:r>
              <w:rPr>
                <w:rFonts w:asciiTheme="minorHAnsi" w:hAnsiTheme="minorHAnsi"/>
                <w:lang w:eastAsia="en-US"/>
              </w:rPr>
              <w:t> </w:t>
            </w:r>
            <w:r w:rsidRPr="00731E4E">
              <w:rPr>
                <w:rFonts w:asciiTheme="minorHAnsi" w:hAnsiTheme="minorHAnsi"/>
                <w:lang w:eastAsia="en-US"/>
              </w:rPr>
              <w:t>czasie.</w:t>
            </w:r>
            <w:r w:rsidRPr="002C6855">
              <w:rPr>
                <w:rFonts w:asciiTheme="minorHAnsi" w:hAnsiTheme="minorHAnsi"/>
                <w:lang w:eastAsia="en-US"/>
              </w:rPr>
              <w:t xml:space="preserve"> </w:t>
            </w:r>
            <w:r w:rsidRPr="00B72029">
              <w:rPr>
                <w:rFonts w:asciiTheme="minorHAnsi" w:hAnsiTheme="minorHAnsi"/>
                <w:lang w:eastAsia="en-US"/>
              </w:rPr>
              <w:t xml:space="preserve">Należy jedynie uwzględnić indeksację nominalną wskaźnikiem polskiej inflacji </w:t>
            </w:r>
            <w:r>
              <w:rPr>
                <w:rFonts w:asciiTheme="minorHAnsi" w:hAnsiTheme="minorHAnsi"/>
                <w:lang w:eastAsia="en-US"/>
              </w:rPr>
              <w:t xml:space="preserve">cen produkcji budowlano-montażowej </w:t>
            </w:r>
            <w:r w:rsidRPr="00B72029">
              <w:rPr>
                <w:rFonts w:asciiTheme="minorHAnsi" w:hAnsiTheme="minorHAnsi"/>
                <w:lang w:eastAsia="en-US"/>
              </w:rPr>
              <w:t xml:space="preserve">do poziomu cenowego właściwego dla roku bazowego, kiedy rok bazowy zmieni się z obecnie </w:t>
            </w:r>
            <w:r w:rsidRPr="0051059B">
              <w:rPr>
                <w:rFonts w:asciiTheme="minorHAnsi" w:hAnsiTheme="minorHAnsi"/>
                <w:lang w:eastAsia="en-US"/>
              </w:rPr>
              <w:t xml:space="preserve">przyjętego </w:t>
            </w:r>
            <w:r w:rsidRPr="00FB7CC5">
              <w:rPr>
                <w:rFonts w:asciiTheme="minorHAnsi" w:hAnsiTheme="minorHAnsi"/>
                <w:lang w:eastAsia="en-US"/>
              </w:rPr>
              <w:t>(2021) na późniejszy</w:t>
            </w:r>
            <w:r w:rsidRPr="00B72029">
              <w:rPr>
                <w:rFonts w:asciiTheme="minorHAnsi" w:hAnsiTheme="minorHAnsi"/>
                <w:lang w:eastAsia="en-US"/>
              </w:rPr>
              <w:t>.</w:t>
            </w:r>
            <w:r>
              <w:rPr>
                <w:rFonts w:asciiTheme="minorHAnsi" w:hAnsiTheme="minorHAnsi"/>
                <w:lang w:eastAsia="en-US"/>
              </w:rPr>
              <w:t xml:space="preserve"> </w:t>
            </w:r>
          </w:p>
          <w:p w14:paraId="0F63B42F" w14:textId="77777777" w:rsidR="00921721" w:rsidRPr="00CD7B3F" w:rsidRDefault="00921721" w:rsidP="00880D09">
            <w:pPr>
              <w:pStyle w:val="anxnormal"/>
              <w:spacing w:before="0"/>
              <w:ind w:left="0"/>
              <w:rPr>
                <w:rFonts w:asciiTheme="minorHAnsi" w:hAnsiTheme="minorHAnsi"/>
                <w:lang w:eastAsia="en-US"/>
              </w:rPr>
            </w:pPr>
          </w:p>
          <w:p w14:paraId="7F0432E1" w14:textId="77777777" w:rsidR="00921721" w:rsidRPr="00CD7B3F" w:rsidRDefault="00921721" w:rsidP="00880D09">
            <w:pPr>
              <w:ind w:right="170"/>
              <w:jc w:val="both"/>
              <w:rPr>
                <w:rFonts w:asciiTheme="minorHAnsi" w:hAnsiTheme="minorHAnsi" w:cs="Arial-Narrow,Bold"/>
                <w:b/>
                <w:bCs/>
                <w:color w:val="4F81BD" w:themeColor="accent1"/>
                <w:sz w:val="20"/>
                <w:szCs w:val="20"/>
              </w:rPr>
            </w:pPr>
            <w:r w:rsidRPr="00CD7B3F">
              <w:rPr>
                <w:rFonts w:asciiTheme="minorHAnsi" w:hAnsiTheme="minorHAnsi" w:cs="Arial-Narrow,Bold"/>
                <w:b/>
                <w:bCs/>
                <w:color w:val="4F81BD" w:themeColor="accent1"/>
                <w:sz w:val="20"/>
                <w:szCs w:val="20"/>
              </w:rPr>
              <w:t>Koszty jednostkowe dla dużych obiektów inżynierskich (tylko w wyjątkowych przypadkach)</w:t>
            </w:r>
          </w:p>
          <w:p w14:paraId="5F20F0B3" w14:textId="77777777" w:rsidR="00921721" w:rsidRPr="00CD7B3F" w:rsidRDefault="00921721" w:rsidP="00880D09">
            <w:pPr>
              <w:pStyle w:val="anxnormal"/>
              <w:ind w:left="0"/>
              <w:rPr>
                <w:rFonts w:asciiTheme="minorHAnsi" w:hAnsiTheme="minorHAnsi"/>
                <w:lang w:eastAsia="en-US"/>
              </w:rPr>
            </w:pPr>
            <w:r w:rsidRPr="00CD7B3F">
              <w:rPr>
                <w:rFonts w:asciiTheme="minorHAnsi" w:hAnsiTheme="minorHAnsi"/>
                <w:lang w:eastAsia="en-US"/>
              </w:rPr>
              <w:t xml:space="preserve">Jako zasadę rekomenduje się </w:t>
            </w:r>
            <w:r w:rsidRPr="00CD7B3F">
              <w:rPr>
                <w:rFonts w:asciiTheme="minorHAnsi" w:hAnsiTheme="minorHAnsi"/>
                <w:u w:val="single"/>
                <w:lang w:eastAsia="en-US"/>
              </w:rPr>
              <w:t>oddzielnie inżynierskie eksperckie oszacowanie kosztów utrzymania dla każdego przypadku</w:t>
            </w:r>
            <w:r w:rsidRPr="00CD7B3F">
              <w:rPr>
                <w:rFonts w:asciiTheme="minorHAnsi" w:hAnsiTheme="minorHAnsi"/>
                <w:lang w:eastAsia="en-US"/>
              </w:rPr>
              <w:t>, zwłaszcza w sytuacji, gdy szacunki te służą do określenia niezbędnych nakładów budżetowych na utrzymanie zapewniających trwałość tych obiektów.</w:t>
            </w:r>
          </w:p>
          <w:p w14:paraId="0DBEF2C0" w14:textId="77777777" w:rsidR="00921721" w:rsidRPr="00CD7B3F" w:rsidRDefault="00921721" w:rsidP="00880D09">
            <w:pPr>
              <w:pStyle w:val="anxnormal"/>
              <w:ind w:left="0"/>
              <w:rPr>
                <w:rFonts w:asciiTheme="minorHAnsi" w:hAnsiTheme="minorHAnsi"/>
                <w:lang w:eastAsia="en-US"/>
              </w:rPr>
            </w:pPr>
            <w:r>
              <w:rPr>
                <w:rFonts w:asciiTheme="minorHAnsi" w:hAnsiTheme="minorHAnsi"/>
                <w:lang w:eastAsia="en-US"/>
              </w:rPr>
              <w:t>W przypadku braku innych wiarygodnych danych, dla</w:t>
            </w:r>
            <w:r w:rsidRPr="00CD7B3F">
              <w:rPr>
                <w:rFonts w:asciiTheme="minorHAnsi" w:hAnsiTheme="minorHAnsi"/>
                <w:lang w:eastAsia="en-US"/>
              </w:rPr>
              <w:t xml:space="preserve"> celów analizy kosztów i korzyści, można przyjąć 1,5% kosztów inwestycyjnych jako wstępne szacunkowe łączne roczne średnie bieżące i okresowe koszty eksploatacji dla danego obiektu (wskazanego w oparciu o inżynierskie kryteria). Dla pozostałej długości </w:t>
            </w:r>
            <w:r>
              <w:rPr>
                <w:rFonts w:asciiTheme="minorHAnsi" w:hAnsiTheme="minorHAnsi"/>
                <w:lang w:eastAsia="en-US"/>
              </w:rPr>
              <w:t xml:space="preserve">dróg objętych projektem </w:t>
            </w:r>
            <w:r w:rsidRPr="00CD7B3F">
              <w:rPr>
                <w:rFonts w:asciiTheme="minorHAnsi" w:hAnsiTheme="minorHAnsi"/>
                <w:lang w:eastAsia="en-US"/>
              </w:rPr>
              <w:t>stosuje się odpowiednio powyższe jednostkowe koszty utrzymania (bieżącego i okresowego).</w:t>
            </w:r>
          </w:p>
          <w:p w14:paraId="71735C8E" w14:textId="77777777" w:rsidR="00921721" w:rsidRPr="00CD7B3F" w:rsidRDefault="00921721" w:rsidP="00880D09">
            <w:pPr>
              <w:ind w:right="170"/>
              <w:jc w:val="both"/>
              <w:rPr>
                <w:rFonts w:asciiTheme="minorHAnsi" w:hAnsiTheme="minorHAnsi" w:cs="Arial"/>
                <w:sz w:val="20"/>
                <w:szCs w:val="20"/>
              </w:rPr>
            </w:pPr>
          </w:p>
          <w:p w14:paraId="71B2A540" w14:textId="77777777" w:rsidR="00921721" w:rsidRPr="00CD7B3F" w:rsidRDefault="00921721" w:rsidP="00880D09">
            <w:pPr>
              <w:ind w:right="170"/>
              <w:jc w:val="both"/>
              <w:rPr>
                <w:rFonts w:asciiTheme="minorHAnsi" w:hAnsiTheme="minorHAnsi" w:cs="Arial-Narrow,Bold"/>
                <w:b/>
                <w:bCs/>
                <w:color w:val="4F81BD" w:themeColor="accent1"/>
                <w:sz w:val="20"/>
                <w:szCs w:val="20"/>
              </w:rPr>
            </w:pPr>
            <w:r w:rsidRPr="00CD7B3F">
              <w:rPr>
                <w:rFonts w:asciiTheme="minorHAnsi" w:hAnsiTheme="minorHAnsi" w:cs="Arial-Narrow,Bold"/>
                <w:b/>
                <w:bCs/>
                <w:color w:val="4F81BD" w:themeColor="accent1"/>
                <w:sz w:val="20"/>
                <w:szCs w:val="20"/>
              </w:rPr>
              <w:t>Jednostkowe koszty operacyjne systemu poboru opłat</w:t>
            </w:r>
          </w:p>
          <w:p w14:paraId="6D7A7737" w14:textId="77777777" w:rsidR="00921721" w:rsidRDefault="00921721" w:rsidP="00880D09">
            <w:pPr>
              <w:pStyle w:val="anxnormal"/>
              <w:ind w:left="0"/>
              <w:rPr>
                <w:rFonts w:asciiTheme="minorHAnsi" w:hAnsiTheme="minorHAnsi"/>
                <w:lang w:eastAsia="en-US"/>
              </w:rPr>
            </w:pPr>
            <w:r w:rsidRPr="00AC4126">
              <w:rPr>
                <w:rFonts w:asciiTheme="minorHAnsi" w:hAnsiTheme="minorHAnsi"/>
                <w:lang w:eastAsia="en-US"/>
              </w:rPr>
              <w:t xml:space="preserve">Poniżej proponowane jednostkowe koszty operacyjne elektronicznego systemu poboru opłat są oparte na </w:t>
            </w:r>
            <w:r>
              <w:rPr>
                <w:rFonts w:asciiTheme="minorHAnsi" w:hAnsiTheme="minorHAnsi"/>
                <w:lang w:eastAsia="en-US"/>
              </w:rPr>
              <w:t xml:space="preserve">kosztach związanych z eksploatacją </w:t>
            </w:r>
            <w:r w:rsidRPr="00AC4126">
              <w:rPr>
                <w:rFonts w:asciiTheme="minorHAnsi" w:hAnsiTheme="minorHAnsi"/>
                <w:lang w:eastAsia="en-US"/>
              </w:rPr>
              <w:t xml:space="preserve">Elektronicznego Systemu Poboru Opłat </w:t>
            </w:r>
            <w:r>
              <w:rPr>
                <w:rFonts w:asciiTheme="minorHAnsi" w:hAnsiTheme="minorHAnsi"/>
                <w:lang w:eastAsia="en-US"/>
              </w:rPr>
              <w:t xml:space="preserve">w lipcu, sierpniu i wrześniu 2021 roku. </w:t>
            </w:r>
            <w:r w:rsidRPr="009722D8">
              <w:rPr>
                <w:rFonts w:asciiTheme="minorHAnsi" w:hAnsiTheme="minorHAnsi"/>
                <w:lang w:eastAsia="en-US"/>
              </w:rPr>
              <w:t xml:space="preserve">Do </w:t>
            </w:r>
            <w:r>
              <w:rPr>
                <w:rFonts w:asciiTheme="minorHAnsi" w:hAnsiTheme="minorHAnsi"/>
                <w:lang w:eastAsia="en-US"/>
              </w:rPr>
              <w:t xml:space="preserve">końca </w:t>
            </w:r>
            <w:r w:rsidRPr="009722D8">
              <w:rPr>
                <w:rFonts w:asciiTheme="minorHAnsi" w:hAnsiTheme="minorHAnsi"/>
                <w:lang w:eastAsia="en-US"/>
              </w:rPr>
              <w:t>września 2021</w:t>
            </w:r>
            <w:r>
              <w:rPr>
                <w:rFonts w:asciiTheme="minorHAnsi" w:hAnsiTheme="minorHAnsi"/>
                <w:lang w:eastAsia="en-US"/>
              </w:rPr>
              <w:t> </w:t>
            </w:r>
            <w:r w:rsidRPr="009722D8">
              <w:rPr>
                <w:rFonts w:asciiTheme="minorHAnsi" w:hAnsiTheme="minorHAnsi"/>
                <w:lang w:eastAsia="en-US"/>
              </w:rPr>
              <w:t xml:space="preserve">r. funkcjonowały równocześnie dwa systemy elektronicznego poboru opłat: </w:t>
            </w:r>
            <w:r>
              <w:rPr>
                <w:rFonts w:asciiTheme="minorHAnsi" w:hAnsiTheme="minorHAnsi"/>
                <w:lang w:eastAsia="en-US"/>
              </w:rPr>
              <w:t xml:space="preserve">dotychczasowy </w:t>
            </w:r>
            <w:proofErr w:type="spellStart"/>
            <w:r w:rsidRPr="009722D8">
              <w:rPr>
                <w:rFonts w:asciiTheme="minorHAnsi" w:hAnsiTheme="minorHAnsi"/>
                <w:lang w:eastAsia="en-US"/>
              </w:rPr>
              <w:t>viaTOLL</w:t>
            </w:r>
            <w:proofErr w:type="spellEnd"/>
            <w:r w:rsidRPr="009722D8">
              <w:rPr>
                <w:rFonts w:asciiTheme="minorHAnsi" w:hAnsiTheme="minorHAnsi"/>
                <w:lang w:eastAsia="en-US"/>
              </w:rPr>
              <w:t xml:space="preserve"> i </w:t>
            </w:r>
            <w:r>
              <w:rPr>
                <w:rFonts w:asciiTheme="minorHAnsi" w:hAnsiTheme="minorHAnsi"/>
                <w:lang w:eastAsia="en-US"/>
              </w:rPr>
              <w:t xml:space="preserve">wdrażany </w:t>
            </w:r>
            <w:r w:rsidRPr="009722D8">
              <w:rPr>
                <w:rFonts w:asciiTheme="minorHAnsi" w:hAnsiTheme="minorHAnsi"/>
                <w:lang w:eastAsia="en-US"/>
              </w:rPr>
              <w:t xml:space="preserve">e-TOLL. Dane </w:t>
            </w:r>
            <w:r>
              <w:rPr>
                <w:rFonts w:asciiTheme="minorHAnsi" w:hAnsiTheme="minorHAnsi"/>
                <w:lang w:eastAsia="en-US"/>
              </w:rPr>
              <w:t xml:space="preserve">kosztowe </w:t>
            </w:r>
            <w:r w:rsidRPr="009722D8">
              <w:rPr>
                <w:rFonts w:asciiTheme="minorHAnsi" w:hAnsiTheme="minorHAnsi"/>
                <w:lang w:eastAsia="en-US"/>
              </w:rPr>
              <w:t xml:space="preserve">dotyczące eksploatacji Elektronicznego Systemu Poboru Opłat odnoszą się do obu systemów. </w:t>
            </w:r>
            <w:r>
              <w:rPr>
                <w:rFonts w:asciiTheme="minorHAnsi" w:hAnsiTheme="minorHAnsi"/>
                <w:lang w:eastAsia="en-US"/>
              </w:rPr>
              <w:t>Od 1 października 2021 </w:t>
            </w:r>
            <w:r w:rsidRPr="009722D8">
              <w:rPr>
                <w:rFonts w:asciiTheme="minorHAnsi" w:hAnsiTheme="minorHAnsi"/>
                <w:lang w:eastAsia="en-US"/>
              </w:rPr>
              <w:t xml:space="preserve">r. e-TOLL stał się jedynym systemem umożliwiającym </w:t>
            </w:r>
            <w:r>
              <w:rPr>
                <w:rFonts w:asciiTheme="minorHAnsi" w:hAnsiTheme="minorHAnsi"/>
                <w:lang w:eastAsia="en-US"/>
              </w:rPr>
              <w:t xml:space="preserve">uiszczenie opłaty </w:t>
            </w:r>
            <w:r w:rsidRPr="009722D8">
              <w:rPr>
                <w:rFonts w:asciiTheme="minorHAnsi" w:hAnsiTheme="minorHAnsi"/>
                <w:lang w:eastAsia="en-US"/>
              </w:rPr>
              <w:t>za</w:t>
            </w:r>
            <w:r>
              <w:rPr>
                <w:rFonts w:asciiTheme="minorHAnsi" w:hAnsiTheme="minorHAnsi"/>
                <w:lang w:eastAsia="en-US"/>
              </w:rPr>
              <w:t xml:space="preserve"> przejazd po drogach płatnych w </w:t>
            </w:r>
            <w:r w:rsidRPr="009722D8">
              <w:rPr>
                <w:rFonts w:asciiTheme="minorHAnsi" w:hAnsiTheme="minorHAnsi"/>
                <w:lang w:eastAsia="en-US"/>
              </w:rPr>
              <w:t>Polsce.</w:t>
            </w:r>
            <w:r>
              <w:rPr>
                <w:rFonts w:asciiTheme="minorHAnsi" w:hAnsiTheme="minorHAnsi"/>
                <w:lang w:eastAsia="en-US"/>
              </w:rPr>
              <w:t xml:space="preserve"> W okresie, którego </w:t>
            </w:r>
            <w:r>
              <w:rPr>
                <w:rFonts w:asciiTheme="minorHAnsi" w:hAnsiTheme="minorHAnsi"/>
                <w:lang w:eastAsia="en-US"/>
              </w:rPr>
              <w:lastRenderedPageBreak/>
              <w:t>dotyczą dane kosztowe, łączna d</w:t>
            </w:r>
            <w:r w:rsidRPr="009722D8">
              <w:rPr>
                <w:rFonts w:asciiTheme="minorHAnsi" w:hAnsiTheme="minorHAnsi"/>
                <w:lang w:eastAsia="en-US"/>
              </w:rPr>
              <w:t xml:space="preserve">ługość </w:t>
            </w:r>
            <w:r>
              <w:rPr>
                <w:rFonts w:asciiTheme="minorHAnsi" w:hAnsiTheme="minorHAnsi"/>
                <w:lang w:eastAsia="en-US"/>
              </w:rPr>
              <w:t xml:space="preserve">dróg </w:t>
            </w:r>
            <w:r w:rsidRPr="009722D8">
              <w:rPr>
                <w:rFonts w:asciiTheme="minorHAnsi" w:hAnsiTheme="minorHAnsi"/>
                <w:lang w:eastAsia="en-US"/>
              </w:rPr>
              <w:t>publicznych zarządzanych przez GDDKiA</w:t>
            </w:r>
            <w:r>
              <w:rPr>
                <w:rFonts w:asciiTheme="minorHAnsi" w:hAnsiTheme="minorHAnsi"/>
                <w:lang w:eastAsia="en-US"/>
              </w:rPr>
              <w:t xml:space="preserve"> </w:t>
            </w:r>
            <w:r w:rsidRPr="009722D8">
              <w:rPr>
                <w:rFonts w:asciiTheme="minorHAnsi" w:hAnsiTheme="minorHAnsi"/>
                <w:lang w:eastAsia="en-US"/>
              </w:rPr>
              <w:t xml:space="preserve">objętych opłatami </w:t>
            </w:r>
            <w:r>
              <w:rPr>
                <w:rFonts w:asciiTheme="minorHAnsi" w:hAnsiTheme="minorHAnsi"/>
                <w:lang w:eastAsia="en-US"/>
              </w:rPr>
              <w:t>za przejazd wynosiła 3,68 tys. kilometrów. J</w:t>
            </w:r>
            <w:r w:rsidRPr="00EF54F3">
              <w:rPr>
                <w:rFonts w:asciiTheme="minorHAnsi" w:hAnsiTheme="minorHAnsi"/>
                <w:lang w:eastAsia="en-US"/>
              </w:rPr>
              <w:t>ednostkowe koszty operacyjne systemu poboru opłat</w:t>
            </w:r>
            <w:r w:rsidRPr="00EF54F3" w:rsidDel="00AC4126">
              <w:rPr>
                <w:rFonts w:asciiTheme="minorHAnsi" w:hAnsiTheme="minorHAnsi"/>
                <w:lang w:eastAsia="en-US"/>
              </w:rPr>
              <w:t xml:space="preserve"> </w:t>
            </w:r>
            <w:r>
              <w:rPr>
                <w:rFonts w:asciiTheme="minorHAnsi" w:hAnsiTheme="minorHAnsi"/>
                <w:lang w:eastAsia="en-US"/>
              </w:rPr>
              <w:t xml:space="preserve">będą mogły zostać zaktualizowane w przyszłości na podstawie danych kosztowych dotyczących funkcjonowania tego systemu po zakończeniu okresu wdrażania. Będzie to mogło nastąpić w ramach okresowej aktualizacji tabel kosztów jednostkowych publikowanych przez CUPT. </w:t>
            </w:r>
          </w:p>
          <w:p w14:paraId="0E3C79A3" w14:textId="77777777" w:rsidR="00921721" w:rsidRPr="00CD7B3F" w:rsidRDefault="00921721" w:rsidP="00880D09">
            <w:pPr>
              <w:pStyle w:val="anxnormal"/>
              <w:ind w:left="0"/>
              <w:rPr>
                <w:rFonts w:asciiTheme="minorHAnsi" w:hAnsiTheme="minorHAnsi"/>
                <w:lang w:eastAsia="en-US"/>
              </w:rPr>
            </w:pPr>
          </w:p>
          <w:p w14:paraId="4113110C"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Koszty jednostkowe</w:t>
            </w:r>
            <w:r>
              <w:rPr>
                <w:rFonts w:asciiTheme="minorHAnsi" w:hAnsiTheme="minorHAnsi"/>
                <w:lang w:eastAsia="en-US"/>
              </w:rPr>
              <w:t xml:space="preserve"> eksploatacji</w:t>
            </w:r>
            <w:r w:rsidRPr="00CD7B3F">
              <w:rPr>
                <w:rFonts w:asciiTheme="minorHAnsi" w:hAnsiTheme="minorHAnsi"/>
                <w:lang w:eastAsia="en-US"/>
              </w:rPr>
              <w:t xml:space="preserve"> elektronicznego systemu poboru opłat [PLN/km]</w:t>
            </w:r>
          </w:p>
          <w:tbl>
            <w:tblPr>
              <w:tblW w:w="6783" w:type="dxa"/>
              <w:tblLayout w:type="fixed"/>
              <w:tblLook w:val="04A0" w:firstRow="1" w:lastRow="0" w:firstColumn="1" w:lastColumn="0" w:noHBand="0" w:noVBand="1"/>
            </w:tblPr>
            <w:tblGrid>
              <w:gridCol w:w="3391"/>
              <w:gridCol w:w="3392"/>
            </w:tblGrid>
            <w:tr w:rsidR="00921721" w:rsidRPr="00CD7B3F" w14:paraId="64E6837C" w14:textId="77777777" w:rsidTr="00880D09">
              <w:trPr>
                <w:trHeight w:hRule="exact" w:val="489"/>
              </w:trPr>
              <w:tc>
                <w:tcPr>
                  <w:tcW w:w="339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381C0FE"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Rok</w:t>
                  </w:r>
                </w:p>
              </w:tc>
              <w:tc>
                <w:tcPr>
                  <w:tcW w:w="339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3D59C9F"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Jednostkowe koszty operacyjne systemu poboru opłat (PLN/km), netto</w:t>
                  </w:r>
                </w:p>
              </w:tc>
            </w:tr>
            <w:tr w:rsidR="00921721" w:rsidRPr="00CD7B3F" w14:paraId="66CB40E2" w14:textId="77777777" w:rsidTr="00880D09">
              <w:trPr>
                <w:trHeight w:val="222"/>
              </w:trPr>
              <w:tc>
                <w:tcPr>
                  <w:tcW w:w="339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4F1278"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2021</w:t>
                  </w:r>
                </w:p>
              </w:tc>
              <w:tc>
                <w:tcPr>
                  <w:tcW w:w="33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849169"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63 535</w:t>
                  </w:r>
                </w:p>
              </w:tc>
            </w:tr>
          </w:tbl>
          <w:p w14:paraId="1E8512D8" w14:textId="77777777" w:rsidR="00921721" w:rsidRPr="00CD7B3F" w:rsidRDefault="00921721" w:rsidP="00880D09">
            <w:pPr>
              <w:spacing w:before="120" w:after="120"/>
              <w:ind w:right="170"/>
              <w:jc w:val="both"/>
              <w:rPr>
                <w:rFonts w:asciiTheme="minorHAnsi" w:hAnsiTheme="minorHAnsi" w:cs="Arial"/>
                <w:sz w:val="20"/>
                <w:szCs w:val="20"/>
              </w:rPr>
            </w:pPr>
            <w:r w:rsidRPr="00CD7B3F">
              <w:rPr>
                <w:rFonts w:asciiTheme="minorHAnsi" w:hAnsiTheme="minorHAnsi" w:cs="Arial"/>
                <w:b/>
                <w:i/>
                <w:sz w:val="16"/>
                <w:szCs w:val="16"/>
              </w:rPr>
              <w:t xml:space="preserve">Źródło: </w:t>
            </w:r>
            <w:r w:rsidRPr="00B13338">
              <w:rPr>
                <w:rFonts w:asciiTheme="minorHAnsi" w:hAnsiTheme="minorHAnsi"/>
                <w:b/>
                <w:i/>
                <w:sz w:val="16"/>
                <w:szCs w:val="16"/>
              </w:rPr>
              <w:t>Opracowanie własne CUPT na podstawie</w:t>
            </w:r>
            <w:r w:rsidRPr="00B13338">
              <w:rPr>
                <w:rFonts w:asciiTheme="minorHAnsi" w:hAnsiTheme="minorHAnsi" w:cs="Arial"/>
                <w:b/>
                <w:i/>
                <w:sz w:val="16"/>
                <w:szCs w:val="16"/>
              </w:rPr>
              <w:t xml:space="preserve"> </w:t>
            </w:r>
            <w:r>
              <w:rPr>
                <w:rFonts w:asciiTheme="minorHAnsi" w:hAnsiTheme="minorHAnsi" w:cs="Arial"/>
                <w:b/>
                <w:i/>
                <w:sz w:val="16"/>
                <w:szCs w:val="16"/>
              </w:rPr>
              <w:t xml:space="preserve">informacji z </w:t>
            </w:r>
            <w:r w:rsidRPr="00B13338">
              <w:rPr>
                <w:rFonts w:asciiTheme="minorHAnsi" w:hAnsiTheme="minorHAnsi" w:cs="Arial"/>
                <w:b/>
                <w:i/>
                <w:sz w:val="16"/>
                <w:szCs w:val="16"/>
              </w:rPr>
              <w:t>Ministerstw</w:t>
            </w:r>
            <w:r>
              <w:rPr>
                <w:rFonts w:asciiTheme="minorHAnsi" w:hAnsiTheme="minorHAnsi" w:cs="Arial"/>
                <w:b/>
                <w:i/>
                <w:sz w:val="16"/>
                <w:szCs w:val="16"/>
              </w:rPr>
              <w:t>a</w:t>
            </w:r>
            <w:r w:rsidRPr="00B13338">
              <w:rPr>
                <w:rFonts w:asciiTheme="minorHAnsi" w:hAnsiTheme="minorHAnsi" w:cs="Arial"/>
                <w:b/>
                <w:i/>
                <w:sz w:val="16"/>
                <w:szCs w:val="16"/>
              </w:rPr>
              <w:t xml:space="preserve"> Finansów </w:t>
            </w:r>
            <w:r>
              <w:rPr>
                <w:rFonts w:asciiTheme="minorHAnsi" w:hAnsiTheme="minorHAnsi" w:cs="Arial"/>
                <w:b/>
                <w:i/>
                <w:sz w:val="16"/>
                <w:szCs w:val="16"/>
              </w:rPr>
              <w:t>–</w:t>
            </w:r>
            <w:r w:rsidRPr="00B13338">
              <w:rPr>
                <w:rFonts w:asciiTheme="minorHAnsi" w:hAnsiTheme="minorHAnsi" w:cs="Arial"/>
                <w:b/>
                <w:i/>
                <w:sz w:val="16"/>
                <w:szCs w:val="16"/>
              </w:rPr>
              <w:t xml:space="preserve"> Krajow</w:t>
            </w:r>
            <w:r>
              <w:rPr>
                <w:rFonts w:asciiTheme="minorHAnsi" w:hAnsiTheme="minorHAnsi" w:cs="Arial"/>
                <w:b/>
                <w:i/>
                <w:sz w:val="16"/>
                <w:szCs w:val="16"/>
              </w:rPr>
              <w:t>ej</w:t>
            </w:r>
            <w:r w:rsidRPr="00B13338">
              <w:rPr>
                <w:rFonts w:asciiTheme="minorHAnsi" w:hAnsiTheme="minorHAnsi" w:cs="Arial"/>
                <w:b/>
                <w:i/>
                <w:sz w:val="16"/>
                <w:szCs w:val="16"/>
              </w:rPr>
              <w:t xml:space="preserve"> Administracj</w:t>
            </w:r>
            <w:r>
              <w:rPr>
                <w:rFonts w:asciiTheme="minorHAnsi" w:hAnsiTheme="minorHAnsi" w:cs="Arial"/>
                <w:b/>
                <w:i/>
                <w:sz w:val="16"/>
                <w:szCs w:val="16"/>
              </w:rPr>
              <w:t>i</w:t>
            </w:r>
            <w:r w:rsidRPr="00B13338">
              <w:rPr>
                <w:rFonts w:asciiTheme="minorHAnsi" w:hAnsiTheme="minorHAnsi" w:cs="Arial"/>
                <w:b/>
                <w:i/>
                <w:sz w:val="16"/>
                <w:szCs w:val="16"/>
              </w:rPr>
              <w:t xml:space="preserve"> Skarbow</w:t>
            </w:r>
            <w:r>
              <w:rPr>
                <w:rFonts w:asciiTheme="minorHAnsi" w:hAnsiTheme="minorHAnsi" w:cs="Arial"/>
                <w:b/>
                <w:i/>
                <w:sz w:val="16"/>
                <w:szCs w:val="16"/>
              </w:rPr>
              <w:t>ej</w:t>
            </w:r>
            <w:r w:rsidRPr="00B13338">
              <w:rPr>
                <w:rFonts w:asciiTheme="minorHAnsi" w:hAnsiTheme="minorHAnsi" w:cs="Arial"/>
                <w:b/>
                <w:i/>
                <w:sz w:val="16"/>
                <w:szCs w:val="16"/>
              </w:rPr>
              <w:t>.</w:t>
            </w:r>
          </w:p>
          <w:p w14:paraId="72309BCB" w14:textId="77777777" w:rsidR="00921721" w:rsidRPr="00CD7B3F" w:rsidRDefault="00921721" w:rsidP="00880D09">
            <w:pPr>
              <w:pStyle w:val="anxnormal"/>
              <w:ind w:left="0"/>
              <w:rPr>
                <w:rFonts w:asciiTheme="minorHAnsi" w:hAnsiTheme="minorHAnsi"/>
                <w:u w:val="single"/>
                <w:lang w:eastAsia="en-US"/>
              </w:rPr>
            </w:pPr>
          </w:p>
          <w:p w14:paraId="4DD5A4D8" w14:textId="77777777" w:rsidR="00921721" w:rsidRPr="00CD7B3F" w:rsidRDefault="00921721" w:rsidP="00880D09">
            <w:pPr>
              <w:pStyle w:val="anxnormal"/>
              <w:ind w:left="0"/>
              <w:rPr>
                <w:rFonts w:asciiTheme="minorHAnsi" w:hAnsiTheme="minorHAnsi"/>
                <w:u w:val="single"/>
                <w:lang w:eastAsia="en-US"/>
              </w:rPr>
            </w:pPr>
            <w:r w:rsidRPr="00CD7B3F">
              <w:rPr>
                <w:rFonts w:asciiTheme="minorHAnsi" w:hAnsiTheme="minorHAnsi"/>
                <w:u w:val="single"/>
                <w:lang w:eastAsia="en-US"/>
              </w:rPr>
              <w:t>Zmienność kosztów jednostkowych w czasie</w:t>
            </w:r>
          </w:p>
          <w:p w14:paraId="1821D41A"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 xml:space="preserve">Zakłada się brak realnego wzrostu jednostkowych kosztów </w:t>
            </w:r>
            <w:r w:rsidRPr="00CD7B3F">
              <w:rPr>
                <w:rFonts w:asciiTheme="minorHAnsi" w:hAnsiTheme="minorHAnsi"/>
                <w:lang w:eastAsia="en-US"/>
              </w:rPr>
              <w:t xml:space="preserve">eksploatacji i utrzymania </w:t>
            </w:r>
            <w:r>
              <w:rPr>
                <w:rFonts w:asciiTheme="minorHAnsi" w:hAnsiTheme="minorHAnsi"/>
                <w:lang w:eastAsia="en-US"/>
              </w:rPr>
              <w:t xml:space="preserve">elektronicznego systemu poboru opłat </w:t>
            </w:r>
            <w:r w:rsidRPr="00731E4E">
              <w:rPr>
                <w:rFonts w:asciiTheme="minorHAnsi" w:hAnsiTheme="minorHAnsi"/>
                <w:lang w:eastAsia="en-US"/>
              </w:rPr>
              <w:t>w</w:t>
            </w:r>
            <w:r>
              <w:rPr>
                <w:rFonts w:asciiTheme="minorHAnsi" w:hAnsiTheme="minorHAnsi"/>
                <w:lang w:eastAsia="en-US"/>
              </w:rPr>
              <w:t> </w:t>
            </w:r>
            <w:r w:rsidRPr="00731E4E">
              <w:rPr>
                <w:rFonts w:asciiTheme="minorHAnsi" w:hAnsiTheme="minorHAnsi"/>
                <w:lang w:eastAsia="en-US"/>
              </w:rPr>
              <w:t>czasie.</w:t>
            </w:r>
            <w:r w:rsidRPr="002C6855">
              <w:rPr>
                <w:rFonts w:asciiTheme="minorHAnsi" w:hAnsiTheme="minorHAnsi"/>
                <w:lang w:eastAsia="en-US"/>
              </w:rPr>
              <w:t xml:space="preserve"> </w:t>
            </w:r>
            <w:r w:rsidRPr="00B72029">
              <w:rPr>
                <w:rFonts w:asciiTheme="minorHAnsi" w:hAnsiTheme="minorHAnsi"/>
                <w:lang w:eastAsia="en-US"/>
              </w:rPr>
              <w:t xml:space="preserve">Należy jedynie uwzględnić indeksację nominalną wskaźnikiem polskiej inflacji </w:t>
            </w:r>
            <w:r>
              <w:rPr>
                <w:rFonts w:asciiTheme="minorHAnsi" w:hAnsiTheme="minorHAnsi"/>
                <w:lang w:eastAsia="en-US"/>
              </w:rPr>
              <w:t xml:space="preserve">cen produkcji budowlano-montażowej </w:t>
            </w:r>
            <w:r w:rsidRPr="00B72029">
              <w:rPr>
                <w:rFonts w:asciiTheme="minorHAnsi" w:hAnsiTheme="minorHAnsi"/>
                <w:lang w:eastAsia="en-US"/>
              </w:rPr>
              <w:t>do poziomu cenowego właściwego dla roku bazowego, kiedy rok bazowy zmien</w:t>
            </w:r>
            <w:r>
              <w:rPr>
                <w:rFonts w:asciiTheme="minorHAnsi" w:hAnsiTheme="minorHAnsi"/>
                <w:lang w:eastAsia="en-US"/>
              </w:rPr>
              <w:t xml:space="preserve">i się z obecnie przyjętego </w:t>
            </w:r>
            <w:r w:rsidRPr="00FB7CC5">
              <w:rPr>
                <w:rFonts w:asciiTheme="minorHAnsi" w:hAnsiTheme="minorHAnsi"/>
                <w:lang w:eastAsia="en-US"/>
              </w:rPr>
              <w:t>(2021)</w:t>
            </w:r>
            <w:r w:rsidRPr="00B72029">
              <w:rPr>
                <w:rFonts w:asciiTheme="minorHAnsi" w:hAnsiTheme="minorHAnsi"/>
                <w:lang w:eastAsia="en-US"/>
              </w:rPr>
              <w:t xml:space="preserve"> na późniejszy.</w:t>
            </w:r>
            <w:r>
              <w:rPr>
                <w:rFonts w:asciiTheme="minorHAnsi" w:hAnsiTheme="minorHAnsi"/>
                <w:lang w:eastAsia="en-US"/>
              </w:rPr>
              <w:t xml:space="preserve"> </w:t>
            </w:r>
          </w:p>
          <w:p w14:paraId="64D2B6EB" w14:textId="77777777" w:rsidR="00921721" w:rsidRDefault="00921721" w:rsidP="00880D09">
            <w:pPr>
              <w:pStyle w:val="anxnormal"/>
              <w:ind w:left="0"/>
              <w:rPr>
                <w:rFonts w:asciiTheme="minorHAnsi" w:hAnsiTheme="minorHAnsi"/>
                <w:lang w:eastAsia="en-US"/>
              </w:rPr>
            </w:pPr>
          </w:p>
          <w:p w14:paraId="02C04E89" w14:textId="77777777" w:rsidR="00921721" w:rsidRDefault="00921721" w:rsidP="00880D09">
            <w:pPr>
              <w:pStyle w:val="anxnormal"/>
              <w:ind w:left="0"/>
              <w:rPr>
                <w:rFonts w:asciiTheme="minorHAnsi" w:hAnsiTheme="minorHAnsi"/>
                <w:lang w:eastAsia="en-US"/>
              </w:rPr>
            </w:pPr>
          </w:p>
          <w:p w14:paraId="2691863C" w14:textId="77777777" w:rsidR="00921721" w:rsidRDefault="00921721" w:rsidP="00880D09">
            <w:pPr>
              <w:pStyle w:val="anxnormal"/>
              <w:ind w:left="0"/>
              <w:rPr>
                <w:rFonts w:asciiTheme="minorHAnsi" w:hAnsiTheme="minorHAnsi"/>
                <w:lang w:eastAsia="en-US"/>
              </w:rPr>
            </w:pPr>
          </w:p>
          <w:p w14:paraId="37D76293" w14:textId="77777777" w:rsidR="00921721" w:rsidRDefault="00921721" w:rsidP="00880D09">
            <w:pPr>
              <w:pStyle w:val="anxnormal"/>
              <w:ind w:left="0"/>
              <w:rPr>
                <w:rFonts w:asciiTheme="minorHAnsi" w:hAnsiTheme="minorHAnsi"/>
                <w:lang w:eastAsia="en-US"/>
              </w:rPr>
            </w:pPr>
          </w:p>
          <w:p w14:paraId="5CED636A" w14:textId="77777777" w:rsidR="00921721" w:rsidRDefault="00921721" w:rsidP="00880D09">
            <w:pPr>
              <w:pStyle w:val="anxnormal"/>
              <w:ind w:left="0"/>
              <w:rPr>
                <w:rFonts w:asciiTheme="minorHAnsi" w:hAnsiTheme="minorHAnsi"/>
                <w:lang w:eastAsia="en-US"/>
              </w:rPr>
            </w:pPr>
          </w:p>
          <w:p w14:paraId="1A0BB453" w14:textId="77777777" w:rsidR="00921721" w:rsidRDefault="00921721" w:rsidP="00880D09">
            <w:pPr>
              <w:pStyle w:val="anxnormal"/>
              <w:ind w:left="0"/>
              <w:rPr>
                <w:rFonts w:asciiTheme="minorHAnsi" w:hAnsiTheme="minorHAnsi"/>
                <w:lang w:eastAsia="en-US"/>
              </w:rPr>
            </w:pPr>
          </w:p>
          <w:p w14:paraId="4E118D52" w14:textId="77777777" w:rsidR="00921721" w:rsidRDefault="00921721" w:rsidP="00880D09">
            <w:pPr>
              <w:pStyle w:val="anxnormal"/>
              <w:ind w:left="0"/>
              <w:rPr>
                <w:rFonts w:asciiTheme="minorHAnsi" w:hAnsiTheme="minorHAnsi"/>
                <w:lang w:eastAsia="en-US"/>
              </w:rPr>
            </w:pPr>
          </w:p>
          <w:p w14:paraId="12677356" w14:textId="77777777" w:rsidR="00921721" w:rsidRDefault="00921721" w:rsidP="00880D09">
            <w:pPr>
              <w:pStyle w:val="anxnormal"/>
              <w:ind w:left="0"/>
              <w:rPr>
                <w:rFonts w:asciiTheme="minorHAnsi" w:hAnsiTheme="minorHAnsi"/>
                <w:lang w:eastAsia="en-US"/>
              </w:rPr>
            </w:pPr>
          </w:p>
          <w:p w14:paraId="25C056FA" w14:textId="77777777" w:rsidR="00921721" w:rsidRDefault="00921721" w:rsidP="00880D09">
            <w:pPr>
              <w:pStyle w:val="anxnormal"/>
              <w:ind w:left="0"/>
              <w:rPr>
                <w:rFonts w:asciiTheme="minorHAnsi" w:hAnsiTheme="minorHAnsi"/>
                <w:lang w:eastAsia="en-US"/>
              </w:rPr>
            </w:pPr>
          </w:p>
          <w:p w14:paraId="5ED57927" w14:textId="77777777" w:rsidR="00921721" w:rsidRDefault="00921721" w:rsidP="00880D09">
            <w:pPr>
              <w:pStyle w:val="anxnormal"/>
              <w:ind w:left="0"/>
              <w:rPr>
                <w:rFonts w:asciiTheme="minorHAnsi" w:hAnsiTheme="minorHAnsi"/>
                <w:lang w:eastAsia="en-US"/>
              </w:rPr>
            </w:pPr>
          </w:p>
          <w:p w14:paraId="11FA9DF3" w14:textId="77777777" w:rsidR="00921721" w:rsidRPr="00821B08" w:rsidRDefault="00921721" w:rsidP="00880D09">
            <w:pPr>
              <w:pStyle w:val="anxnormal"/>
              <w:ind w:left="0"/>
              <w:rPr>
                <w:rFonts w:asciiTheme="minorHAnsi" w:hAnsiTheme="minorHAnsi" w:cs="Arial-Narrow,Bold"/>
                <w:b/>
                <w:bCs/>
                <w:color w:val="4F81BD" w:themeColor="accent1"/>
                <w:sz w:val="23"/>
                <w:szCs w:val="23"/>
                <w:lang w:eastAsia="en-GB"/>
              </w:rPr>
            </w:pPr>
            <w:r w:rsidRPr="00821B08">
              <w:rPr>
                <w:rFonts w:asciiTheme="minorHAnsi" w:hAnsiTheme="minorHAnsi" w:cs="Arial-Narrow,Bold"/>
                <w:b/>
                <w:bCs/>
                <w:color w:val="4F81BD" w:themeColor="accent1"/>
                <w:sz w:val="23"/>
                <w:szCs w:val="23"/>
                <w:lang w:eastAsia="en-GB"/>
              </w:rPr>
              <w:lastRenderedPageBreak/>
              <w:t>10. Przykład: obliczenie wartości rezydualnej</w:t>
            </w:r>
            <w:r>
              <w:rPr>
                <w:rFonts w:asciiTheme="minorHAnsi" w:hAnsiTheme="minorHAnsi" w:cs="Arial-Narrow,Bold"/>
                <w:b/>
                <w:bCs/>
                <w:color w:val="4F81BD" w:themeColor="accent1"/>
                <w:sz w:val="23"/>
                <w:szCs w:val="23"/>
                <w:lang w:eastAsia="en-GB"/>
              </w:rPr>
              <w:t xml:space="preserve"> w </w:t>
            </w:r>
            <w:r w:rsidRPr="00821B08">
              <w:rPr>
                <w:rFonts w:asciiTheme="minorHAnsi" w:hAnsiTheme="minorHAnsi" w:cs="Arial-Narrow,Bold"/>
                <w:b/>
                <w:bCs/>
                <w:color w:val="4F81BD" w:themeColor="accent1"/>
                <w:sz w:val="23"/>
                <w:szCs w:val="23"/>
                <w:lang w:eastAsia="en-GB"/>
              </w:rPr>
              <w:t>oparciu</w:t>
            </w:r>
            <w:r>
              <w:rPr>
                <w:rFonts w:asciiTheme="minorHAnsi" w:hAnsiTheme="minorHAnsi" w:cs="Arial-Narrow,Bold"/>
                <w:b/>
                <w:bCs/>
                <w:color w:val="4F81BD" w:themeColor="accent1"/>
                <w:sz w:val="23"/>
                <w:szCs w:val="23"/>
                <w:lang w:eastAsia="en-GB"/>
              </w:rPr>
              <w:t xml:space="preserve"> o </w:t>
            </w:r>
            <w:r w:rsidRPr="00821B08">
              <w:rPr>
                <w:rFonts w:asciiTheme="minorHAnsi" w:hAnsiTheme="minorHAnsi" w:cs="Arial-Narrow,Bold"/>
                <w:b/>
                <w:bCs/>
                <w:color w:val="4F81BD" w:themeColor="accent1"/>
                <w:sz w:val="23"/>
                <w:szCs w:val="23"/>
                <w:lang w:eastAsia="en-GB"/>
              </w:rPr>
              <w:t>amortyzację</w:t>
            </w:r>
          </w:p>
          <w:p w14:paraId="568A22B5"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Projekt X, podział kosztów budowy przedstawiono</w:t>
            </w:r>
            <w:r>
              <w:rPr>
                <w:rFonts w:asciiTheme="minorHAnsi" w:hAnsiTheme="minorHAnsi"/>
                <w:lang w:eastAsia="en-US"/>
              </w:rPr>
              <w:t xml:space="preserve"> w </w:t>
            </w:r>
            <w:r w:rsidRPr="00731E4E">
              <w:rPr>
                <w:rFonts w:asciiTheme="minorHAnsi" w:hAnsiTheme="minorHAnsi"/>
                <w:lang w:eastAsia="en-US"/>
              </w:rPr>
              <w:t>poniższej tabeli:</w:t>
            </w:r>
          </w:p>
          <w:tbl>
            <w:tblPr>
              <w:tblW w:w="6882" w:type="dxa"/>
              <w:tblBorders>
                <w:insideH w:val="single" w:sz="4" w:space="0" w:color="FFFFFF"/>
                <w:insideV w:val="single" w:sz="4" w:space="0" w:color="FFFFFF"/>
              </w:tblBorders>
              <w:tblLayout w:type="fixed"/>
              <w:tblLook w:val="04A0" w:firstRow="1" w:lastRow="0" w:firstColumn="1" w:lastColumn="0" w:noHBand="0" w:noVBand="1"/>
            </w:tblPr>
            <w:tblGrid>
              <w:gridCol w:w="1340"/>
              <w:gridCol w:w="862"/>
              <w:gridCol w:w="1064"/>
              <w:gridCol w:w="963"/>
              <w:gridCol w:w="1143"/>
              <w:gridCol w:w="1510"/>
            </w:tblGrid>
            <w:tr w:rsidR="00921721" w:rsidRPr="00731E4E" w14:paraId="096C7065" w14:textId="77777777" w:rsidTr="00880D09">
              <w:trPr>
                <w:trHeight w:val="661"/>
              </w:trPr>
              <w:tc>
                <w:tcPr>
                  <w:tcW w:w="1340" w:type="dxa"/>
                  <w:vMerge w:val="restart"/>
                  <w:tcBorders>
                    <w:top w:val="nil"/>
                    <w:left w:val="nil"/>
                    <w:bottom w:val="single" w:sz="4" w:space="0" w:color="FFFFFF"/>
                    <w:right w:val="single" w:sz="4" w:space="0" w:color="FFFFFF"/>
                  </w:tcBorders>
                  <w:shd w:val="clear" w:color="auto" w:fill="A6A6A6" w:themeFill="background1" w:themeFillShade="A6"/>
                  <w:vAlign w:val="center"/>
                  <w:hideMark/>
                </w:tcPr>
                <w:p w14:paraId="0C6252C6"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Elementy Projektu</w:t>
                  </w:r>
                </w:p>
              </w:tc>
              <w:tc>
                <w:tcPr>
                  <w:tcW w:w="862"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330E2150"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Koszt</w:t>
                  </w:r>
                </w:p>
              </w:tc>
              <w:tc>
                <w:tcPr>
                  <w:tcW w:w="1064"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4020DA6C"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Średnia żywotność aktywów</w:t>
                  </w:r>
                </w:p>
              </w:tc>
              <w:tc>
                <w:tcPr>
                  <w:tcW w:w="963"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47682B57"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Wymagane wymiany</w:t>
                  </w:r>
                </w:p>
              </w:tc>
              <w:tc>
                <w:tcPr>
                  <w:tcW w:w="1143" w:type="dxa"/>
                  <w:tcBorders>
                    <w:top w:val="nil"/>
                    <w:left w:val="single" w:sz="4" w:space="0" w:color="FFFFFF"/>
                    <w:bottom w:val="single" w:sz="4" w:space="0" w:color="FFFFFF"/>
                    <w:right w:val="single" w:sz="4" w:space="0" w:color="FFFFFF"/>
                  </w:tcBorders>
                  <w:shd w:val="clear" w:color="auto" w:fill="A6A6A6" w:themeFill="background1" w:themeFillShade="A6"/>
                  <w:vAlign w:val="center"/>
                </w:tcPr>
                <w:p w14:paraId="025374BD"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Fizyczny okres życia</w:t>
                  </w:r>
                  <w:r>
                    <w:rPr>
                      <w:rFonts w:asciiTheme="minorHAnsi" w:hAnsiTheme="minorHAnsi" w:cs="Arial"/>
                      <w:b/>
                      <w:bCs/>
                      <w:color w:val="FFFFFF"/>
                      <w:sz w:val="18"/>
                      <w:szCs w:val="18"/>
                    </w:rPr>
                    <w:t xml:space="preserve"> z </w:t>
                  </w:r>
                  <w:proofErr w:type="spellStart"/>
                  <w:r w:rsidRPr="00731E4E">
                    <w:rPr>
                      <w:rFonts w:asciiTheme="minorHAnsi" w:hAnsiTheme="minorHAnsi" w:cs="Arial"/>
                      <w:b/>
                      <w:bCs/>
                      <w:color w:val="FFFFFF"/>
                      <w:sz w:val="18"/>
                      <w:szCs w:val="18"/>
                    </w:rPr>
                    <w:t>uwzgl</w:t>
                  </w:r>
                  <w:proofErr w:type="spellEnd"/>
                  <w:r w:rsidRPr="00731E4E">
                    <w:rPr>
                      <w:rFonts w:asciiTheme="minorHAnsi" w:hAnsiTheme="minorHAnsi" w:cs="Arial"/>
                      <w:b/>
                      <w:bCs/>
                      <w:color w:val="FFFFFF"/>
                      <w:sz w:val="18"/>
                      <w:szCs w:val="18"/>
                    </w:rPr>
                    <w:t>. wymian</w:t>
                  </w:r>
                </w:p>
              </w:tc>
              <w:tc>
                <w:tcPr>
                  <w:tcW w:w="1510" w:type="dxa"/>
                  <w:tcBorders>
                    <w:top w:val="nil"/>
                    <w:left w:val="single" w:sz="4" w:space="0" w:color="FFFFFF"/>
                    <w:bottom w:val="single" w:sz="4" w:space="0" w:color="FFFFFF"/>
                    <w:right w:val="nil"/>
                  </w:tcBorders>
                  <w:shd w:val="clear" w:color="auto" w:fill="A6A6A6" w:themeFill="background1" w:themeFillShade="A6"/>
                  <w:vAlign w:val="center"/>
                  <w:hideMark/>
                </w:tcPr>
                <w:p w14:paraId="56B218C0"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Pozostały % życia</w:t>
                  </w:r>
                  <w:r>
                    <w:rPr>
                      <w:rFonts w:asciiTheme="minorHAnsi" w:hAnsiTheme="minorHAnsi" w:cs="Arial"/>
                      <w:b/>
                      <w:bCs/>
                      <w:color w:val="FFFFFF"/>
                      <w:sz w:val="18"/>
                      <w:szCs w:val="18"/>
                    </w:rPr>
                    <w:t xml:space="preserve"> </w:t>
                  </w:r>
                  <w:r w:rsidRPr="00731E4E">
                    <w:rPr>
                      <w:rFonts w:asciiTheme="minorHAnsi" w:hAnsiTheme="minorHAnsi" w:cs="Arial"/>
                      <w:b/>
                      <w:bCs/>
                      <w:color w:val="FFFFFF"/>
                      <w:sz w:val="18"/>
                      <w:szCs w:val="18"/>
                    </w:rPr>
                    <w:t>projektu</w:t>
                  </w:r>
                </w:p>
              </w:tc>
            </w:tr>
            <w:tr w:rsidR="00921721" w:rsidRPr="00731E4E" w14:paraId="1EC864A7" w14:textId="77777777" w:rsidTr="00880D09">
              <w:trPr>
                <w:trHeight w:val="225"/>
              </w:trPr>
              <w:tc>
                <w:tcPr>
                  <w:tcW w:w="1340" w:type="dxa"/>
                  <w:vMerge/>
                  <w:tcBorders>
                    <w:top w:val="nil"/>
                    <w:left w:val="nil"/>
                    <w:bottom w:val="single" w:sz="4" w:space="0" w:color="FFFFFF"/>
                    <w:right w:val="single" w:sz="4" w:space="0" w:color="FFFFFF"/>
                  </w:tcBorders>
                  <w:shd w:val="clear" w:color="auto" w:fill="A6A6A6" w:themeFill="background1" w:themeFillShade="A6"/>
                  <w:vAlign w:val="center"/>
                  <w:hideMark/>
                </w:tcPr>
                <w:p w14:paraId="202099BA" w14:textId="77777777" w:rsidR="00921721" w:rsidRPr="00731E4E" w:rsidRDefault="00921721" w:rsidP="00880D09">
                  <w:pPr>
                    <w:jc w:val="center"/>
                    <w:rPr>
                      <w:rFonts w:asciiTheme="minorHAnsi" w:hAnsiTheme="minorHAnsi" w:cs="Arial"/>
                      <w:b/>
                      <w:bCs/>
                      <w:color w:val="FFFFFF"/>
                      <w:sz w:val="18"/>
                      <w:szCs w:val="18"/>
                    </w:rPr>
                  </w:pPr>
                </w:p>
              </w:tc>
              <w:tc>
                <w:tcPr>
                  <w:tcW w:w="86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1DB62F8B"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r w:rsidRPr="00731E4E">
                    <w:rPr>
                      <w:rFonts w:asciiTheme="minorHAnsi" w:eastAsia="Arial Narrow" w:hAnsiTheme="minorHAnsi" w:cs="Arial Narrow"/>
                      <w:b/>
                      <w:color w:val="FFFFFF"/>
                      <w:spacing w:val="-1"/>
                      <w:w w:val="108"/>
                      <w:position w:val="-1"/>
                      <w:sz w:val="16"/>
                      <w:szCs w:val="16"/>
                    </w:rPr>
                    <w:t xml:space="preserve">w </w:t>
                  </w:r>
                  <w:proofErr w:type="spellStart"/>
                  <w:r w:rsidRPr="00731E4E">
                    <w:rPr>
                      <w:rFonts w:asciiTheme="minorHAnsi" w:eastAsia="Arial Narrow" w:hAnsiTheme="minorHAnsi" w:cs="Arial Narrow"/>
                      <w:b/>
                      <w:color w:val="FFFFFF"/>
                      <w:spacing w:val="-1"/>
                      <w:w w:val="108"/>
                      <w:position w:val="-1"/>
                      <w:sz w:val="16"/>
                      <w:szCs w:val="16"/>
                    </w:rPr>
                    <w:t>mPLN</w:t>
                  </w:r>
                  <w:proofErr w:type="spellEnd"/>
                </w:p>
              </w:tc>
              <w:tc>
                <w:tcPr>
                  <w:tcW w:w="106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714A9919"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r w:rsidRPr="00731E4E">
                    <w:rPr>
                      <w:rFonts w:asciiTheme="minorHAnsi" w:eastAsia="Arial Narrow" w:hAnsiTheme="minorHAnsi" w:cs="Arial Narrow"/>
                      <w:b/>
                      <w:color w:val="FFFFFF"/>
                      <w:spacing w:val="-1"/>
                      <w:w w:val="108"/>
                      <w:position w:val="-1"/>
                      <w:sz w:val="16"/>
                      <w:szCs w:val="16"/>
                    </w:rPr>
                    <w:t>lata</w:t>
                  </w:r>
                </w:p>
              </w:tc>
              <w:tc>
                <w:tcPr>
                  <w:tcW w:w="96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55E0375C"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p>
              </w:tc>
              <w:tc>
                <w:tcPr>
                  <w:tcW w:w="11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15B8B830"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r w:rsidRPr="00731E4E">
                    <w:rPr>
                      <w:rFonts w:asciiTheme="minorHAnsi" w:eastAsia="Arial Narrow" w:hAnsiTheme="minorHAnsi" w:cs="Arial Narrow"/>
                      <w:b/>
                      <w:color w:val="FFFFFF"/>
                      <w:spacing w:val="-1"/>
                      <w:w w:val="108"/>
                      <w:position w:val="-1"/>
                      <w:sz w:val="16"/>
                      <w:szCs w:val="16"/>
                    </w:rPr>
                    <w:t>lata</w:t>
                  </w:r>
                </w:p>
              </w:tc>
              <w:tc>
                <w:tcPr>
                  <w:tcW w:w="1510"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A7ED543"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highlight w:val="lightGray"/>
                    </w:rPr>
                  </w:pPr>
                </w:p>
              </w:tc>
            </w:tr>
            <w:tr w:rsidR="00921721" w:rsidRPr="00731E4E" w14:paraId="36B529C6" w14:textId="77777777" w:rsidTr="00880D09">
              <w:trPr>
                <w:trHeight w:val="255"/>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08CA1112"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(A) Roboty ziemne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AFD8E1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450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C401AA8"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24BA23B"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A9B8D5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C8B4A7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38%</w:t>
                  </w:r>
                </w:p>
              </w:tc>
            </w:tr>
            <w:tr w:rsidR="00921721" w:rsidRPr="00731E4E" w14:paraId="04640353"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5F1069B8"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(B) Obiekty (mosty)</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3B49B0D"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2AD0815"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75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31BD69D"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E04F55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75</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45D0B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67%</w:t>
                  </w:r>
                </w:p>
              </w:tc>
            </w:tr>
            <w:tr w:rsidR="00921721" w:rsidRPr="00731E4E" w14:paraId="72EAFFAC"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0BE045A5"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(C) Roboty drogowe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5DC912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175</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9B9403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2E1368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4F69E6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35</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26E34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50%</w:t>
                  </w:r>
                </w:p>
              </w:tc>
            </w:tr>
            <w:tr w:rsidR="00921721" w:rsidRPr="00731E4E" w14:paraId="39ED9657"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3C5F6F9B"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(D)  Odwodnienie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4496C8B"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FD5E529"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BC55FD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DFA7E04"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C14129"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25%</w:t>
                  </w:r>
                </w:p>
              </w:tc>
            </w:tr>
            <w:tr w:rsidR="00921721" w:rsidRPr="00731E4E" w14:paraId="4B14555D"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6AAD5647"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(E) Ściany oporowe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6D3D75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7F997A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D3C849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5B860C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65F27B"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58%</w:t>
                  </w:r>
                </w:p>
              </w:tc>
            </w:tr>
            <w:tr w:rsidR="00921721" w:rsidRPr="00731E4E" w14:paraId="4EA8C5A4"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661BB437"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(F) Urządzenia BRD</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FDD7D3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F1A9680"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A0CAAA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2FCAA8F"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27DF28"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33%</w:t>
                  </w:r>
                </w:p>
              </w:tc>
            </w:tr>
            <w:tr w:rsidR="00921721" w:rsidRPr="00731E4E" w14:paraId="1ADCD5C7"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3BB302B1"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(G) Urządzenia obce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D7B102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100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52859F3"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80FA3AF"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B07335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493E03"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r>
            <w:tr w:rsidR="00921721" w:rsidRPr="00731E4E" w14:paraId="6C789814"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25020138"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(H) Ochrona środowiska</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8F5979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50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0C531F4"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81A3D07"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1A3F1C8"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7F875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60%</w:t>
                  </w:r>
                </w:p>
              </w:tc>
            </w:tr>
            <w:tr w:rsidR="00921721" w:rsidRPr="00731E4E" w14:paraId="27625AE2"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696F384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(I) System poboru opłat</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ACF66F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15</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1AEFEA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16B571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DF980E0"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D1D19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33%</w:t>
                  </w:r>
                </w:p>
              </w:tc>
            </w:tr>
            <w:tr w:rsidR="00921721" w:rsidRPr="00731E4E" w14:paraId="1F14093A"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03455F74"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(J) Inne roboty</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76BA655"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7D8BF69"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133CFE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BBC741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BE6ACD"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r>
            <w:tr w:rsidR="00921721" w:rsidRPr="00731E4E" w14:paraId="2BD04F18"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5EB2A5DF"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(K) Nabywanie gruntów</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69257DF"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80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741C327"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Nieokreślona</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0E89165" w14:textId="77777777" w:rsidR="00921721" w:rsidRPr="00821B08" w:rsidRDefault="00921721" w:rsidP="00880D09">
                  <w:pPr>
                    <w:ind w:right="28"/>
                    <w:jc w:val="center"/>
                    <w:rPr>
                      <w:rFonts w:asciiTheme="minorHAnsi" w:hAnsiTheme="minorHAnsi"/>
                      <w:color w:val="4F81BD" w:themeColor="accent1"/>
                      <w:sz w:val="18"/>
                    </w:rPr>
                  </w:pP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51ED4E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Nieokreślony</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DAED5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100%</w:t>
                  </w:r>
                </w:p>
              </w:tc>
            </w:tr>
            <w:tr w:rsidR="00921721" w:rsidRPr="00731E4E" w14:paraId="07BD6F26" w14:textId="77777777" w:rsidTr="00880D09">
              <w:trPr>
                <w:trHeight w:val="269"/>
              </w:trPr>
              <w:tc>
                <w:tcPr>
                  <w:tcW w:w="1340" w:type="dxa"/>
                  <w:tcBorders>
                    <w:top w:val="single" w:sz="4" w:space="0" w:color="FFFFFF"/>
                    <w:left w:val="nil"/>
                    <w:bottom w:val="nil"/>
                    <w:right w:val="single" w:sz="4" w:space="0" w:color="FFFFFF"/>
                  </w:tcBorders>
                  <w:shd w:val="clear" w:color="auto" w:fill="DBE5F1" w:themeFill="accent1" w:themeFillTint="33"/>
                  <w:vAlign w:val="center"/>
                  <w:hideMark/>
                </w:tcPr>
                <w:p w14:paraId="71770470" w14:textId="77777777" w:rsidR="00921721" w:rsidRPr="00821B08" w:rsidRDefault="00921721" w:rsidP="00880D09">
                  <w:pPr>
                    <w:ind w:right="28"/>
                    <w:rPr>
                      <w:rFonts w:asciiTheme="minorHAnsi" w:hAnsiTheme="minorHAnsi"/>
                      <w:i/>
                      <w:color w:val="4F81BD" w:themeColor="accent1"/>
                      <w:sz w:val="18"/>
                    </w:rPr>
                  </w:pPr>
                  <w:r w:rsidRPr="00821B08">
                    <w:rPr>
                      <w:rFonts w:asciiTheme="minorHAnsi" w:hAnsiTheme="minorHAnsi"/>
                      <w:color w:val="4F81BD" w:themeColor="accent1"/>
                      <w:sz w:val="18"/>
                    </w:rPr>
                    <w:t>Koszty ogółem</w:t>
                  </w:r>
                </w:p>
              </w:tc>
              <w:tc>
                <w:tcPr>
                  <w:tcW w:w="862" w:type="dxa"/>
                  <w:tcBorders>
                    <w:top w:val="single" w:sz="4" w:space="0" w:color="FFFFFF"/>
                    <w:left w:val="single" w:sz="4" w:space="0" w:color="FFFFFF"/>
                    <w:bottom w:val="nil"/>
                    <w:right w:val="single" w:sz="4" w:space="0" w:color="FFFFFF"/>
                  </w:tcBorders>
                  <w:shd w:val="clear" w:color="auto" w:fill="DBE5F1" w:themeFill="accent1" w:themeFillTint="33"/>
                  <w:vAlign w:val="center"/>
                  <w:hideMark/>
                </w:tcPr>
                <w:p w14:paraId="7DF229C8" w14:textId="77777777" w:rsidR="00921721" w:rsidRPr="00821B08" w:rsidRDefault="00921721" w:rsidP="00880D09">
                  <w:pPr>
                    <w:ind w:right="28"/>
                    <w:jc w:val="center"/>
                    <w:rPr>
                      <w:rFonts w:asciiTheme="minorHAnsi" w:hAnsiTheme="minorHAnsi"/>
                      <w:i/>
                      <w:color w:val="4F81BD" w:themeColor="accent1"/>
                      <w:sz w:val="18"/>
                    </w:rPr>
                  </w:pPr>
                  <w:r w:rsidRPr="00821B08">
                    <w:rPr>
                      <w:rFonts w:asciiTheme="minorHAnsi" w:hAnsiTheme="minorHAnsi"/>
                      <w:i/>
                      <w:color w:val="4F81BD" w:themeColor="accent1"/>
                      <w:sz w:val="18"/>
                    </w:rPr>
                    <w:t>1 260</w:t>
                  </w:r>
                </w:p>
              </w:tc>
              <w:tc>
                <w:tcPr>
                  <w:tcW w:w="1064"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4E39C97A" w14:textId="77777777" w:rsidR="00921721" w:rsidRPr="00821B08" w:rsidRDefault="00921721" w:rsidP="00880D09">
                  <w:pPr>
                    <w:ind w:right="28"/>
                    <w:jc w:val="center"/>
                    <w:rPr>
                      <w:rFonts w:asciiTheme="minorHAnsi" w:hAnsiTheme="minorHAnsi"/>
                      <w:color w:val="4F81BD" w:themeColor="accent1"/>
                      <w:sz w:val="18"/>
                    </w:rPr>
                  </w:pPr>
                </w:p>
              </w:tc>
              <w:tc>
                <w:tcPr>
                  <w:tcW w:w="963"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19F335D9" w14:textId="77777777" w:rsidR="00921721" w:rsidRPr="00821B08" w:rsidRDefault="00921721" w:rsidP="00880D09">
                  <w:pPr>
                    <w:ind w:right="28"/>
                    <w:jc w:val="center"/>
                    <w:rPr>
                      <w:rFonts w:asciiTheme="minorHAnsi" w:hAnsiTheme="minorHAnsi"/>
                      <w:color w:val="4F81BD" w:themeColor="accent1"/>
                      <w:sz w:val="18"/>
                    </w:rPr>
                  </w:pPr>
                </w:p>
              </w:tc>
              <w:tc>
                <w:tcPr>
                  <w:tcW w:w="1143"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22658838" w14:textId="77777777" w:rsidR="00921721" w:rsidRPr="00821B08" w:rsidRDefault="00921721" w:rsidP="00880D09">
                  <w:pPr>
                    <w:ind w:right="28"/>
                    <w:jc w:val="center"/>
                    <w:rPr>
                      <w:rFonts w:asciiTheme="minorHAnsi" w:hAnsiTheme="minorHAnsi"/>
                      <w:color w:val="4F81BD" w:themeColor="accent1"/>
                      <w:sz w:val="18"/>
                    </w:rPr>
                  </w:pPr>
                </w:p>
              </w:tc>
              <w:tc>
                <w:tcPr>
                  <w:tcW w:w="1510" w:type="dxa"/>
                  <w:tcBorders>
                    <w:top w:val="single" w:sz="4" w:space="0" w:color="FFFFFF"/>
                    <w:left w:val="single" w:sz="4" w:space="0" w:color="FFFFFF"/>
                    <w:bottom w:val="nil"/>
                    <w:right w:val="nil"/>
                  </w:tcBorders>
                  <w:shd w:val="clear" w:color="auto" w:fill="DBE5F1" w:themeFill="accent1" w:themeFillTint="33"/>
                  <w:vAlign w:val="center"/>
                </w:tcPr>
                <w:p w14:paraId="2C27A3A3" w14:textId="77777777" w:rsidR="00921721" w:rsidRPr="00821B08" w:rsidRDefault="00921721" w:rsidP="00880D09">
                  <w:pPr>
                    <w:ind w:right="28"/>
                    <w:jc w:val="center"/>
                    <w:rPr>
                      <w:rFonts w:asciiTheme="minorHAnsi" w:hAnsiTheme="minorHAnsi"/>
                      <w:color w:val="4F81BD" w:themeColor="accent1"/>
                      <w:sz w:val="18"/>
                    </w:rPr>
                  </w:pPr>
                </w:p>
              </w:tc>
            </w:tr>
          </w:tbl>
          <w:p w14:paraId="095DAA7F" w14:textId="77777777" w:rsidR="00921721" w:rsidRPr="00EB6237" w:rsidRDefault="00921721" w:rsidP="00880D09">
            <w:pPr>
              <w:ind w:right="170"/>
              <w:jc w:val="both"/>
              <w:rPr>
                <w:rFonts w:asciiTheme="minorHAnsi" w:hAnsiTheme="minorHAnsi" w:cs="Arial"/>
                <w:sz w:val="17"/>
                <w:szCs w:val="17"/>
              </w:rPr>
            </w:pPr>
            <w:r w:rsidRPr="00EB6237">
              <w:rPr>
                <w:rFonts w:asciiTheme="minorHAnsi" w:hAnsiTheme="minorHAnsi" w:cs="Arial"/>
                <w:sz w:val="17"/>
                <w:szCs w:val="17"/>
              </w:rPr>
              <w:t xml:space="preserve">* </w:t>
            </w:r>
            <w:r w:rsidRPr="00EB6237">
              <w:rPr>
                <w:rStyle w:val="hps"/>
                <w:rFonts w:asciiTheme="minorHAnsi" w:hAnsiTheme="minorHAnsi"/>
                <w:color w:val="222222"/>
                <w:sz w:val="17"/>
                <w:szCs w:val="17"/>
              </w:rPr>
              <w:t xml:space="preserve">Wartości </w:t>
            </w:r>
            <w:r>
              <w:rPr>
                <w:rStyle w:val="hps"/>
                <w:rFonts w:asciiTheme="minorHAnsi" w:hAnsiTheme="minorHAnsi"/>
                <w:color w:val="222222"/>
                <w:sz w:val="17"/>
                <w:szCs w:val="17"/>
              </w:rPr>
              <w:t>średnich okresów</w:t>
            </w:r>
            <w:r w:rsidRPr="00387FFD">
              <w:rPr>
                <w:rStyle w:val="hps"/>
                <w:rFonts w:asciiTheme="minorHAnsi" w:hAnsiTheme="minorHAnsi"/>
                <w:color w:val="222222"/>
                <w:sz w:val="17"/>
                <w:szCs w:val="17"/>
              </w:rPr>
              <w:t xml:space="preserve"> trwałości aktywów infrastruktury drogowej </w:t>
            </w:r>
            <w:r w:rsidRPr="00EB6237">
              <w:rPr>
                <w:rStyle w:val="hps"/>
                <w:rFonts w:asciiTheme="minorHAnsi" w:hAnsiTheme="minorHAnsi"/>
                <w:color w:val="222222"/>
                <w:sz w:val="17"/>
                <w:szCs w:val="17"/>
              </w:rPr>
              <w:t>nie</w:t>
            </w:r>
            <w:r w:rsidRPr="00EB6237">
              <w:rPr>
                <w:rFonts w:asciiTheme="minorHAnsi" w:hAnsiTheme="minorHAnsi"/>
                <w:color w:val="222222"/>
                <w:sz w:val="17"/>
                <w:szCs w:val="17"/>
              </w:rPr>
              <w:t>przedstawione</w:t>
            </w:r>
            <w:r>
              <w:rPr>
                <w:rFonts w:asciiTheme="minorHAnsi" w:hAnsiTheme="minorHAnsi"/>
                <w:color w:val="222222"/>
                <w:sz w:val="17"/>
                <w:szCs w:val="17"/>
              </w:rPr>
              <w:t xml:space="preserve"> w  Tabeli 12 </w:t>
            </w:r>
            <w:r>
              <w:rPr>
                <w:rStyle w:val="hps"/>
                <w:rFonts w:asciiTheme="minorHAnsi" w:hAnsiTheme="minorHAnsi"/>
                <w:color w:val="222222"/>
                <w:sz w:val="17"/>
                <w:szCs w:val="17"/>
              </w:rPr>
              <w:t xml:space="preserve">w rozdziale 1.11 niniejszej Niebieskiej Księgi </w:t>
            </w:r>
            <w:r w:rsidRPr="00EB6237">
              <w:rPr>
                <w:rStyle w:val="hps"/>
                <w:rFonts w:asciiTheme="minorHAnsi" w:hAnsiTheme="minorHAnsi"/>
                <w:color w:val="222222"/>
                <w:sz w:val="17"/>
                <w:szCs w:val="17"/>
              </w:rPr>
              <w:t>należy przyjmować</w:t>
            </w:r>
            <w:r w:rsidRPr="00EB6237">
              <w:rPr>
                <w:rFonts w:asciiTheme="minorHAnsi" w:hAnsiTheme="minorHAnsi"/>
                <w:color w:val="222222"/>
                <w:sz w:val="17"/>
                <w:szCs w:val="17"/>
              </w:rPr>
              <w:t xml:space="preserve"> </w:t>
            </w:r>
            <w:r w:rsidRPr="00EB6237">
              <w:rPr>
                <w:rStyle w:val="hps"/>
                <w:rFonts w:asciiTheme="minorHAnsi" w:hAnsiTheme="minorHAnsi"/>
                <w:color w:val="222222"/>
                <w:sz w:val="17"/>
                <w:szCs w:val="17"/>
              </w:rPr>
              <w:t>na podstawie</w:t>
            </w:r>
            <w:r w:rsidRPr="00EB6237">
              <w:rPr>
                <w:rFonts w:asciiTheme="minorHAnsi" w:hAnsiTheme="minorHAnsi"/>
                <w:color w:val="222222"/>
                <w:sz w:val="17"/>
                <w:szCs w:val="17"/>
              </w:rPr>
              <w:t xml:space="preserve"> </w:t>
            </w:r>
            <w:r w:rsidRPr="00EB6237">
              <w:rPr>
                <w:rStyle w:val="hps"/>
                <w:rFonts w:asciiTheme="minorHAnsi" w:hAnsiTheme="minorHAnsi"/>
                <w:color w:val="222222"/>
                <w:sz w:val="17"/>
                <w:szCs w:val="17"/>
              </w:rPr>
              <w:t>wiedzy</w:t>
            </w:r>
            <w:r w:rsidRPr="00EB6237">
              <w:rPr>
                <w:rFonts w:asciiTheme="minorHAnsi" w:hAnsiTheme="minorHAnsi"/>
                <w:color w:val="222222"/>
                <w:sz w:val="17"/>
                <w:szCs w:val="17"/>
              </w:rPr>
              <w:t xml:space="preserve"> </w:t>
            </w:r>
            <w:r w:rsidRPr="00EB6237">
              <w:rPr>
                <w:rStyle w:val="hps"/>
                <w:rFonts w:asciiTheme="minorHAnsi" w:hAnsiTheme="minorHAnsi"/>
                <w:color w:val="222222"/>
                <w:sz w:val="17"/>
                <w:szCs w:val="17"/>
              </w:rPr>
              <w:t>sektorowej</w:t>
            </w:r>
            <w:r>
              <w:rPr>
                <w:rFonts w:asciiTheme="minorHAnsi" w:hAnsiTheme="minorHAnsi"/>
                <w:color w:val="222222"/>
                <w:sz w:val="17"/>
                <w:szCs w:val="17"/>
              </w:rPr>
              <w:t xml:space="preserve"> w </w:t>
            </w:r>
            <w:r w:rsidRPr="00EB6237">
              <w:rPr>
                <w:rFonts w:asciiTheme="minorHAnsi" w:hAnsiTheme="minorHAnsi"/>
                <w:color w:val="222222"/>
                <w:sz w:val="17"/>
                <w:szCs w:val="17"/>
              </w:rPr>
              <w:t>zakresie okresowych działań utrzymaniowych</w:t>
            </w:r>
            <w:r w:rsidRPr="00EB6237">
              <w:rPr>
                <w:rFonts w:asciiTheme="minorHAnsi" w:hAnsiTheme="minorHAnsi" w:cs="Arial"/>
                <w:sz w:val="17"/>
                <w:szCs w:val="17"/>
              </w:rPr>
              <w:t>.</w:t>
            </w:r>
          </w:p>
          <w:p w14:paraId="69628B9F" w14:textId="77777777" w:rsidR="00921721" w:rsidRDefault="00921721" w:rsidP="00880D09">
            <w:pPr>
              <w:ind w:right="170"/>
              <w:jc w:val="both"/>
              <w:rPr>
                <w:rFonts w:asciiTheme="minorHAnsi" w:hAnsiTheme="minorHAnsi" w:cs="Arial"/>
                <w:sz w:val="17"/>
                <w:szCs w:val="17"/>
              </w:rPr>
            </w:pPr>
            <w:r w:rsidRPr="00EB6237">
              <w:rPr>
                <w:rFonts w:asciiTheme="minorHAnsi" w:hAnsiTheme="minorHAnsi" w:cs="Arial"/>
                <w:sz w:val="17"/>
                <w:szCs w:val="17"/>
              </w:rPr>
              <w:t>** Dla aktywów których tabela nie uwzględnia, żywotność po 25 latach należy przyjąć jako wartość zerową.</w:t>
            </w:r>
          </w:p>
          <w:p w14:paraId="04934987" w14:textId="77777777" w:rsidR="00921721" w:rsidRDefault="00921721" w:rsidP="00880D09">
            <w:pPr>
              <w:ind w:right="170"/>
              <w:jc w:val="both"/>
              <w:rPr>
                <w:rFonts w:asciiTheme="minorHAnsi" w:hAnsiTheme="minorHAnsi" w:cs="Arial"/>
                <w:sz w:val="17"/>
                <w:szCs w:val="17"/>
              </w:rPr>
            </w:pPr>
          </w:p>
          <w:p w14:paraId="21786FB3" w14:textId="77777777" w:rsidR="00921721" w:rsidRDefault="00921721" w:rsidP="00880D09">
            <w:pPr>
              <w:ind w:right="170"/>
              <w:jc w:val="both"/>
              <w:rPr>
                <w:rFonts w:asciiTheme="minorHAnsi" w:hAnsiTheme="minorHAnsi" w:cs="Arial"/>
                <w:sz w:val="17"/>
                <w:szCs w:val="17"/>
              </w:rPr>
            </w:pPr>
          </w:p>
          <w:p w14:paraId="2461ED96" w14:textId="77777777" w:rsidR="00921721" w:rsidRDefault="00921721" w:rsidP="00880D09">
            <w:pPr>
              <w:ind w:right="170"/>
              <w:jc w:val="both"/>
              <w:rPr>
                <w:rFonts w:asciiTheme="minorHAnsi" w:hAnsiTheme="minorHAnsi" w:cs="Arial"/>
                <w:sz w:val="17"/>
                <w:szCs w:val="17"/>
              </w:rPr>
            </w:pPr>
          </w:p>
          <w:p w14:paraId="5BE458E0" w14:textId="77777777" w:rsidR="00921721" w:rsidRDefault="00921721" w:rsidP="00880D09">
            <w:pPr>
              <w:ind w:right="170"/>
              <w:jc w:val="both"/>
              <w:rPr>
                <w:rFonts w:asciiTheme="minorHAnsi" w:hAnsiTheme="minorHAnsi" w:cs="Arial"/>
                <w:sz w:val="17"/>
                <w:szCs w:val="17"/>
              </w:rPr>
            </w:pPr>
          </w:p>
          <w:p w14:paraId="62326ADB" w14:textId="77777777" w:rsidR="00921721" w:rsidRDefault="00921721" w:rsidP="00880D09">
            <w:pPr>
              <w:ind w:right="170"/>
              <w:jc w:val="both"/>
              <w:rPr>
                <w:rFonts w:asciiTheme="minorHAnsi" w:hAnsiTheme="minorHAnsi" w:cs="Arial"/>
                <w:sz w:val="17"/>
                <w:szCs w:val="17"/>
              </w:rPr>
            </w:pPr>
          </w:p>
          <w:tbl>
            <w:tblPr>
              <w:tblW w:w="6295" w:type="dxa"/>
              <w:jc w:val="center"/>
              <w:tblLayout w:type="fixed"/>
              <w:tblLook w:val="04A0" w:firstRow="1" w:lastRow="0" w:firstColumn="1" w:lastColumn="0" w:noHBand="0" w:noVBand="1"/>
            </w:tblPr>
            <w:tblGrid>
              <w:gridCol w:w="327"/>
              <w:gridCol w:w="2678"/>
              <w:gridCol w:w="3290"/>
            </w:tblGrid>
            <w:tr w:rsidR="00921721" w:rsidRPr="00731E4E" w14:paraId="4969185B" w14:textId="77777777" w:rsidTr="00880D09">
              <w:trPr>
                <w:trHeight w:hRule="exact" w:val="293"/>
                <w:jc w:val="center"/>
              </w:trPr>
              <w:tc>
                <w:tcPr>
                  <w:tcW w:w="3005"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33A3976"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r w:rsidRPr="00731E4E">
                    <w:rPr>
                      <w:rFonts w:asciiTheme="minorHAnsi" w:eastAsia="Arial Narrow" w:hAnsiTheme="minorHAnsi" w:cs="Arial Narrow"/>
                      <w:b/>
                      <w:color w:val="FFFFFF"/>
                      <w:spacing w:val="-1"/>
                      <w:w w:val="108"/>
                      <w:position w:val="-1"/>
                      <w:sz w:val="18"/>
                      <w:szCs w:val="18"/>
                    </w:rPr>
                    <w:lastRenderedPageBreak/>
                    <w:t>Kroki</w:t>
                  </w:r>
                </w:p>
              </w:tc>
              <w:tc>
                <w:tcPr>
                  <w:tcW w:w="3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BB3EE8"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r w:rsidRPr="00731E4E">
                    <w:rPr>
                      <w:rFonts w:asciiTheme="minorHAnsi" w:eastAsia="Arial Narrow" w:hAnsiTheme="minorHAnsi" w:cs="Arial Narrow"/>
                      <w:b/>
                      <w:color w:val="FFFFFF"/>
                      <w:spacing w:val="-1"/>
                      <w:w w:val="108"/>
                      <w:position w:val="-1"/>
                      <w:sz w:val="18"/>
                      <w:szCs w:val="18"/>
                    </w:rPr>
                    <w:t>Przykład</w:t>
                  </w:r>
                </w:p>
              </w:tc>
            </w:tr>
            <w:tr w:rsidR="00921721" w:rsidRPr="00731E4E" w14:paraId="40D1E706"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5FD83F3C"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1</w:t>
                  </w:r>
                </w:p>
              </w:tc>
              <w:tc>
                <w:tcPr>
                  <w:tcW w:w="2678" w:type="dxa"/>
                  <w:tcBorders>
                    <w:top w:val="single" w:sz="4" w:space="0" w:color="FFFFFF"/>
                    <w:left w:val="single" w:sz="4" w:space="0" w:color="FFFFFF"/>
                    <w:bottom w:val="single" w:sz="4" w:space="0" w:color="FFFFFF"/>
                    <w:right w:val="nil"/>
                  </w:tcBorders>
                  <w:shd w:val="clear" w:color="auto" w:fill="DBE5F1" w:themeFill="accent1" w:themeFillTint="33"/>
                  <w:hideMark/>
                </w:tcPr>
                <w:p w14:paraId="05FEDB62"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Określenie wartości pozostałego życia aktywów projektu na koniec okresu analizy</w:t>
                  </w:r>
                  <w:r>
                    <w:rPr>
                      <w:rFonts w:asciiTheme="minorHAnsi" w:hAnsiTheme="minorHAnsi"/>
                      <w:color w:val="4F81BD" w:themeColor="accent1"/>
                      <w:sz w:val="18"/>
                    </w:rPr>
                    <w:t xml:space="preserve"> z </w:t>
                  </w:r>
                  <w:r w:rsidRPr="008526A3">
                    <w:rPr>
                      <w:rFonts w:asciiTheme="minorHAnsi" w:hAnsiTheme="minorHAnsi"/>
                      <w:color w:val="4F81BD" w:themeColor="accent1"/>
                      <w:sz w:val="18"/>
                    </w:rPr>
                    <w:t>uwzględnieniem wymian oraz okresów trwałości, zgodnie</w:t>
                  </w:r>
                  <w:r>
                    <w:rPr>
                      <w:rFonts w:asciiTheme="minorHAnsi" w:hAnsiTheme="minorHAnsi"/>
                      <w:color w:val="4F81BD" w:themeColor="accent1"/>
                      <w:sz w:val="18"/>
                    </w:rPr>
                    <w:t xml:space="preserve"> z </w:t>
                  </w:r>
                  <w:r w:rsidRPr="008526A3">
                    <w:rPr>
                      <w:rFonts w:asciiTheme="minorHAnsi" w:hAnsiTheme="minorHAnsi"/>
                      <w:color w:val="4F81BD" w:themeColor="accent1"/>
                      <w:sz w:val="18"/>
                    </w:rPr>
                    <w:t>tabelą 12</w:t>
                  </w:r>
                </w:p>
                <w:p w14:paraId="1D32F860" w14:textId="77777777" w:rsidR="00921721" w:rsidRPr="008526A3" w:rsidRDefault="00921721" w:rsidP="00880D09">
                  <w:pPr>
                    <w:ind w:right="28"/>
                    <w:rPr>
                      <w:rFonts w:asciiTheme="minorHAnsi" w:hAnsiTheme="minorHAnsi"/>
                      <w:color w:val="4F81BD" w:themeColor="accent1"/>
                      <w:sz w:val="18"/>
                    </w:rPr>
                  </w:pPr>
                </w:p>
              </w:tc>
              <w:tc>
                <w:tcPr>
                  <w:tcW w:w="3290" w:type="dxa"/>
                  <w:tcBorders>
                    <w:top w:val="single" w:sz="4" w:space="0" w:color="FFFFFF"/>
                    <w:left w:val="single" w:sz="4" w:space="0" w:color="FFFFFF"/>
                    <w:bottom w:val="single" w:sz="4" w:space="0" w:color="FFFFFF"/>
                    <w:right w:val="nil"/>
                  </w:tcBorders>
                  <w:shd w:val="clear" w:color="auto" w:fill="DBE5F1" w:themeFill="accent1" w:themeFillTint="33"/>
                </w:tcPr>
                <w:p w14:paraId="476F3013"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Okres analizy = 25 lat</w:t>
                  </w:r>
                </w:p>
                <w:p w14:paraId="0F942165" w14:textId="77777777" w:rsidR="00921721" w:rsidRPr="008526A3" w:rsidRDefault="00921721" w:rsidP="00880D09">
                  <w:pPr>
                    <w:ind w:right="28"/>
                    <w:rPr>
                      <w:rFonts w:asciiTheme="minorHAnsi" w:hAnsiTheme="minorHAnsi"/>
                      <w:i/>
                      <w:color w:val="4F81BD" w:themeColor="accent1"/>
                      <w:sz w:val="18"/>
                    </w:rPr>
                  </w:pPr>
                </w:p>
              </w:tc>
            </w:tr>
            <w:tr w:rsidR="00921721" w:rsidRPr="00731E4E" w14:paraId="5AC54A05"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F98A805"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2</w:t>
                  </w:r>
                </w:p>
              </w:tc>
              <w:tc>
                <w:tcPr>
                  <w:tcW w:w="2678" w:type="dxa"/>
                  <w:tcBorders>
                    <w:top w:val="single" w:sz="4" w:space="0" w:color="FFFFFF"/>
                    <w:left w:val="single" w:sz="4" w:space="0" w:color="FFFFFF"/>
                    <w:bottom w:val="single" w:sz="4" w:space="0" w:color="FFFFFF"/>
                    <w:right w:val="nil"/>
                  </w:tcBorders>
                  <w:shd w:val="clear" w:color="auto" w:fill="DBE5F1" w:themeFill="accent1" w:themeFillTint="33"/>
                  <w:hideMark/>
                </w:tcPr>
                <w:p w14:paraId="2E72B5AA"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Obliczenie wartości rezydualnej projektu</w:t>
                  </w:r>
                  <w:r>
                    <w:rPr>
                      <w:rFonts w:asciiTheme="minorHAnsi" w:hAnsiTheme="minorHAnsi"/>
                      <w:color w:val="4F81BD" w:themeColor="accent1"/>
                      <w:sz w:val="18"/>
                    </w:rPr>
                    <w:t xml:space="preserve"> w </w:t>
                  </w:r>
                  <w:r w:rsidRPr="008526A3">
                    <w:rPr>
                      <w:rFonts w:asciiTheme="minorHAnsi" w:hAnsiTheme="minorHAnsi"/>
                      <w:color w:val="4F81BD" w:themeColor="accent1"/>
                      <w:sz w:val="18"/>
                    </w:rPr>
                    <w:t>oparciu</w:t>
                  </w:r>
                  <w:r>
                    <w:rPr>
                      <w:rFonts w:asciiTheme="minorHAnsi" w:hAnsiTheme="minorHAnsi"/>
                      <w:color w:val="4F81BD" w:themeColor="accent1"/>
                      <w:sz w:val="18"/>
                    </w:rPr>
                    <w:t xml:space="preserve"> o </w:t>
                  </w:r>
                  <w:r w:rsidRPr="008526A3">
                    <w:rPr>
                      <w:rFonts w:asciiTheme="minorHAnsi" w:hAnsiTheme="minorHAnsi"/>
                      <w:color w:val="4F81BD" w:themeColor="accent1"/>
                      <w:sz w:val="18"/>
                    </w:rPr>
                    <w:t>zidentyfikowane powyżej aktywa projektu:</w:t>
                  </w:r>
                </w:p>
                <w:p w14:paraId="01AFF92D" w14:textId="77777777" w:rsidR="00921721" w:rsidRPr="008526A3" w:rsidRDefault="00921721" w:rsidP="00880D09">
                  <w:pPr>
                    <w:ind w:right="28"/>
                    <w:rPr>
                      <w:rFonts w:asciiTheme="minorHAnsi" w:hAnsiTheme="minorHAnsi"/>
                      <w:i/>
                      <w:color w:val="4F81BD" w:themeColor="accent1"/>
                      <w:sz w:val="18"/>
                    </w:rPr>
                  </w:pPr>
                  <w:r w:rsidRPr="008526A3">
                    <w:rPr>
                      <w:rFonts w:asciiTheme="minorHAnsi" w:hAnsiTheme="minorHAnsi"/>
                      <w:color w:val="4F81BD" w:themeColor="accent1"/>
                      <w:sz w:val="18"/>
                    </w:rPr>
                    <w:br/>
                  </w:r>
                  <w:r w:rsidRPr="008526A3">
                    <w:rPr>
                      <w:rFonts w:asciiTheme="minorHAnsi" w:hAnsiTheme="minorHAnsi"/>
                      <w:b/>
                      <w:color w:val="4F81BD" w:themeColor="accent1"/>
                      <w:sz w:val="18"/>
                    </w:rPr>
                    <w:t>Powyższa wartość odpowiada rezydualnej wartości finansowej projektu.</w:t>
                  </w:r>
                  <w:r>
                    <w:rPr>
                      <w:rFonts w:asciiTheme="minorHAnsi" w:hAnsiTheme="minorHAnsi"/>
                      <w:b/>
                      <w:color w:val="4F81BD" w:themeColor="accent1"/>
                      <w:sz w:val="18"/>
                    </w:rPr>
                    <w:t xml:space="preserve"> </w:t>
                  </w:r>
                  <w:r w:rsidRPr="00387FFD">
                    <w:rPr>
                      <w:rFonts w:asciiTheme="minorHAnsi" w:hAnsiTheme="minorHAnsi"/>
                      <w:b/>
                      <w:color w:val="4F81BD" w:themeColor="accent1"/>
                      <w:sz w:val="18"/>
                    </w:rPr>
                    <w:t>W</w:t>
                  </w:r>
                  <w:r>
                    <w:rPr>
                      <w:rFonts w:asciiTheme="minorHAnsi" w:hAnsiTheme="minorHAnsi"/>
                      <w:b/>
                      <w:color w:val="4F81BD" w:themeColor="accent1"/>
                      <w:sz w:val="18"/>
                    </w:rPr>
                    <w:t> </w:t>
                  </w:r>
                  <w:r w:rsidRPr="008526A3">
                    <w:rPr>
                      <w:rFonts w:asciiTheme="minorHAnsi" w:hAnsiTheme="minorHAnsi"/>
                      <w:b/>
                      <w:color w:val="4F81BD" w:themeColor="accent1"/>
                      <w:sz w:val="18"/>
                    </w:rPr>
                    <w:t>celu uzyskania ekonomicznej wartości rezydualnej projektu należy zastosować współczynniki przeliczeniowe CF dla kosztów budowy.</w:t>
                  </w:r>
                </w:p>
              </w:tc>
              <w:tc>
                <w:tcPr>
                  <w:tcW w:w="3290" w:type="dxa"/>
                  <w:tcBorders>
                    <w:top w:val="single" w:sz="4" w:space="0" w:color="FFFFFF"/>
                    <w:left w:val="single" w:sz="4" w:space="0" w:color="FFFFFF"/>
                    <w:bottom w:val="single" w:sz="4" w:space="0" w:color="FFFFFF"/>
                    <w:right w:val="nil"/>
                  </w:tcBorders>
                  <w:shd w:val="clear" w:color="auto" w:fill="DBE5F1" w:themeFill="accent1" w:themeFillTint="33"/>
                  <w:hideMark/>
                </w:tcPr>
                <w:p w14:paraId="56F6F296" w14:textId="77777777" w:rsidR="00921721" w:rsidRPr="008526A3" w:rsidRDefault="00921721" w:rsidP="00880D09">
                  <w:pPr>
                    <w:ind w:right="28"/>
                    <w:rPr>
                      <w:rFonts w:asciiTheme="minorHAnsi" w:hAnsiTheme="minorHAnsi"/>
                      <w:i/>
                      <w:color w:val="4F81BD" w:themeColor="accent1"/>
                      <w:sz w:val="18"/>
                    </w:rPr>
                  </w:pPr>
                  <w:r w:rsidRPr="008526A3">
                    <w:rPr>
                      <w:rFonts w:asciiTheme="minorHAnsi" w:hAnsiTheme="minorHAnsi"/>
                      <w:i/>
                      <w:color w:val="4F81BD" w:themeColor="accent1"/>
                      <w:sz w:val="18"/>
                    </w:rPr>
                    <w:t xml:space="preserve">Wartość rezydualna = 450*38% + 300*67% + 175*50%+40*25%+20*58%+10*33%+50*60%+15*33%+ 80 = </w:t>
                  </w:r>
                  <w:r w:rsidRPr="008526A3">
                    <w:rPr>
                      <w:rFonts w:asciiTheme="minorHAnsi" w:hAnsiTheme="minorHAnsi"/>
                      <w:b/>
                      <w:i/>
                      <w:color w:val="4F81BD" w:themeColor="accent1"/>
                      <w:sz w:val="18"/>
                    </w:rPr>
                    <w:t>596</w:t>
                  </w:r>
                  <w:r w:rsidRPr="00387FFD">
                    <w:rPr>
                      <w:rFonts w:asciiTheme="minorHAnsi" w:hAnsiTheme="minorHAnsi"/>
                      <w:b/>
                      <w:i/>
                      <w:color w:val="4F81BD" w:themeColor="accent1"/>
                      <w:sz w:val="18"/>
                    </w:rPr>
                    <w:t>,25</w:t>
                  </w:r>
                  <w:r w:rsidRPr="008526A3">
                    <w:rPr>
                      <w:rFonts w:asciiTheme="minorHAnsi" w:hAnsiTheme="minorHAnsi"/>
                      <w:b/>
                      <w:i/>
                      <w:color w:val="4F81BD" w:themeColor="accent1"/>
                      <w:sz w:val="18"/>
                    </w:rPr>
                    <w:t xml:space="preserve"> </w:t>
                  </w:r>
                  <w:proofErr w:type="spellStart"/>
                  <w:r w:rsidRPr="008526A3">
                    <w:rPr>
                      <w:rFonts w:asciiTheme="minorHAnsi" w:hAnsiTheme="minorHAnsi"/>
                      <w:b/>
                      <w:i/>
                      <w:color w:val="4F81BD" w:themeColor="accent1"/>
                      <w:sz w:val="18"/>
                    </w:rPr>
                    <w:t>mPLN</w:t>
                  </w:r>
                  <w:proofErr w:type="spellEnd"/>
                </w:p>
              </w:tc>
            </w:tr>
          </w:tbl>
          <w:p w14:paraId="5DB59761"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Jeżeli wykonawca analizy pragnie wykorzystać inne wartości jednostkowe należy:</w:t>
            </w:r>
          </w:p>
          <w:p w14:paraId="1A7D3DDB" w14:textId="77777777" w:rsidR="00921721" w:rsidRPr="00731E4E" w:rsidRDefault="00921721" w:rsidP="00D5736B">
            <w:pPr>
              <w:pStyle w:val="anxnormal"/>
              <w:numPr>
                <w:ilvl w:val="0"/>
                <w:numId w:val="91"/>
              </w:numPr>
              <w:snapToGrid w:val="0"/>
              <w:ind w:left="851" w:hanging="851"/>
              <w:rPr>
                <w:rFonts w:asciiTheme="minorHAnsi" w:hAnsiTheme="minorHAnsi"/>
                <w:lang w:eastAsia="en-US"/>
              </w:rPr>
            </w:pPr>
            <w:r w:rsidRPr="00731E4E">
              <w:rPr>
                <w:rFonts w:asciiTheme="minorHAnsi" w:hAnsiTheme="minorHAnsi"/>
                <w:lang w:eastAsia="en-US"/>
              </w:rPr>
              <w:t>zawsze dołączyć uzasadnienie zastosowania wartości alternatywnych,</w:t>
            </w:r>
          </w:p>
          <w:p w14:paraId="51BAB753" w14:textId="77777777" w:rsidR="00921721" w:rsidRPr="00731E4E" w:rsidRDefault="00921721" w:rsidP="00D5736B">
            <w:pPr>
              <w:pStyle w:val="anxnormal"/>
              <w:numPr>
                <w:ilvl w:val="0"/>
                <w:numId w:val="91"/>
              </w:numPr>
              <w:snapToGrid w:val="0"/>
              <w:ind w:left="851" w:hanging="851"/>
              <w:rPr>
                <w:rFonts w:asciiTheme="minorHAnsi" w:hAnsiTheme="minorHAnsi"/>
                <w:lang w:eastAsia="en-US"/>
              </w:rPr>
            </w:pPr>
            <w:r w:rsidRPr="00731E4E">
              <w:rPr>
                <w:rFonts w:asciiTheme="minorHAnsi" w:hAnsiTheme="minorHAnsi"/>
                <w:lang w:eastAsia="en-US"/>
              </w:rPr>
              <w:t>w analizie wrażliwości wykazać skutki wprowadzenia wartości alternatywnych.</w:t>
            </w:r>
          </w:p>
          <w:p w14:paraId="0317D0E9" w14:textId="05FC9AF3" w:rsidR="00921721" w:rsidRPr="00731E4E" w:rsidRDefault="00921721" w:rsidP="00DD0E5A">
            <w:pPr>
              <w:pStyle w:val="anxnormal"/>
              <w:ind w:left="0"/>
              <w:rPr>
                <w:rFonts w:asciiTheme="minorHAnsi" w:eastAsia="Arial" w:hAnsiTheme="minorHAnsi"/>
                <w:b/>
                <w:bCs/>
                <w:color w:val="323299"/>
                <w:spacing w:val="1"/>
                <w:position w:val="-1"/>
              </w:rPr>
            </w:pPr>
            <w:r w:rsidRPr="00731E4E">
              <w:rPr>
                <w:rFonts w:asciiTheme="minorHAnsi" w:hAnsiTheme="minorHAnsi"/>
                <w:lang w:eastAsia="en-US"/>
              </w:rPr>
              <w:t>Dopuszcza się wykorzystanie</w:t>
            </w:r>
            <w:r>
              <w:rPr>
                <w:rFonts w:asciiTheme="minorHAnsi" w:hAnsiTheme="minorHAnsi"/>
                <w:lang w:eastAsia="en-US"/>
              </w:rPr>
              <w:t xml:space="preserve"> w </w:t>
            </w:r>
            <w:r w:rsidRPr="00731E4E">
              <w:rPr>
                <w:rFonts w:asciiTheme="minorHAnsi" w:hAnsiTheme="minorHAnsi"/>
                <w:lang w:eastAsia="en-US"/>
              </w:rPr>
              <w:t>analizie bardziej szczegółowych kosztów jednostkowych utrzymania infrastruktury, uciążliwości dla środowiska, eksploatacji pojazdów</w:t>
            </w:r>
            <w:r>
              <w:rPr>
                <w:rFonts w:asciiTheme="minorHAnsi" w:hAnsiTheme="minorHAnsi"/>
                <w:lang w:eastAsia="en-US"/>
              </w:rPr>
              <w:t xml:space="preserve"> w </w:t>
            </w:r>
            <w:r w:rsidRPr="00731E4E">
              <w:rPr>
                <w:rFonts w:asciiTheme="minorHAnsi" w:hAnsiTheme="minorHAnsi"/>
                <w:lang w:eastAsia="en-US"/>
              </w:rPr>
              <w:t>odniesieniu do stanu nawierzchni wg. klasyfikacji SOSN</w:t>
            </w:r>
            <w:r w:rsidR="001D3DF3">
              <w:rPr>
                <w:rFonts w:asciiTheme="minorHAnsi" w:hAnsiTheme="minorHAnsi"/>
                <w:vertAlign w:val="superscript"/>
                <w:lang w:eastAsia="en-US"/>
              </w:rPr>
              <w:t>2</w:t>
            </w:r>
            <w:r w:rsidR="00DD0E5A">
              <w:rPr>
                <w:rFonts w:asciiTheme="minorHAnsi" w:hAnsiTheme="minorHAnsi"/>
                <w:vertAlign w:val="superscript"/>
                <w:lang w:eastAsia="en-US"/>
              </w:rPr>
              <w:t>2</w:t>
            </w:r>
            <w:r w:rsidRPr="00731E4E">
              <w:rPr>
                <w:rFonts w:asciiTheme="minorHAnsi" w:hAnsiTheme="minorHAnsi"/>
                <w:lang w:eastAsia="en-US"/>
              </w:rPr>
              <w:t xml:space="preserve"> (A, B, C, D), tak jak to ma np. miejsce</w:t>
            </w:r>
            <w:r>
              <w:rPr>
                <w:rFonts w:asciiTheme="minorHAnsi" w:hAnsiTheme="minorHAnsi"/>
                <w:lang w:eastAsia="en-US"/>
              </w:rPr>
              <w:t xml:space="preserve"> w wewnętrznym</w:t>
            </w:r>
            <w:r w:rsidRPr="00731E4E">
              <w:rPr>
                <w:rFonts w:asciiTheme="minorHAnsi" w:hAnsiTheme="minorHAnsi"/>
                <w:lang w:eastAsia="en-US"/>
              </w:rPr>
              <w:t xml:space="preserve"> Przewodniku do AKK (</w:t>
            </w:r>
            <w:r>
              <w:rPr>
                <w:rFonts w:asciiTheme="minorHAnsi" w:hAnsiTheme="minorHAnsi"/>
              </w:rPr>
              <w:t xml:space="preserve">opublikowanym </w:t>
            </w:r>
            <w:r w:rsidRPr="00731E4E">
              <w:rPr>
                <w:rFonts w:asciiTheme="minorHAnsi" w:hAnsiTheme="minorHAnsi"/>
              </w:rPr>
              <w:t>przez GDDKiA</w:t>
            </w:r>
            <w:r>
              <w:rPr>
                <w:rFonts w:asciiTheme="minorHAnsi" w:hAnsiTheme="minorHAnsi"/>
              </w:rPr>
              <w:t xml:space="preserve"> w 2021 r.</w:t>
            </w:r>
            <w:r w:rsidRPr="00731E4E">
              <w:rPr>
                <w:rFonts w:asciiTheme="minorHAnsi" w:hAnsiTheme="minorHAnsi"/>
                <w:lang w:eastAsia="en-US"/>
              </w:rPr>
              <w:t xml:space="preserve">), zastępującym dotychczas stosowaną Instrukcję </w:t>
            </w:r>
            <w:proofErr w:type="spellStart"/>
            <w:r w:rsidRPr="00731E4E">
              <w:rPr>
                <w:rFonts w:asciiTheme="minorHAnsi" w:hAnsiTheme="minorHAnsi"/>
                <w:lang w:eastAsia="en-US"/>
              </w:rPr>
              <w:t>IBDiM</w:t>
            </w:r>
            <w:proofErr w:type="spellEnd"/>
            <w:r>
              <w:rPr>
                <w:rFonts w:asciiTheme="minorHAnsi" w:hAnsiTheme="minorHAnsi"/>
                <w:lang w:eastAsia="en-US"/>
              </w:rPr>
              <w:t xml:space="preserve"> z </w:t>
            </w:r>
            <w:r w:rsidRPr="00731E4E">
              <w:rPr>
                <w:rFonts w:asciiTheme="minorHAnsi" w:hAnsiTheme="minorHAnsi"/>
                <w:lang w:eastAsia="en-US"/>
              </w:rPr>
              <w:t>2008 r. Należy w</w:t>
            </w:r>
            <w:r>
              <w:rPr>
                <w:rFonts w:asciiTheme="minorHAnsi" w:hAnsiTheme="minorHAnsi"/>
                <w:lang w:eastAsia="en-US"/>
              </w:rPr>
              <w:t xml:space="preserve"> </w:t>
            </w:r>
            <w:r w:rsidRPr="00731E4E">
              <w:rPr>
                <w:rFonts w:asciiTheme="minorHAnsi" w:hAnsiTheme="minorHAnsi"/>
                <w:lang w:eastAsia="en-US"/>
              </w:rPr>
              <w:t>takim przypadku niezależnie podać również wyniki analizy</w:t>
            </w:r>
            <w:r>
              <w:rPr>
                <w:rFonts w:asciiTheme="minorHAnsi" w:hAnsiTheme="minorHAnsi"/>
                <w:lang w:eastAsia="en-US"/>
              </w:rPr>
              <w:t xml:space="preserve"> z </w:t>
            </w:r>
            <w:r w:rsidRPr="00731E4E">
              <w:rPr>
                <w:rFonts w:asciiTheme="minorHAnsi" w:hAnsiTheme="minorHAnsi"/>
                <w:lang w:eastAsia="en-US"/>
              </w:rPr>
              <w:t>wykorzystaniem wartości przedstawionych</w:t>
            </w:r>
            <w:r>
              <w:rPr>
                <w:rFonts w:asciiTheme="minorHAnsi" w:hAnsiTheme="minorHAnsi"/>
                <w:lang w:eastAsia="en-US"/>
              </w:rPr>
              <w:t xml:space="preserve"> w </w:t>
            </w:r>
            <w:r w:rsidRPr="00731E4E">
              <w:rPr>
                <w:rFonts w:asciiTheme="minorHAnsi" w:hAnsiTheme="minorHAnsi"/>
                <w:lang w:eastAsia="en-US"/>
              </w:rPr>
              <w:t>niniejszym załączniku.</w:t>
            </w:r>
          </w:p>
        </w:tc>
        <w:tc>
          <w:tcPr>
            <w:tcW w:w="2519" w:type="pct"/>
            <w:tcBorders>
              <w:top w:val="nil"/>
              <w:left w:val="single" w:sz="4" w:space="0" w:color="auto"/>
              <w:bottom w:val="nil"/>
              <w:right w:val="nil"/>
            </w:tcBorders>
            <w:tcMar>
              <w:left w:w="284" w:type="dxa"/>
              <w:right w:w="284" w:type="dxa"/>
            </w:tcMar>
          </w:tcPr>
          <w:p w14:paraId="43B62162" w14:textId="77777777" w:rsidR="00921721" w:rsidRPr="00C754F3" w:rsidRDefault="00921721" w:rsidP="00880D09">
            <w:pPr>
              <w:pStyle w:val="anxnormal"/>
              <w:ind w:left="0"/>
              <w:rPr>
                <w:rFonts w:asciiTheme="minorHAnsi" w:hAnsiTheme="minorHAnsi" w:cs="Arial-Narrow,Bold"/>
                <w:b/>
                <w:bCs/>
                <w:color w:val="4F81BD" w:themeColor="accent1"/>
                <w:sz w:val="23"/>
                <w:szCs w:val="23"/>
                <w:lang w:val="en-GB" w:eastAsia="en-GB"/>
              </w:rPr>
            </w:pPr>
            <w:r w:rsidRPr="00C754F3">
              <w:rPr>
                <w:rFonts w:asciiTheme="minorHAnsi" w:hAnsiTheme="minorHAnsi" w:cs="Arial-Narrow,Bold"/>
                <w:b/>
                <w:bCs/>
                <w:color w:val="4F81BD" w:themeColor="accent1"/>
                <w:sz w:val="23"/>
                <w:szCs w:val="23"/>
                <w:lang w:val="en-GB" w:eastAsia="en-GB"/>
              </w:rPr>
              <w:lastRenderedPageBreak/>
              <w:t>1. General considerations</w:t>
            </w:r>
          </w:p>
          <w:p w14:paraId="3D2B82EC"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All unit costs provided in the present appendix refer to prices</w:t>
            </w:r>
            <w:r>
              <w:rPr>
                <w:rFonts w:asciiTheme="minorHAnsi" w:hAnsiTheme="minorHAnsi"/>
                <w:lang w:val="en-GB" w:eastAsia="en-US"/>
              </w:rPr>
              <w:t xml:space="preserve"> of 2021.</w:t>
            </w:r>
          </w:p>
          <w:p w14:paraId="494A6BCE" w14:textId="4EE66588"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Unit costs for </w:t>
            </w:r>
            <w:proofErr w:type="spellStart"/>
            <w:r w:rsidRPr="00731E4E">
              <w:rPr>
                <w:rFonts w:asciiTheme="minorHAnsi" w:hAnsiTheme="minorHAnsi"/>
                <w:lang w:val="en-GB" w:eastAsia="en-US"/>
              </w:rPr>
              <w:t>VoT</w:t>
            </w:r>
            <w:proofErr w:type="spellEnd"/>
            <w:r w:rsidRPr="00731E4E">
              <w:rPr>
                <w:rFonts w:asciiTheme="minorHAnsi" w:hAnsiTheme="minorHAnsi"/>
                <w:lang w:val="en-GB" w:eastAsia="en-US"/>
              </w:rPr>
              <w:t>, accidents, air pollution and noise escalate over time with an</w:t>
            </w:r>
            <w:r>
              <w:rPr>
                <w:rFonts w:asciiTheme="minorHAnsi" w:hAnsiTheme="minorHAnsi"/>
                <w:lang w:val="en-GB" w:eastAsia="en-US"/>
              </w:rPr>
              <w:t xml:space="preserve"> appropriate</w:t>
            </w:r>
            <w:r w:rsidRPr="00731E4E">
              <w:rPr>
                <w:rFonts w:asciiTheme="minorHAnsi" w:hAnsiTheme="minorHAnsi"/>
                <w:lang w:val="en-GB" w:eastAsia="en-US"/>
              </w:rPr>
              <w:t xml:space="preserve"> elasticity</w:t>
            </w:r>
            <w:r>
              <w:rPr>
                <w:rFonts w:asciiTheme="minorHAnsi" w:hAnsiTheme="minorHAnsi"/>
                <w:vertAlign w:val="superscript"/>
                <w:lang w:val="en-GB" w:eastAsia="en-US"/>
              </w:rPr>
              <w:t>1</w:t>
            </w:r>
            <w:r w:rsidR="00F468E2">
              <w:rPr>
                <w:rFonts w:asciiTheme="minorHAnsi" w:hAnsiTheme="minorHAnsi"/>
                <w:vertAlign w:val="superscript"/>
                <w:lang w:val="en-GB" w:eastAsia="en-US"/>
              </w:rPr>
              <w:t>7</w:t>
            </w:r>
            <w:r>
              <w:rPr>
                <w:rFonts w:asciiTheme="minorHAnsi" w:hAnsiTheme="minorHAnsi"/>
                <w:vertAlign w:val="superscript"/>
                <w:lang w:val="en-GB" w:eastAsia="en-US"/>
              </w:rPr>
              <w:t xml:space="preserve"> </w:t>
            </w:r>
            <w:r w:rsidRPr="00731E4E">
              <w:rPr>
                <w:rFonts w:asciiTheme="minorHAnsi" w:hAnsiTheme="minorHAnsi"/>
                <w:lang w:val="en-GB" w:eastAsia="en-US"/>
              </w:rPr>
              <w:t>to GDP growth per capita (</w:t>
            </w:r>
            <w:r>
              <w:rPr>
                <w:rFonts w:asciiTheme="minorHAnsi" w:hAnsiTheme="minorHAnsi"/>
                <w:lang w:val="en-GB" w:eastAsia="en-US"/>
              </w:rPr>
              <w:t>the assumed values of the elasticity parameter for particular categories of economic unit costs are presented in the following chapters of this Appendix A</w:t>
            </w:r>
            <w:r w:rsidRPr="00731E4E">
              <w:rPr>
                <w:rFonts w:asciiTheme="minorHAnsi" w:hAnsiTheme="minorHAnsi"/>
                <w:lang w:val="en-GB" w:eastAsia="en-US"/>
              </w:rPr>
              <w:t xml:space="preserve"> below).</w:t>
            </w:r>
          </w:p>
          <w:p w14:paraId="47169008" w14:textId="77777777" w:rsidR="00921721" w:rsidRPr="00731E4E" w:rsidRDefault="00921721" w:rsidP="00880D09">
            <w:pPr>
              <w:pStyle w:val="anxnormal"/>
              <w:ind w:left="0"/>
              <w:rPr>
                <w:rFonts w:asciiTheme="minorHAnsi" w:hAnsiTheme="minorHAnsi"/>
                <w:lang w:val="en-GB" w:eastAsia="en-US"/>
              </w:rPr>
            </w:pPr>
            <w:r w:rsidRPr="002C6855">
              <w:rPr>
                <w:rFonts w:asciiTheme="minorHAnsi" w:hAnsiTheme="minorHAnsi"/>
                <w:lang w:val="en-GB" w:eastAsia="en-US"/>
              </w:rPr>
              <w:t xml:space="preserve">For </w:t>
            </w:r>
            <w:proofErr w:type="spellStart"/>
            <w:r w:rsidRPr="002C6855">
              <w:rPr>
                <w:rFonts w:asciiTheme="minorHAnsi" w:hAnsiTheme="minorHAnsi"/>
                <w:lang w:val="en-GB" w:eastAsia="en-US"/>
              </w:rPr>
              <w:t>VoT</w:t>
            </w:r>
            <w:proofErr w:type="spellEnd"/>
            <w:r w:rsidRPr="002C6855">
              <w:rPr>
                <w:rFonts w:asciiTheme="minorHAnsi" w:hAnsiTheme="minorHAnsi"/>
                <w:lang w:val="en-GB" w:eastAsia="en-US"/>
              </w:rPr>
              <w:t xml:space="preserve"> and accident costs, the tables below provide unit values incorporating escalation over time up to 2060. For</w:t>
            </w:r>
            <w:r w:rsidRPr="00731E4E">
              <w:rPr>
                <w:rFonts w:asciiTheme="minorHAnsi" w:hAnsiTheme="minorHAnsi"/>
                <w:lang w:val="en-GB" w:eastAsia="en-US"/>
              </w:rPr>
              <w:t xml:space="preserve"> the other categories, rules for price escalation are described in this </w:t>
            </w:r>
            <w:r>
              <w:rPr>
                <w:rFonts w:asciiTheme="minorHAnsi" w:hAnsiTheme="minorHAnsi"/>
                <w:lang w:val="en-GB" w:eastAsia="en-US"/>
              </w:rPr>
              <w:t>Appendix</w:t>
            </w:r>
            <w:r w:rsidRPr="00731E4E">
              <w:rPr>
                <w:rFonts w:asciiTheme="minorHAnsi" w:hAnsiTheme="minorHAnsi"/>
                <w:lang w:val="en-GB" w:eastAsia="en-US"/>
              </w:rPr>
              <w:t>.</w:t>
            </w:r>
          </w:p>
          <w:p w14:paraId="47A066B6"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Those unit costs depending on vehicle categories (i.e. VOC, air pollution, climate change and noise) are</w:t>
            </w:r>
            <w:r>
              <w:rPr>
                <w:rFonts w:asciiTheme="minorHAnsi" w:hAnsiTheme="minorHAnsi"/>
                <w:lang w:val="en-GB" w:eastAsia="en-US"/>
              </w:rPr>
              <w:t xml:space="preserve"> generally</w:t>
            </w:r>
            <w:r w:rsidRPr="00731E4E">
              <w:rPr>
                <w:rFonts w:asciiTheme="minorHAnsi" w:hAnsiTheme="minorHAnsi"/>
                <w:lang w:val="en-GB" w:eastAsia="en-US"/>
              </w:rPr>
              <w:t xml:space="preserve"> differentiated into 2 vehicle categories (LV and HGV) in all relevant tables</w:t>
            </w:r>
            <w:r>
              <w:rPr>
                <w:rFonts w:asciiTheme="minorHAnsi" w:hAnsiTheme="minorHAnsi"/>
                <w:lang w:val="en-GB" w:eastAsia="en-US"/>
              </w:rPr>
              <w:t xml:space="preserve"> (in some cases more detailed disaggregation is provided, only recommended for specific assessment purposes)</w:t>
            </w:r>
            <w:r w:rsidRPr="00731E4E">
              <w:rPr>
                <w:rFonts w:asciiTheme="minorHAnsi" w:hAnsiTheme="minorHAnsi"/>
                <w:lang w:val="en-GB" w:eastAsia="en-US"/>
              </w:rPr>
              <w:t>. In case that traffic forecasts outputs are provided differentiating the 5 vehicle categories mentioned in chapter 1.8, they need to be considered as follows:</w:t>
            </w:r>
          </w:p>
          <w:p w14:paraId="6F912BDB" w14:textId="77777777" w:rsidR="00921721" w:rsidRPr="00731E4E" w:rsidRDefault="00921721" w:rsidP="00D5736B">
            <w:pPr>
              <w:pStyle w:val="anxnormal"/>
              <w:numPr>
                <w:ilvl w:val="0"/>
                <w:numId w:val="89"/>
              </w:numPr>
              <w:snapToGrid w:val="0"/>
              <w:ind w:left="707" w:hanging="707"/>
              <w:rPr>
                <w:rFonts w:asciiTheme="minorHAnsi" w:hAnsiTheme="minorHAnsi"/>
                <w:lang w:val="en-GB" w:eastAsia="en-US"/>
              </w:rPr>
            </w:pPr>
            <w:r w:rsidRPr="00731E4E">
              <w:rPr>
                <w:rFonts w:asciiTheme="minorHAnsi" w:hAnsiTheme="minorHAnsi"/>
                <w:lang w:val="en-GB" w:eastAsia="en-US"/>
              </w:rPr>
              <w:t>LV unit costs to be applied to: passenger cars (SO) and commercial cars (SD);</w:t>
            </w:r>
          </w:p>
          <w:p w14:paraId="2F4C654C" w14:textId="77777777" w:rsidR="00921721" w:rsidRPr="00731E4E" w:rsidRDefault="00921721" w:rsidP="00D5736B">
            <w:pPr>
              <w:pStyle w:val="anxnormal"/>
              <w:numPr>
                <w:ilvl w:val="0"/>
                <w:numId w:val="89"/>
              </w:numPr>
              <w:snapToGrid w:val="0"/>
              <w:ind w:left="707" w:hanging="707"/>
              <w:rPr>
                <w:rFonts w:asciiTheme="minorHAnsi" w:hAnsiTheme="minorHAnsi"/>
                <w:lang w:val="en-GB" w:eastAsia="en-US"/>
              </w:rPr>
            </w:pPr>
            <w:r w:rsidRPr="00731E4E">
              <w:rPr>
                <w:rFonts w:asciiTheme="minorHAnsi" w:hAnsiTheme="minorHAnsi"/>
                <w:lang w:val="en-GB" w:eastAsia="en-US"/>
              </w:rPr>
              <w:t>HGV unit costs to be applied to: trucks without trailers (SC), trucks with trailers/semi-trailers (</w:t>
            </w:r>
            <w:proofErr w:type="spellStart"/>
            <w:r w:rsidRPr="00731E4E">
              <w:rPr>
                <w:rFonts w:asciiTheme="minorHAnsi" w:hAnsiTheme="minorHAnsi"/>
                <w:lang w:val="en-GB" w:eastAsia="en-US"/>
              </w:rPr>
              <w:t>SCp</w:t>
            </w:r>
            <w:proofErr w:type="spellEnd"/>
            <w:r w:rsidRPr="00731E4E">
              <w:rPr>
                <w:rFonts w:asciiTheme="minorHAnsi" w:hAnsiTheme="minorHAnsi"/>
                <w:lang w:val="en-GB" w:eastAsia="en-US"/>
              </w:rPr>
              <w:t>) and buses (A).</w:t>
            </w:r>
          </w:p>
          <w:p w14:paraId="20D6EE73" w14:textId="77777777" w:rsidR="00921721" w:rsidRDefault="00921721" w:rsidP="00880D09">
            <w:pPr>
              <w:pStyle w:val="anxnormal"/>
              <w:ind w:left="0"/>
              <w:rPr>
                <w:rFonts w:asciiTheme="minorHAnsi" w:hAnsiTheme="minorHAnsi"/>
                <w:lang w:val="en-GB" w:eastAsia="en-US"/>
              </w:rPr>
            </w:pPr>
          </w:p>
          <w:p w14:paraId="70868372" w14:textId="77777777" w:rsidR="00921721" w:rsidRPr="00731E4E" w:rsidRDefault="00921721" w:rsidP="00880D09">
            <w:pPr>
              <w:pStyle w:val="anxnormal"/>
              <w:ind w:left="0"/>
              <w:rPr>
                <w:rFonts w:asciiTheme="minorHAnsi" w:hAnsiTheme="minorHAnsi"/>
                <w:lang w:val="en-GB" w:eastAsia="en-US"/>
              </w:rPr>
            </w:pPr>
            <w:r>
              <w:rPr>
                <w:rFonts w:asciiTheme="minorHAnsi" w:hAnsiTheme="minorHAnsi"/>
                <w:lang w:val="en-GB" w:eastAsia="en-US"/>
              </w:rPr>
              <w:t xml:space="preserve">Unit costs presented below and associated principles and assumptions for forecasting correspond to the ones included in the related </w:t>
            </w:r>
            <w:r w:rsidRPr="006F51AE">
              <w:rPr>
                <w:rFonts w:asciiTheme="minorHAnsi" w:hAnsiTheme="minorHAnsi"/>
                <w:b/>
                <w:i/>
                <w:highlight w:val="yellow"/>
                <w:lang w:val="en-GB" w:eastAsia="en-US"/>
              </w:rPr>
              <w:t>Excel file</w:t>
            </w:r>
            <w:r w:rsidRPr="006F51AE">
              <w:rPr>
                <w:rFonts w:asciiTheme="minorHAnsi" w:hAnsiTheme="minorHAnsi"/>
                <w:highlight w:val="yellow"/>
                <w:lang w:val="en-GB" w:eastAsia="en-US"/>
              </w:rPr>
              <w:t xml:space="preserve">. CUPT </w:t>
            </w:r>
            <w:r w:rsidRPr="00360E3D">
              <w:rPr>
                <w:rFonts w:asciiTheme="minorHAnsi" w:hAnsiTheme="minorHAnsi"/>
                <w:highlight w:val="yellow"/>
                <w:lang w:val="en-GB" w:eastAsia="en-US"/>
              </w:rPr>
              <w:t>PUBLICATION REFERENCE</w:t>
            </w:r>
          </w:p>
          <w:p w14:paraId="736DAC2A" w14:textId="77777777" w:rsidR="00921721" w:rsidRPr="00731E4E" w:rsidRDefault="00921721" w:rsidP="00880D09">
            <w:pPr>
              <w:pStyle w:val="anxnormal"/>
              <w:ind w:left="0"/>
              <w:rPr>
                <w:rFonts w:asciiTheme="minorHAnsi" w:hAnsiTheme="minorHAnsi"/>
                <w:lang w:val="en-GB" w:eastAsia="en-US"/>
              </w:rPr>
            </w:pPr>
          </w:p>
          <w:p w14:paraId="5172BBEC" w14:textId="77777777" w:rsidR="00921721" w:rsidRPr="00731E4E" w:rsidRDefault="00921721" w:rsidP="00880D09">
            <w:pPr>
              <w:pStyle w:val="anxnormal"/>
              <w:ind w:left="0"/>
              <w:rPr>
                <w:rFonts w:asciiTheme="minorHAnsi" w:hAnsiTheme="minorHAnsi"/>
                <w:lang w:val="en-GB" w:eastAsia="en-US"/>
              </w:rPr>
            </w:pPr>
          </w:p>
          <w:p w14:paraId="39A01F88" w14:textId="77777777" w:rsidR="00921721" w:rsidRPr="00F04E31" w:rsidRDefault="00921721" w:rsidP="00880D09">
            <w:pPr>
              <w:pStyle w:val="anxnormal"/>
              <w:ind w:left="0"/>
              <w:rPr>
                <w:rFonts w:asciiTheme="minorHAnsi" w:hAnsiTheme="minorHAnsi"/>
                <w:lang w:val="en-GB" w:eastAsia="en-US"/>
              </w:rPr>
            </w:pPr>
          </w:p>
          <w:p w14:paraId="4EE6733B" w14:textId="77777777" w:rsidR="00921721" w:rsidRPr="00F04E31" w:rsidRDefault="00921721" w:rsidP="00880D09">
            <w:pPr>
              <w:pStyle w:val="anxnormal"/>
              <w:ind w:left="0"/>
              <w:rPr>
                <w:rFonts w:asciiTheme="minorHAnsi" w:hAnsiTheme="minorHAnsi"/>
                <w:lang w:val="en-GB" w:eastAsia="en-US"/>
              </w:rPr>
            </w:pPr>
          </w:p>
          <w:p w14:paraId="79DF7B91" w14:textId="77777777" w:rsidR="00921721" w:rsidRPr="00F04E31" w:rsidRDefault="00921721" w:rsidP="00880D09">
            <w:pPr>
              <w:pStyle w:val="anxnormal"/>
              <w:ind w:left="0"/>
              <w:rPr>
                <w:rFonts w:asciiTheme="minorHAnsi" w:hAnsiTheme="minorHAnsi"/>
                <w:lang w:val="en-GB" w:eastAsia="en-US"/>
              </w:rPr>
            </w:pPr>
          </w:p>
          <w:p w14:paraId="0D94616A" w14:textId="77777777" w:rsidR="00921721" w:rsidRPr="00F23E44" w:rsidRDefault="00921721" w:rsidP="00880D09">
            <w:pPr>
              <w:pStyle w:val="anxnormal"/>
              <w:ind w:left="0"/>
              <w:rPr>
                <w:rFonts w:asciiTheme="minorHAnsi" w:hAnsiTheme="minorHAnsi"/>
                <w:color w:val="4F81BD" w:themeColor="accent1"/>
                <w:lang w:val="en-GB" w:eastAsia="en-US"/>
              </w:rPr>
            </w:pPr>
            <w:r w:rsidRPr="00F23E44">
              <w:rPr>
                <w:rFonts w:asciiTheme="minorHAnsi" w:hAnsiTheme="minorHAnsi" w:cs="Arial-Narrow,Bold"/>
                <w:b/>
                <w:bCs/>
                <w:color w:val="4F81BD" w:themeColor="accent1"/>
                <w:sz w:val="23"/>
                <w:szCs w:val="23"/>
                <w:lang w:val="en-GB" w:eastAsia="en-GB"/>
              </w:rPr>
              <w:t>2. GDP growth</w:t>
            </w:r>
            <w:r w:rsidRPr="00F23E44">
              <w:rPr>
                <w:rFonts w:asciiTheme="minorHAnsi" w:hAnsiTheme="minorHAnsi"/>
                <w:color w:val="4F81BD" w:themeColor="accent1"/>
                <w:lang w:val="en-GB" w:eastAsia="en-US"/>
              </w:rPr>
              <w:t xml:space="preserve"> </w:t>
            </w:r>
            <w:r w:rsidRPr="00F23E44">
              <w:rPr>
                <w:rFonts w:asciiTheme="minorHAnsi" w:hAnsiTheme="minorHAnsi" w:cs="Arial-Narrow,Bold"/>
                <w:b/>
                <w:bCs/>
                <w:color w:val="4F81BD" w:themeColor="accent1"/>
                <w:sz w:val="23"/>
                <w:szCs w:val="23"/>
                <w:lang w:val="en-GB" w:eastAsia="en-GB"/>
              </w:rPr>
              <w:t>trends</w:t>
            </w:r>
          </w:p>
          <w:p w14:paraId="1069DD2D" w14:textId="77777777" w:rsidR="00921721" w:rsidRPr="00731E4E"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 xml:space="preserve">GDP growth trends for application in traffic forecasts used by </w:t>
            </w:r>
            <w:proofErr w:type="spellStart"/>
            <w:r w:rsidRPr="00CD7B3F">
              <w:rPr>
                <w:rFonts w:asciiTheme="minorHAnsi" w:hAnsiTheme="minorHAnsi"/>
                <w:lang w:val="en-GB" w:eastAsia="en-US"/>
              </w:rPr>
              <w:t>GDDKiA</w:t>
            </w:r>
            <w:proofErr w:type="spellEnd"/>
            <w:r w:rsidRPr="00CD7B3F">
              <w:rPr>
                <w:rFonts w:asciiTheme="minorHAnsi" w:hAnsiTheme="minorHAnsi"/>
                <w:lang w:val="en-GB" w:eastAsia="en-US"/>
              </w:rPr>
              <w:t xml:space="preserve"> traffic model </w:t>
            </w:r>
          </w:p>
          <w:tbl>
            <w:tblPr>
              <w:tblW w:w="6899" w:type="dxa"/>
              <w:tblLayout w:type="fixed"/>
              <w:tblLook w:val="04A0" w:firstRow="1" w:lastRow="0" w:firstColumn="1" w:lastColumn="0" w:noHBand="0" w:noVBand="1"/>
            </w:tblPr>
            <w:tblGrid>
              <w:gridCol w:w="1117"/>
              <w:gridCol w:w="983"/>
              <w:gridCol w:w="783"/>
              <w:gridCol w:w="783"/>
              <w:gridCol w:w="783"/>
              <w:gridCol w:w="783"/>
              <w:gridCol w:w="884"/>
              <w:gridCol w:w="783"/>
            </w:tblGrid>
            <w:tr w:rsidR="00921721" w:rsidRPr="007463B9" w14:paraId="7DA89A60" w14:textId="77777777" w:rsidTr="00880D09">
              <w:trPr>
                <w:trHeight w:hRule="exact" w:val="522"/>
              </w:trPr>
              <w:tc>
                <w:tcPr>
                  <w:tcW w:w="1117"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4856CDA1"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Period</w:t>
                  </w:r>
                </w:p>
              </w:tc>
              <w:tc>
                <w:tcPr>
                  <w:tcW w:w="9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451B81DD"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4B51D619"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D8F5C9E"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FE0E394"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18777DD" w14:textId="77777777" w:rsidR="00921721" w:rsidRPr="00731E4E" w:rsidRDefault="00921721" w:rsidP="00880D09">
                  <w:pPr>
                    <w:jc w:val="center"/>
                    <w:rPr>
                      <w:rFonts w:asciiTheme="minorHAnsi" w:hAnsiTheme="minorHAnsi"/>
                      <w:b/>
                      <w:bCs/>
                      <w:color w:val="FFFFFF"/>
                      <w:sz w:val="18"/>
                      <w:szCs w:val="18"/>
                      <w:lang w:val="en-GB" w:eastAsia="en-GB"/>
                    </w:rPr>
                  </w:pPr>
                </w:p>
              </w:tc>
              <w:tc>
                <w:tcPr>
                  <w:tcW w:w="884"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150E1D9F" w14:textId="77777777" w:rsidR="00921721" w:rsidRPr="00CD7B3F" w:rsidRDefault="00921721" w:rsidP="00880D09">
                  <w:pPr>
                    <w:jc w:val="center"/>
                    <w:rPr>
                      <w:rFonts w:asciiTheme="minorHAnsi" w:hAnsiTheme="minorHAnsi"/>
                      <w:b/>
                      <w:bCs/>
                      <w:color w:val="FFFFFF"/>
                      <w:sz w:val="18"/>
                      <w:szCs w:val="18"/>
                      <w:lang w:val="en-GB" w:eastAsia="en-GB"/>
                    </w:rPr>
                  </w:pPr>
                  <w:r w:rsidRPr="00CD7B3F">
                    <w:rPr>
                      <w:rFonts w:asciiTheme="minorHAnsi" w:hAnsiTheme="minorHAnsi"/>
                      <w:b/>
                      <w:bCs/>
                      <w:color w:val="FFFFFF"/>
                      <w:sz w:val="18"/>
                      <w:szCs w:val="18"/>
                      <w:lang w:val="en-GB" w:eastAsia="en-GB"/>
                    </w:rPr>
                    <w:t>2020</w:t>
                  </w: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5993296A" w14:textId="77777777" w:rsidR="00921721" w:rsidRPr="00CD7B3F" w:rsidRDefault="00921721" w:rsidP="00880D09">
                  <w:pPr>
                    <w:jc w:val="center"/>
                    <w:rPr>
                      <w:rFonts w:asciiTheme="minorHAnsi" w:hAnsiTheme="minorHAnsi"/>
                      <w:b/>
                      <w:bCs/>
                      <w:color w:val="FFFFFF"/>
                      <w:sz w:val="18"/>
                      <w:szCs w:val="18"/>
                      <w:lang w:val="en-GB" w:eastAsia="en-GB"/>
                    </w:rPr>
                  </w:pPr>
                  <w:r w:rsidRPr="00CD7B3F">
                    <w:rPr>
                      <w:rFonts w:asciiTheme="minorHAnsi" w:hAnsiTheme="minorHAnsi"/>
                      <w:b/>
                      <w:bCs/>
                      <w:color w:val="FFFFFF"/>
                      <w:sz w:val="18"/>
                      <w:szCs w:val="18"/>
                      <w:lang w:val="en-GB" w:eastAsia="en-GB"/>
                    </w:rPr>
                    <w:t>2021</w:t>
                  </w:r>
                </w:p>
              </w:tc>
            </w:tr>
            <w:tr w:rsidR="00921721" w:rsidRPr="007463B9" w14:paraId="3A1E4D89" w14:textId="77777777" w:rsidTr="00880D09">
              <w:trPr>
                <w:trHeight w:val="411"/>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8375108"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tcPr>
                <w:p w14:paraId="0D2C7900"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7E2AA759"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456303EF"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029AB262"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03BA02D1"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120ABBA9" w14:textId="77777777" w:rsidR="00921721" w:rsidRPr="00CD7B3F" w:rsidRDefault="00921721" w:rsidP="00880D09">
                  <w:pPr>
                    <w:jc w:val="center"/>
                    <w:rPr>
                      <w:rFonts w:asciiTheme="minorHAnsi" w:hAnsiTheme="minorHAnsi"/>
                      <w:color w:val="4F81BD" w:themeColor="accent1"/>
                      <w:sz w:val="18"/>
                      <w:szCs w:val="18"/>
                      <w:lang w:val="en-GB" w:eastAsia="en-GB"/>
                    </w:rPr>
                  </w:pPr>
                  <w:r w:rsidRPr="00CD7B3F">
                    <w:rPr>
                      <w:rFonts w:asciiTheme="minorHAnsi" w:hAnsiTheme="minorHAnsi"/>
                      <w:color w:val="4F81BD" w:themeColor="accent1"/>
                      <w:sz w:val="18"/>
                      <w:szCs w:val="18"/>
                      <w:lang w:val="en-GB" w:eastAsia="en-GB"/>
                    </w:rPr>
                    <w:t>3.30%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0CE018D" w14:textId="77777777" w:rsidR="00921721" w:rsidRPr="00CD7B3F" w:rsidRDefault="00921721" w:rsidP="00880D09">
                  <w:pPr>
                    <w:jc w:val="center"/>
                    <w:rPr>
                      <w:rFonts w:asciiTheme="minorHAnsi" w:hAnsiTheme="minorHAnsi"/>
                      <w:color w:val="4F81BD" w:themeColor="accent1"/>
                      <w:sz w:val="18"/>
                      <w:szCs w:val="18"/>
                      <w:lang w:val="en-GB" w:eastAsia="en-GB"/>
                    </w:rPr>
                  </w:pPr>
                  <w:r w:rsidRPr="00CD7B3F">
                    <w:rPr>
                      <w:rFonts w:asciiTheme="minorHAnsi" w:hAnsiTheme="minorHAnsi"/>
                      <w:color w:val="4F81BD" w:themeColor="accent1"/>
                      <w:sz w:val="18"/>
                      <w:szCs w:val="18"/>
                      <w:lang w:val="en-GB" w:eastAsia="en-GB"/>
                    </w:rPr>
                    <w:t>3.20%</w:t>
                  </w:r>
                </w:p>
              </w:tc>
            </w:tr>
            <w:tr w:rsidR="00921721" w:rsidRPr="007463B9" w14:paraId="15F58E98" w14:textId="77777777" w:rsidTr="00880D09">
              <w:trPr>
                <w:trHeight w:hRule="exact" w:val="512"/>
              </w:trPr>
              <w:tc>
                <w:tcPr>
                  <w:tcW w:w="1117" w:type="dxa"/>
                  <w:tcBorders>
                    <w:top w:val="nil"/>
                    <w:left w:val="single" w:sz="8" w:space="0" w:color="FFFFFF"/>
                    <w:bottom w:val="single" w:sz="8" w:space="0" w:color="FFFFFF"/>
                    <w:right w:val="single" w:sz="8" w:space="0" w:color="FFFFFF"/>
                  </w:tcBorders>
                  <w:shd w:val="clear" w:color="auto" w:fill="A6A6A6" w:themeFill="background1" w:themeFillShade="A6"/>
                  <w:vAlign w:val="center"/>
                  <w:hideMark/>
                </w:tcPr>
                <w:p w14:paraId="379151B1"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Period</w:t>
                  </w:r>
                </w:p>
              </w:tc>
              <w:tc>
                <w:tcPr>
                  <w:tcW w:w="983" w:type="dxa"/>
                  <w:tcBorders>
                    <w:top w:val="nil"/>
                    <w:left w:val="nil"/>
                    <w:bottom w:val="single" w:sz="8" w:space="0" w:color="FFFFFF"/>
                    <w:right w:val="single" w:sz="8" w:space="0" w:color="FFFFFF"/>
                  </w:tcBorders>
                  <w:shd w:val="clear" w:color="auto" w:fill="A6A6A6" w:themeFill="background1" w:themeFillShade="A6"/>
                  <w:vAlign w:val="center"/>
                  <w:hideMark/>
                </w:tcPr>
                <w:p w14:paraId="5CF7D3BB"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2022</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2A82A45F"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2023</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70E89884"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2024</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262FEF26"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2025</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17F64D90"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2026</w:t>
                  </w:r>
                </w:p>
              </w:tc>
              <w:tc>
                <w:tcPr>
                  <w:tcW w:w="884" w:type="dxa"/>
                  <w:tcBorders>
                    <w:top w:val="nil"/>
                    <w:left w:val="nil"/>
                    <w:bottom w:val="single" w:sz="8" w:space="0" w:color="FFFFFF"/>
                    <w:right w:val="single" w:sz="8" w:space="0" w:color="FFFFFF"/>
                  </w:tcBorders>
                  <w:shd w:val="clear" w:color="auto" w:fill="A6A6A6" w:themeFill="background1" w:themeFillShade="A6"/>
                  <w:vAlign w:val="center"/>
                  <w:hideMark/>
                </w:tcPr>
                <w:p w14:paraId="5F0A4F19"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2027</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29895E5B"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2028</w:t>
                  </w:r>
                </w:p>
              </w:tc>
            </w:tr>
            <w:tr w:rsidR="00921721" w:rsidRPr="007463B9" w14:paraId="2C7BFA25" w14:textId="77777777" w:rsidTr="00880D09">
              <w:trPr>
                <w:trHeight w:val="424"/>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86C2647"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hideMark/>
                </w:tcPr>
                <w:p w14:paraId="38052917"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3.10%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39063325"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3.00%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3DE4D979"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2.90%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F77D84B"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2.80%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3B166DA"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2.80%</w:t>
                  </w: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47C3761D"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2.80%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309703DD"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2.70%</w:t>
                  </w:r>
                </w:p>
              </w:tc>
            </w:tr>
            <w:tr w:rsidR="00921721" w:rsidRPr="007463B9" w14:paraId="7C45E98D" w14:textId="77777777" w:rsidTr="00880D09">
              <w:trPr>
                <w:trHeight w:hRule="exact" w:val="548"/>
              </w:trPr>
              <w:tc>
                <w:tcPr>
                  <w:tcW w:w="1117" w:type="dxa"/>
                  <w:tcBorders>
                    <w:top w:val="nil"/>
                    <w:left w:val="single" w:sz="8" w:space="0" w:color="FFFFFF"/>
                    <w:bottom w:val="single" w:sz="8" w:space="0" w:color="FFFFFF"/>
                    <w:right w:val="single" w:sz="8" w:space="0" w:color="FFFFFF"/>
                  </w:tcBorders>
                  <w:shd w:val="clear" w:color="auto" w:fill="BFBFBF" w:themeFill="background1" w:themeFillShade="BF"/>
                  <w:vAlign w:val="center"/>
                  <w:hideMark/>
                </w:tcPr>
                <w:p w14:paraId="2B383482"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Period</w:t>
                  </w:r>
                </w:p>
              </w:tc>
              <w:tc>
                <w:tcPr>
                  <w:tcW w:w="983" w:type="dxa"/>
                  <w:tcBorders>
                    <w:top w:val="nil"/>
                    <w:left w:val="nil"/>
                    <w:bottom w:val="single" w:sz="8" w:space="0" w:color="FFFFFF"/>
                    <w:right w:val="single" w:sz="8" w:space="0" w:color="FFFFFF"/>
                  </w:tcBorders>
                  <w:shd w:val="clear" w:color="auto" w:fill="BFBFBF" w:themeFill="background1" w:themeFillShade="BF"/>
                  <w:vAlign w:val="center"/>
                  <w:hideMark/>
                </w:tcPr>
                <w:p w14:paraId="26433B9D"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2029</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7C52CE72"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2030</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0FC6F882"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2031</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5F3847E6"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2032</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0D2B36FF"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2033</w:t>
                  </w:r>
                </w:p>
              </w:tc>
              <w:tc>
                <w:tcPr>
                  <w:tcW w:w="884" w:type="dxa"/>
                  <w:tcBorders>
                    <w:top w:val="nil"/>
                    <w:left w:val="nil"/>
                    <w:bottom w:val="single" w:sz="8" w:space="0" w:color="FFFFFF"/>
                    <w:right w:val="single" w:sz="8" w:space="0" w:color="FFFFFF"/>
                  </w:tcBorders>
                  <w:shd w:val="clear" w:color="auto" w:fill="BFBFBF" w:themeFill="background1" w:themeFillShade="BF"/>
                  <w:vAlign w:val="center"/>
                  <w:hideMark/>
                </w:tcPr>
                <w:p w14:paraId="4DE99274"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2034</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14A4405D"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2035</w:t>
                  </w:r>
                </w:p>
              </w:tc>
            </w:tr>
            <w:tr w:rsidR="00921721" w:rsidRPr="007463B9" w14:paraId="44D6CFEF" w14:textId="77777777" w:rsidTr="00880D09">
              <w:trPr>
                <w:trHeight w:val="392"/>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211DC827"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hideMark/>
                </w:tcPr>
                <w:p w14:paraId="0E943273"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2.70%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666014AE"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2.70%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F064C2D"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2.60%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7FA52293"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2.60%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7D2C657F"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2.60%</w:t>
                  </w: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2B3EC255"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2.50%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21B200D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2.50%</w:t>
                  </w:r>
                </w:p>
              </w:tc>
            </w:tr>
            <w:tr w:rsidR="00921721" w:rsidRPr="007463B9" w14:paraId="43D317F2" w14:textId="77777777" w:rsidTr="00880D09">
              <w:trPr>
                <w:trHeight w:hRule="exact" w:val="538"/>
              </w:trPr>
              <w:tc>
                <w:tcPr>
                  <w:tcW w:w="1117"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7FF3D485"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Period</w:t>
                  </w:r>
                </w:p>
              </w:tc>
              <w:tc>
                <w:tcPr>
                  <w:tcW w:w="983" w:type="dxa"/>
                  <w:tcBorders>
                    <w:top w:val="nil"/>
                    <w:left w:val="nil"/>
                    <w:bottom w:val="single" w:sz="8" w:space="0" w:color="FFFFFF"/>
                    <w:right w:val="single" w:sz="8" w:space="0" w:color="FFFFFF"/>
                  </w:tcBorders>
                  <w:shd w:val="clear" w:color="auto" w:fill="D9D9D9" w:themeFill="background1" w:themeFillShade="D9"/>
                  <w:vAlign w:val="center"/>
                  <w:hideMark/>
                </w:tcPr>
                <w:p w14:paraId="482CE435"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2036</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7D3BA2B0"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2037</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73DD272E"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2038</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063509A0"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2039</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3BBEE09E"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2040</w:t>
                  </w:r>
                </w:p>
              </w:tc>
              <w:tc>
                <w:tcPr>
                  <w:tcW w:w="884" w:type="dxa"/>
                  <w:tcBorders>
                    <w:top w:val="nil"/>
                    <w:left w:val="nil"/>
                    <w:bottom w:val="single" w:sz="8" w:space="0" w:color="FFFFFF"/>
                    <w:right w:val="single" w:sz="8" w:space="0" w:color="FFFFFF"/>
                  </w:tcBorders>
                  <w:shd w:val="clear" w:color="auto" w:fill="D9D9D9" w:themeFill="background1" w:themeFillShade="D9"/>
                  <w:vAlign w:val="center"/>
                  <w:hideMark/>
                </w:tcPr>
                <w:p w14:paraId="24BBEEA8"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2041</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58BF7407"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2042</w:t>
                  </w:r>
                </w:p>
              </w:tc>
            </w:tr>
            <w:tr w:rsidR="00921721" w:rsidRPr="007463B9" w14:paraId="02722895" w14:textId="77777777" w:rsidTr="00880D09">
              <w:trPr>
                <w:trHeight w:val="405"/>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144A6BDE"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hideMark/>
                </w:tcPr>
                <w:p w14:paraId="0618EC08"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2.40%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523B438"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2.40%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5C57C7E"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2.30%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445D7CC"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2.20%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67487C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2.10%</w:t>
                  </w: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7F89888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1.00%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5A47757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1.00%</w:t>
                  </w:r>
                </w:p>
              </w:tc>
            </w:tr>
          </w:tbl>
          <w:p w14:paraId="708B8124" w14:textId="77777777" w:rsidR="00921721" w:rsidRPr="00921721" w:rsidRDefault="00921721" w:rsidP="00880D09">
            <w:pPr>
              <w:spacing w:before="120"/>
              <w:ind w:right="170"/>
              <w:jc w:val="both"/>
              <w:rPr>
                <w:rFonts w:asciiTheme="minorHAnsi" w:hAnsiTheme="minorHAnsi" w:cs="Arial"/>
                <w:sz w:val="16"/>
                <w:szCs w:val="16"/>
                <w:lang w:val="en-GB"/>
              </w:rPr>
            </w:pPr>
            <w:r w:rsidRPr="00921721">
              <w:rPr>
                <w:rFonts w:asciiTheme="minorHAnsi" w:hAnsiTheme="minorHAnsi" w:cs="Arial"/>
                <w:b/>
                <w:i/>
                <w:sz w:val="16"/>
                <w:szCs w:val="16"/>
                <w:lang w:val="en-GB"/>
              </w:rPr>
              <w:t xml:space="preserve">Source: </w:t>
            </w:r>
            <w:proofErr w:type="spellStart"/>
            <w:r w:rsidRPr="00921721">
              <w:rPr>
                <w:rFonts w:asciiTheme="minorHAnsi" w:hAnsiTheme="minorHAnsi" w:cs="Arial"/>
                <w:b/>
                <w:i/>
                <w:sz w:val="16"/>
                <w:szCs w:val="16"/>
                <w:lang w:val="en-GB"/>
              </w:rPr>
              <w:t>Prognozy</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wskaźnika</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wzrostu</w:t>
            </w:r>
            <w:proofErr w:type="spellEnd"/>
            <w:r w:rsidRPr="00921721">
              <w:rPr>
                <w:rFonts w:asciiTheme="minorHAnsi" w:hAnsiTheme="minorHAnsi" w:cs="Arial"/>
                <w:b/>
                <w:i/>
                <w:sz w:val="16"/>
                <w:szCs w:val="16"/>
                <w:lang w:val="en-GB"/>
              </w:rPr>
              <w:t xml:space="preserve"> PKB </w:t>
            </w:r>
            <w:proofErr w:type="spellStart"/>
            <w:r w:rsidRPr="00921721">
              <w:rPr>
                <w:rFonts w:asciiTheme="minorHAnsi" w:hAnsiTheme="minorHAnsi" w:cs="Arial"/>
                <w:b/>
                <w:i/>
                <w:sz w:val="16"/>
                <w:szCs w:val="16"/>
                <w:lang w:val="en-GB"/>
              </w:rPr>
              <w:t>na</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okres</w:t>
            </w:r>
            <w:proofErr w:type="spellEnd"/>
            <w:r w:rsidRPr="00921721">
              <w:rPr>
                <w:rFonts w:asciiTheme="minorHAnsi" w:hAnsiTheme="minorHAnsi" w:cs="Arial"/>
                <w:b/>
                <w:i/>
                <w:sz w:val="16"/>
                <w:szCs w:val="16"/>
                <w:lang w:val="en-GB"/>
              </w:rPr>
              <w:t xml:space="preserve"> 2008-2040,  </w:t>
            </w:r>
            <w:proofErr w:type="spellStart"/>
            <w:r w:rsidRPr="00921721">
              <w:rPr>
                <w:rFonts w:asciiTheme="minorHAnsi" w:hAnsiTheme="minorHAnsi" w:cs="Arial"/>
                <w:b/>
                <w:i/>
                <w:sz w:val="16"/>
                <w:szCs w:val="16"/>
                <w:lang w:val="en-GB"/>
              </w:rPr>
              <w:t>GDDKiA</w:t>
            </w:r>
            <w:proofErr w:type="spellEnd"/>
            <w:r w:rsidRPr="00921721">
              <w:rPr>
                <w:rFonts w:asciiTheme="minorHAnsi" w:hAnsiTheme="minorHAnsi" w:cs="Arial"/>
                <w:b/>
                <w:i/>
                <w:sz w:val="16"/>
                <w:szCs w:val="16"/>
                <w:lang w:val="en-GB"/>
              </w:rPr>
              <w:t xml:space="preserve">, </w:t>
            </w:r>
            <w:hyperlink r:id="rId143" w:history="1">
              <w:r w:rsidRPr="00921721">
                <w:rPr>
                  <w:rStyle w:val="Hipercze"/>
                  <w:rFonts w:asciiTheme="minorHAnsi" w:hAnsiTheme="minorHAnsi"/>
                  <w:sz w:val="16"/>
                  <w:szCs w:val="16"/>
                  <w:lang w:val="en-GB"/>
                </w:rPr>
                <w:t>http://www.gddkia.gov.pl/pl/992/zalozenia-do-prognoz-ruchu</w:t>
              </w:r>
            </w:hyperlink>
            <w:r w:rsidRPr="00921721">
              <w:rPr>
                <w:rFonts w:asciiTheme="minorHAnsi" w:hAnsiTheme="minorHAnsi" w:cs="Arial"/>
                <w:sz w:val="16"/>
                <w:szCs w:val="16"/>
                <w:lang w:val="en-GB"/>
              </w:rPr>
              <w:t xml:space="preserve"> . </w:t>
            </w:r>
          </w:p>
          <w:p w14:paraId="32E637F2" w14:textId="77777777" w:rsidR="00921721" w:rsidRPr="00296507" w:rsidRDefault="00921721" w:rsidP="00880D09">
            <w:pPr>
              <w:ind w:right="170"/>
              <w:jc w:val="both"/>
              <w:rPr>
                <w:rFonts w:asciiTheme="minorHAnsi" w:hAnsiTheme="minorHAnsi" w:cs="Arial"/>
                <w:sz w:val="16"/>
                <w:szCs w:val="16"/>
                <w:lang w:val="en-GB"/>
              </w:rPr>
            </w:pPr>
            <w:r w:rsidRPr="00731E4E">
              <w:rPr>
                <w:rFonts w:asciiTheme="minorHAnsi" w:hAnsiTheme="minorHAnsi" w:cs="Arial"/>
                <w:sz w:val="16"/>
                <w:szCs w:val="16"/>
                <w:lang w:val="en-GB"/>
              </w:rPr>
              <w:t>From 2041-2042,</w:t>
            </w:r>
            <w:r>
              <w:rPr>
                <w:rFonts w:asciiTheme="minorHAnsi" w:hAnsiTheme="minorHAnsi" w:cs="Arial"/>
                <w:sz w:val="16"/>
                <w:szCs w:val="16"/>
                <w:lang w:val="en-GB"/>
              </w:rPr>
              <w:t xml:space="preserve"> a </w:t>
            </w:r>
            <w:r w:rsidRPr="00731E4E">
              <w:rPr>
                <w:rFonts w:asciiTheme="minorHAnsi" w:hAnsiTheme="minorHAnsi" w:cs="Arial"/>
                <w:sz w:val="16"/>
                <w:szCs w:val="16"/>
                <w:lang w:val="en-GB"/>
              </w:rPr>
              <w:t>conservative assumption of 1% GDP growth has been made.</w:t>
            </w:r>
          </w:p>
          <w:p w14:paraId="44FCFEAE" w14:textId="77777777" w:rsidR="00921721" w:rsidRPr="006321BC" w:rsidRDefault="00921721" w:rsidP="00880D09">
            <w:pPr>
              <w:pStyle w:val="anxnormal"/>
              <w:ind w:left="0"/>
              <w:rPr>
                <w:rFonts w:asciiTheme="minorHAnsi" w:hAnsiTheme="minorHAnsi"/>
                <w:lang w:val="en-GB" w:eastAsia="en-US"/>
              </w:rPr>
            </w:pPr>
            <w:r w:rsidRPr="00296507">
              <w:rPr>
                <w:rFonts w:asciiTheme="minorHAnsi" w:hAnsiTheme="minorHAnsi"/>
                <w:lang w:val="en-GB" w:eastAsia="en-US"/>
              </w:rPr>
              <w:t>For regional GDP growth rates (voivod</w:t>
            </w:r>
            <w:r>
              <w:rPr>
                <w:rFonts w:asciiTheme="minorHAnsi" w:hAnsiTheme="minorHAnsi"/>
                <w:lang w:val="en-GB" w:eastAsia="en-US"/>
              </w:rPr>
              <w:t>e</w:t>
            </w:r>
            <w:r w:rsidRPr="00296507">
              <w:rPr>
                <w:rFonts w:asciiTheme="minorHAnsi" w:hAnsiTheme="minorHAnsi"/>
                <w:lang w:val="en-GB" w:eastAsia="en-US"/>
              </w:rPr>
              <w:t xml:space="preserve">ship or agglomeration level), please refer to the same source above:  “Analysis of the forecast of GDP until 2040 for the purpose of traffic forecast”, prepared in 2012 for </w:t>
            </w:r>
            <w:proofErr w:type="spellStart"/>
            <w:r w:rsidRPr="00296507">
              <w:rPr>
                <w:rFonts w:asciiTheme="minorHAnsi" w:hAnsiTheme="minorHAnsi"/>
                <w:lang w:val="en-GB" w:eastAsia="en-US"/>
              </w:rPr>
              <w:t>GDDKiA</w:t>
            </w:r>
            <w:proofErr w:type="spellEnd"/>
            <w:r w:rsidRPr="00296507">
              <w:rPr>
                <w:rFonts w:asciiTheme="minorHAnsi" w:hAnsiTheme="minorHAnsi"/>
                <w:lang w:val="en-GB" w:eastAsia="en-US"/>
              </w:rPr>
              <w:t xml:space="preserve">, </w:t>
            </w:r>
            <w:hyperlink r:id="rId144" w:history="1">
              <w:r w:rsidRPr="00296507">
                <w:rPr>
                  <w:rStyle w:val="Hipercze"/>
                  <w:rFonts w:asciiTheme="minorHAnsi" w:hAnsiTheme="minorHAnsi"/>
                  <w:lang w:val="en-GB" w:eastAsia="en-GB"/>
                </w:rPr>
                <w:t>http://www.gddkia.gov.pl/pl/992/zalozenia-do-prognoz-ruchu</w:t>
              </w:r>
            </w:hyperlink>
            <w:r w:rsidRPr="006321BC">
              <w:rPr>
                <w:rFonts w:asciiTheme="minorHAnsi" w:hAnsiTheme="minorHAnsi"/>
                <w:lang w:val="en-GB" w:eastAsia="en-US"/>
              </w:rPr>
              <w:t>.</w:t>
            </w:r>
          </w:p>
          <w:p w14:paraId="38C322CB" w14:textId="77777777" w:rsidR="00921721" w:rsidRPr="006321BC" w:rsidRDefault="00921721" w:rsidP="00880D09">
            <w:pPr>
              <w:pStyle w:val="anxnormal"/>
              <w:spacing w:after="120"/>
              <w:ind w:left="0"/>
              <w:rPr>
                <w:rFonts w:asciiTheme="minorHAnsi" w:hAnsiTheme="minorHAnsi"/>
                <w:lang w:val="en-GB" w:eastAsia="en-US"/>
              </w:rPr>
            </w:pPr>
          </w:p>
          <w:p w14:paraId="311A8776" w14:textId="77777777" w:rsidR="00921721" w:rsidRPr="006321BC" w:rsidRDefault="00921721" w:rsidP="00880D09">
            <w:pPr>
              <w:pStyle w:val="anxnormal"/>
              <w:spacing w:after="120"/>
              <w:ind w:left="0"/>
              <w:rPr>
                <w:rFonts w:asciiTheme="minorHAnsi" w:hAnsiTheme="minorHAnsi"/>
                <w:lang w:val="en-GB" w:eastAsia="en-US"/>
              </w:rPr>
            </w:pPr>
          </w:p>
          <w:p w14:paraId="61CB78CE" w14:textId="77777777" w:rsidR="00921721" w:rsidRPr="006321BC" w:rsidRDefault="00921721" w:rsidP="00880D09">
            <w:pPr>
              <w:pStyle w:val="anxnormal"/>
              <w:spacing w:after="120"/>
              <w:ind w:left="0"/>
              <w:rPr>
                <w:rFonts w:asciiTheme="minorHAnsi" w:hAnsiTheme="minorHAnsi"/>
                <w:lang w:val="en-GB" w:eastAsia="en-US"/>
              </w:rPr>
            </w:pPr>
          </w:p>
          <w:p w14:paraId="55E666DA" w14:textId="77777777" w:rsidR="00921721" w:rsidRPr="00921721" w:rsidRDefault="00921721" w:rsidP="00880D09">
            <w:pPr>
              <w:pStyle w:val="anxnormal"/>
              <w:spacing w:after="120"/>
              <w:ind w:left="0"/>
              <w:rPr>
                <w:rFonts w:asciiTheme="minorHAnsi" w:hAnsiTheme="minorHAnsi"/>
                <w:lang w:val="en-US" w:eastAsia="en-US"/>
              </w:rPr>
            </w:pPr>
            <w:r w:rsidRPr="00921721">
              <w:rPr>
                <w:rFonts w:asciiTheme="minorHAnsi" w:hAnsiTheme="minorHAnsi"/>
                <w:lang w:val="en-US" w:eastAsia="en-US"/>
              </w:rPr>
              <w:lastRenderedPageBreak/>
              <w:t>GDP per capita growth to be used for unit costs indexation, as described above.</w:t>
            </w:r>
          </w:p>
          <w:p w14:paraId="0304A83E" w14:textId="77777777" w:rsidR="00921721" w:rsidRPr="00731E4E" w:rsidRDefault="00921721" w:rsidP="00880D09">
            <w:pPr>
              <w:pStyle w:val="anxnormal"/>
              <w:ind w:left="0"/>
              <w:rPr>
                <w:rFonts w:asciiTheme="minorHAnsi" w:hAnsiTheme="minorHAnsi"/>
                <w:lang w:val="en-GB" w:eastAsia="en-US"/>
              </w:rPr>
            </w:pPr>
          </w:p>
          <w:tbl>
            <w:tblPr>
              <w:tblW w:w="6936" w:type="dxa"/>
              <w:tblLayout w:type="fixed"/>
              <w:tblLook w:val="04A0" w:firstRow="1" w:lastRow="0" w:firstColumn="1" w:lastColumn="0" w:noHBand="0" w:noVBand="1"/>
            </w:tblPr>
            <w:tblGrid>
              <w:gridCol w:w="808"/>
              <w:gridCol w:w="876"/>
              <w:gridCol w:w="875"/>
              <w:gridCol w:w="875"/>
              <w:gridCol w:w="876"/>
              <w:gridCol w:w="875"/>
              <w:gridCol w:w="875"/>
              <w:gridCol w:w="876"/>
            </w:tblGrid>
            <w:tr w:rsidR="00921721" w:rsidRPr="00132C08" w14:paraId="664F0D46" w14:textId="77777777" w:rsidTr="00880D09">
              <w:trPr>
                <w:trHeight w:val="186"/>
              </w:trPr>
              <w:tc>
                <w:tcPr>
                  <w:tcW w:w="808"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64B70D57"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 xml:space="preserve">Year </w:t>
                  </w:r>
                </w:p>
              </w:tc>
              <w:tc>
                <w:tcPr>
                  <w:tcW w:w="876"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5D87B300"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w:t>
                  </w:r>
                  <w:r>
                    <w:rPr>
                      <w:rFonts w:asciiTheme="minorHAnsi" w:hAnsiTheme="minorHAnsi"/>
                      <w:b/>
                      <w:bCs/>
                      <w:color w:val="FFFFFF"/>
                      <w:sz w:val="18"/>
                      <w:szCs w:val="18"/>
                      <w:lang w:val="en-GB" w:eastAsia="en-GB"/>
                    </w:rPr>
                    <w:t>1</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39EAE32A"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w:t>
                  </w:r>
                  <w:r>
                    <w:rPr>
                      <w:rFonts w:asciiTheme="minorHAnsi" w:hAnsiTheme="minorHAnsi"/>
                      <w:b/>
                      <w:bCs/>
                      <w:color w:val="FFFFFF"/>
                      <w:sz w:val="18"/>
                      <w:szCs w:val="18"/>
                      <w:lang w:val="en-GB" w:eastAsia="en-GB"/>
                    </w:rPr>
                    <w:t>2</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031985C6"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2023</w:t>
                  </w:r>
                </w:p>
              </w:tc>
              <w:tc>
                <w:tcPr>
                  <w:tcW w:w="876"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052DA34C"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2024</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42DE4E16"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2025</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65668AA8"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2026</w:t>
                  </w:r>
                </w:p>
              </w:tc>
              <w:tc>
                <w:tcPr>
                  <w:tcW w:w="876"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29E2366F" w14:textId="77777777" w:rsidR="00921721" w:rsidRPr="002C6855" w:rsidRDefault="00921721" w:rsidP="00880D09">
                  <w:pPr>
                    <w:jc w:val="center"/>
                    <w:rPr>
                      <w:rFonts w:asciiTheme="minorHAnsi" w:hAnsiTheme="minorHAnsi"/>
                      <w:b/>
                      <w:bCs/>
                      <w:color w:val="FFFFFF"/>
                      <w:sz w:val="18"/>
                      <w:szCs w:val="18"/>
                      <w:lang w:val="en-GB" w:eastAsia="en-GB"/>
                    </w:rPr>
                  </w:pPr>
                  <w:r>
                    <w:rPr>
                      <w:rFonts w:asciiTheme="minorHAnsi" w:hAnsiTheme="minorHAnsi"/>
                      <w:b/>
                      <w:bCs/>
                      <w:color w:val="FFFFFF"/>
                      <w:sz w:val="18"/>
                      <w:szCs w:val="18"/>
                      <w:lang w:val="en-GB" w:eastAsia="en-GB"/>
                    </w:rPr>
                    <w:t>2027</w:t>
                  </w:r>
                </w:p>
              </w:tc>
            </w:tr>
            <w:tr w:rsidR="00921721" w:rsidRPr="00132C08" w14:paraId="58586835"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1BD252E" w14:textId="77777777" w:rsidR="00921721" w:rsidRPr="002C6855" w:rsidRDefault="00921721" w:rsidP="00880D09">
                  <w:pPr>
                    <w:jc w:val="center"/>
                    <w:rPr>
                      <w:rFonts w:asciiTheme="minorHAnsi" w:hAnsiTheme="minorHAnsi"/>
                      <w:color w:val="4F81BD" w:themeColor="accent1"/>
                      <w:sz w:val="18"/>
                      <w:szCs w:val="18"/>
                      <w:lang w:val="en-GB" w:eastAsia="en-GB"/>
                    </w:rPr>
                  </w:pPr>
                  <w:r w:rsidRPr="002C6855">
                    <w:rPr>
                      <w:rFonts w:asciiTheme="minorHAnsi" w:hAnsiTheme="minorHAnsi"/>
                      <w:color w:val="4F81BD" w:themeColor="accent1"/>
                      <w:sz w:val="18"/>
                      <w:szCs w:val="18"/>
                      <w:lang w:val="en-GB" w:eastAsia="en-GB"/>
                    </w:rPr>
                    <w:t>GDP per capita</w:t>
                  </w:r>
                </w:p>
              </w:tc>
              <w:tc>
                <w:tcPr>
                  <w:tcW w:w="876" w:type="dxa"/>
                  <w:tcBorders>
                    <w:top w:val="nil"/>
                    <w:left w:val="nil"/>
                    <w:bottom w:val="single" w:sz="8" w:space="0" w:color="FFFFFF"/>
                    <w:right w:val="single" w:sz="8" w:space="0" w:color="FFFFFF"/>
                  </w:tcBorders>
                  <w:shd w:val="clear" w:color="auto" w:fill="DBE5F1" w:themeFill="accent1" w:themeFillTint="33"/>
                </w:tcPr>
                <w:p w14:paraId="5047F4A8"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1.051</w:t>
                  </w:r>
                </w:p>
              </w:tc>
              <w:tc>
                <w:tcPr>
                  <w:tcW w:w="875" w:type="dxa"/>
                  <w:tcBorders>
                    <w:top w:val="nil"/>
                    <w:left w:val="nil"/>
                    <w:bottom w:val="single" w:sz="8" w:space="0" w:color="FFFFFF"/>
                    <w:right w:val="single" w:sz="8" w:space="0" w:color="FFFFFF"/>
                  </w:tcBorders>
                  <w:shd w:val="clear" w:color="auto" w:fill="DBE5F1" w:themeFill="accent1" w:themeFillTint="33"/>
                </w:tcPr>
                <w:p w14:paraId="7381AB8B"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1.048</w:t>
                  </w:r>
                </w:p>
              </w:tc>
              <w:tc>
                <w:tcPr>
                  <w:tcW w:w="875" w:type="dxa"/>
                  <w:tcBorders>
                    <w:top w:val="nil"/>
                    <w:left w:val="nil"/>
                    <w:bottom w:val="single" w:sz="8" w:space="0" w:color="FFFFFF"/>
                    <w:right w:val="single" w:sz="8" w:space="0" w:color="FFFFFF"/>
                  </w:tcBorders>
                  <w:shd w:val="clear" w:color="auto" w:fill="DBE5F1" w:themeFill="accent1" w:themeFillTint="33"/>
                </w:tcPr>
                <w:p w14:paraId="509EF486"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1.039</w:t>
                  </w:r>
                </w:p>
              </w:tc>
              <w:tc>
                <w:tcPr>
                  <w:tcW w:w="876" w:type="dxa"/>
                  <w:tcBorders>
                    <w:top w:val="nil"/>
                    <w:left w:val="nil"/>
                    <w:bottom w:val="single" w:sz="8" w:space="0" w:color="FFFFFF"/>
                    <w:right w:val="single" w:sz="8" w:space="0" w:color="FFFFFF"/>
                  </w:tcBorders>
                  <w:shd w:val="clear" w:color="auto" w:fill="DBE5F1" w:themeFill="accent1" w:themeFillTint="33"/>
                </w:tcPr>
                <w:p w14:paraId="7D178A6C"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1.037</w:t>
                  </w:r>
                </w:p>
              </w:tc>
              <w:tc>
                <w:tcPr>
                  <w:tcW w:w="875" w:type="dxa"/>
                  <w:tcBorders>
                    <w:top w:val="nil"/>
                    <w:left w:val="nil"/>
                    <w:bottom w:val="single" w:sz="8" w:space="0" w:color="FFFFFF"/>
                    <w:right w:val="single" w:sz="8" w:space="0" w:color="FFFFFF"/>
                  </w:tcBorders>
                  <w:shd w:val="clear" w:color="auto" w:fill="DBE5F1" w:themeFill="accent1" w:themeFillTint="33"/>
                </w:tcPr>
                <w:p w14:paraId="0B2657F6"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1.038</w:t>
                  </w:r>
                </w:p>
              </w:tc>
              <w:tc>
                <w:tcPr>
                  <w:tcW w:w="875" w:type="dxa"/>
                  <w:tcBorders>
                    <w:top w:val="nil"/>
                    <w:left w:val="nil"/>
                    <w:bottom w:val="single" w:sz="8" w:space="0" w:color="FFFFFF"/>
                    <w:right w:val="single" w:sz="8" w:space="0" w:color="FFFFFF"/>
                  </w:tcBorders>
                  <w:shd w:val="clear" w:color="auto" w:fill="DBE5F1" w:themeFill="accent1" w:themeFillTint="33"/>
                  <w:hideMark/>
                </w:tcPr>
                <w:p w14:paraId="59091C42"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1.038</w:t>
                  </w:r>
                </w:p>
              </w:tc>
              <w:tc>
                <w:tcPr>
                  <w:tcW w:w="876" w:type="dxa"/>
                  <w:tcBorders>
                    <w:top w:val="nil"/>
                    <w:left w:val="nil"/>
                    <w:bottom w:val="single" w:sz="8" w:space="0" w:color="FFFFFF"/>
                    <w:right w:val="single" w:sz="8" w:space="0" w:color="FFFFFF"/>
                  </w:tcBorders>
                  <w:shd w:val="clear" w:color="auto" w:fill="DBE5F1" w:themeFill="accent1" w:themeFillTint="33"/>
                  <w:hideMark/>
                </w:tcPr>
                <w:p w14:paraId="4D8DEA0A"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1.037</w:t>
                  </w:r>
                </w:p>
              </w:tc>
            </w:tr>
            <w:tr w:rsidR="00921721" w:rsidRPr="00132C08" w14:paraId="117B9F95"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52A2ACA5"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Year</w:t>
                  </w:r>
                </w:p>
              </w:tc>
              <w:tc>
                <w:tcPr>
                  <w:tcW w:w="876" w:type="dxa"/>
                  <w:tcBorders>
                    <w:top w:val="nil"/>
                    <w:left w:val="nil"/>
                    <w:bottom w:val="single" w:sz="8" w:space="0" w:color="FFFFFF"/>
                    <w:right w:val="single" w:sz="8" w:space="0" w:color="FFFFFF"/>
                  </w:tcBorders>
                  <w:shd w:val="clear" w:color="auto" w:fill="808080" w:themeFill="background1" w:themeFillShade="80"/>
                  <w:vAlign w:val="center"/>
                  <w:hideMark/>
                </w:tcPr>
                <w:p w14:paraId="45C6054A"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2028</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8C5CF6F"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2029</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37B3B037"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2030</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037BEE20"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2031</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446AE152"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2032</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352DA42"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2033</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2C8BFD28" w14:textId="77777777" w:rsidR="00921721" w:rsidRPr="002C6855" w:rsidRDefault="00921721" w:rsidP="00880D09">
                  <w:pPr>
                    <w:jc w:val="center"/>
                    <w:rPr>
                      <w:rFonts w:asciiTheme="minorHAnsi" w:hAnsiTheme="minorHAnsi"/>
                      <w:b/>
                      <w:bCs/>
                      <w:color w:val="FFFFFF"/>
                      <w:sz w:val="18"/>
                      <w:szCs w:val="18"/>
                      <w:lang w:val="en-GB" w:eastAsia="en-GB"/>
                    </w:rPr>
                  </w:pPr>
                  <w:r>
                    <w:rPr>
                      <w:rFonts w:asciiTheme="minorHAnsi" w:hAnsiTheme="minorHAnsi"/>
                      <w:b/>
                      <w:bCs/>
                      <w:color w:val="FFFFFF"/>
                      <w:sz w:val="18"/>
                      <w:szCs w:val="18"/>
                      <w:lang w:val="en-GB" w:eastAsia="en-GB"/>
                    </w:rPr>
                    <w:t>2034</w:t>
                  </w:r>
                </w:p>
              </w:tc>
            </w:tr>
            <w:tr w:rsidR="00921721" w:rsidRPr="00132C08" w14:paraId="6004C16F" w14:textId="77777777" w:rsidTr="00880D09">
              <w:trPr>
                <w:trHeight w:val="201"/>
              </w:trPr>
              <w:tc>
                <w:tcPr>
                  <w:tcW w:w="808"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EA5C582" w14:textId="77777777" w:rsidR="00921721" w:rsidRPr="002C6855" w:rsidRDefault="00921721" w:rsidP="00880D09">
                  <w:pPr>
                    <w:jc w:val="center"/>
                    <w:rPr>
                      <w:rFonts w:asciiTheme="minorHAnsi" w:hAnsiTheme="minorHAnsi"/>
                      <w:color w:val="4F81BD" w:themeColor="accent1"/>
                      <w:sz w:val="18"/>
                      <w:szCs w:val="18"/>
                      <w:lang w:val="en-GB" w:eastAsia="en-GB"/>
                    </w:rPr>
                  </w:pPr>
                  <w:r w:rsidRPr="002C6855">
                    <w:rPr>
                      <w:rFonts w:asciiTheme="minorHAnsi" w:hAnsiTheme="minorHAnsi"/>
                      <w:color w:val="4F81BD" w:themeColor="accent1"/>
                      <w:sz w:val="18"/>
                      <w:szCs w:val="18"/>
                      <w:lang w:val="en-GB" w:eastAsia="en-GB"/>
                    </w:rPr>
                    <w:t>GDP per capita</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4896F6C6"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1.036</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6285EF02"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1.034</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472EFAD7"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1.032</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7059DF25"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1.032</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42D294DD"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1.031</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23A5B708"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1.030</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276B7218"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1.029</w:t>
                  </w:r>
                </w:p>
              </w:tc>
            </w:tr>
            <w:tr w:rsidR="00921721" w:rsidRPr="00132C08" w14:paraId="7B0E8A24"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317D9A70"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Year</w:t>
                  </w:r>
                </w:p>
              </w:tc>
              <w:tc>
                <w:tcPr>
                  <w:tcW w:w="876" w:type="dxa"/>
                  <w:tcBorders>
                    <w:top w:val="nil"/>
                    <w:left w:val="nil"/>
                    <w:bottom w:val="single" w:sz="8" w:space="0" w:color="FFFFFF"/>
                    <w:right w:val="single" w:sz="8" w:space="0" w:color="FFFFFF"/>
                  </w:tcBorders>
                  <w:shd w:val="clear" w:color="auto" w:fill="808080" w:themeFill="background1" w:themeFillShade="80"/>
                  <w:vAlign w:val="center"/>
                  <w:hideMark/>
                </w:tcPr>
                <w:p w14:paraId="3A9A8FBB"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2035</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688D8FE"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2036</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AF95CDE"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2037</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2B6C8D43"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2038</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7E740A4B"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2039</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44BBDFF9"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2040</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768C2FB1" w14:textId="77777777" w:rsidR="00921721" w:rsidRPr="002C6855" w:rsidRDefault="00921721" w:rsidP="00880D09">
                  <w:pPr>
                    <w:jc w:val="center"/>
                    <w:rPr>
                      <w:rFonts w:asciiTheme="minorHAnsi" w:hAnsiTheme="minorHAnsi"/>
                      <w:b/>
                      <w:bCs/>
                      <w:color w:val="FFFFFF"/>
                      <w:sz w:val="18"/>
                      <w:szCs w:val="18"/>
                      <w:lang w:val="en-GB" w:eastAsia="en-GB"/>
                    </w:rPr>
                  </w:pPr>
                  <w:r>
                    <w:rPr>
                      <w:rFonts w:asciiTheme="minorHAnsi" w:hAnsiTheme="minorHAnsi"/>
                      <w:b/>
                      <w:bCs/>
                      <w:color w:val="FFFFFF"/>
                      <w:sz w:val="18"/>
                      <w:szCs w:val="18"/>
                      <w:lang w:val="en-GB" w:eastAsia="en-GB"/>
                    </w:rPr>
                    <w:t>2041</w:t>
                  </w:r>
                </w:p>
              </w:tc>
            </w:tr>
            <w:tr w:rsidR="00921721" w:rsidRPr="00132C08" w14:paraId="70917627"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77D67632" w14:textId="77777777" w:rsidR="00921721" w:rsidRPr="002C6855" w:rsidRDefault="00921721" w:rsidP="00880D09">
                  <w:pPr>
                    <w:jc w:val="center"/>
                    <w:rPr>
                      <w:rFonts w:asciiTheme="minorHAnsi" w:hAnsiTheme="minorHAnsi"/>
                      <w:color w:val="4F81BD" w:themeColor="accent1"/>
                      <w:sz w:val="18"/>
                      <w:szCs w:val="18"/>
                      <w:lang w:val="en-GB" w:eastAsia="en-GB"/>
                    </w:rPr>
                  </w:pPr>
                  <w:r w:rsidRPr="002C6855">
                    <w:rPr>
                      <w:rFonts w:asciiTheme="minorHAnsi" w:hAnsiTheme="minorHAnsi"/>
                      <w:color w:val="4F81BD" w:themeColor="accent1"/>
                      <w:sz w:val="18"/>
                      <w:szCs w:val="18"/>
                      <w:lang w:val="en-GB" w:eastAsia="en-GB"/>
                    </w:rPr>
                    <w:t>GDP per capita</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79814463"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1.029</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6F297D47"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1.028</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25B7FB9D"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1.028</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1E3C8264"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1.027</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1262ED54"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1.026</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78376F6D"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1.025</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01BAA67B"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1.024</w:t>
                  </w:r>
                </w:p>
              </w:tc>
            </w:tr>
            <w:tr w:rsidR="00921721" w:rsidRPr="00132C08" w14:paraId="14C9630C" w14:textId="77777777" w:rsidTr="00880D09">
              <w:trPr>
                <w:trHeight w:val="186"/>
              </w:trPr>
              <w:tc>
                <w:tcPr>
                  <w:tcW w:w="808" w:type="dxa"/>
                  <w:tcBorders>
                    <w:top w:val="nil"/>
                    <w:left w:val="single" w:sz="8" w:space="0" w:color="FFFFFF"/>
                    <w:bottom w:val="single" w:sz="8" w:space="0" w:color="FFFFFF" w:themeColor="background1"/>
                    <w:right w:val="single" w:sz="8" w:space="0" w:color="FFFFFF"/>
                  </w:tcBorders>
                  <w:shd w:val="clear" w:color="auto" w:fill="808080" w:themeFill="background1" w:themeFillShade="80"/>
                  <w:vAlign w:val="center"/>
                  <w:hideMark/>
                </w:tcPr>
                <w:p w14:paraId="176E9C3A" w14:textId="77777777" w:rsidR="00921721" w:rsidRPr="00300B32"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Year</w:t>
                  </w:r>
                </w:p>
              </w:tc>
              <w:tc>
                <w:tcPr>
                  <w:tcW w:w="876" w:type="dxa"/>
                  <w:tcBorders>
                    <w:top w:val="nil"/>
                    <w:left w:val="nil"/>
                    <w:bottom w:val="single" w:sz="8" w:space="0" w:color="FFFFFF" w:themeColor="background1"/>
                    <w:right w:val="single" w:sz="8" w:space="0" w:color="FFFFFF"/>
                  </w:tcBorders>
                  <w:shd w:val="clear" w:color="auto" w:fill="808080" w:themeFill="background1" w:themeFillShade="80"/>
                  <w:vAlign w:val="center"/>
                  <w:hideMark/>
                </w:tcPr>
                <w:p w14:paraId="096C1066"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2042</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11BDDCCB"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2043</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3BCC1304"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2044</w:t>
                  </w:r>
                </w:p>
              </w:tc>
              <w:tc>
                <w:tcPr>
                  <w:tcW w:w="876"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1F024DEE"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2045</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36747642"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2046</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2CE990CD"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2047</w:t>
                  </w:r>
                </w:p>
              </w:tc>
              <w:tc>
                <w:tcPr>
                  <w:tcW w:w="876"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1764E59C"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2048</w:t>
                  </w:r>
                </w:p>
              </w:tc>
            </w:tr>
            <w:tr w:rsidR="00921721" w:rsidRPr="00132C08" w14:paraId="4C8F9CD3"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hideMark/>
                </w:tcPr>
                <w:p w14:paraId="0CE980E1" w14:textId="77777777" w:rsidR="00921721" w:rsidRPr="00030FCB" w:rsidRDefault="00921721" w:rsidP="00880D09">
                  <w:pPr>
                    <w:jc w:val="center"/>
                    <w:rPr>
                      <w:rFonts w:asciiTheme="minorHAnsi" w:hAnsiTheme="minorHAnsi"/>
                      <w:color w:val="4F81BD" w:themeColor="accent1"/>
                      <w:sz w:val="18"/>
                      <w:szCs w:val="18"/>
                      <w:lang w:val="en-GB" w:eastAsia="en-GB"/>
                    </w:rPr>
                  </w:pPr>
                  <w:r w:rsidRPr="00030FCB">
                    <w:rPr>
                      <w:rFonts w:asciiTheme="minorHAnsi" w:hAnsiTheme="minorHAnsi"/>
                      <w:color w:val="4F81BD" w:themeColor="accent1"/>
                      <w:sz w:val="18"/>
                      <w:szCs w:val="18"/>
                      <w:lang w:val="en-GB" w:eastAsia="en-GB"/>
                    </w:rPr>
                    <w:t>GDP per capita</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7501F015"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1.023</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6664463E"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1.023</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2FE7B907"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1.022</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67B208B9"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1.021</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3405907A"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1.021</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5484680B"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76985206"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r>
            <w:tr w:rsidR="00921721" w:rsidRPr="00132C08" w14:paraId="3259F80B"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14:paraId="3C80332E"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Year</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1D382E1A"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0F4D4C60"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2377C9CE"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2051</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585AFE3"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2052</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34B97F51"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2053</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B5616D3"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2054</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0B672AC"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2055</w:t>
                  </w:r>
                </w:p>
              </w:tc>
            </w:tr>
            <w:tr w:rsidR="00921721" w:rsidRPr="00132C08" w14:paraId="3E2C7A71"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408D8361" w14:textId="77777777" w:rsidR="00921721" w:rsidRPr="00030FCB" w:rsidRDefault="00921721" w:rsidP="00880D09">
                  <w:pPr>
                    <w:jc w:val="center"/>
                    <w:rPr>
                      <w:rFonts w:asciiTheme="minorHAnsi" w:hAnsiTheme="minorHAnsi"/>
                      <w:color w:val="4F81BD" w:themeColor="accent1"/>
                      <w:sz w:val="18"/>
                      <w:szCs w:val="18"/>
                      <w:lang w:val="en-GB" w:eastAsia="en-GB"/>
                    </w:rPr>
                  </w:pPr>
                  <w:r w:rsidRPr="00030FCB">
                    <w:rPr>
                      <w:rFonts w:asciiTheme="minorHAnsi" w:hAnsiTheme="minorHAnsi"/>
                      <w:color w:val="4F81BD" w:themeColor="accent1"/>
                      <w:sz w:val="18"/>
                      <w:szCs w:val="18"/>
                      <w:lang w:val="en-GB" w:eastAsia="en-GB"/>
                    </w:rPr>
                    <w:t>GDP per capita</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0FF601B9"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6BACD5BE"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6090DB6C"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303EB2C0"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705C3488"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1C583BDF"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7FFD943A"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r>
            <w:tr w:rsidR="00921721" w:rsidRPr="00132C08" w14:paraId="318194DD"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14:paraId="4B62272D"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Year</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0F85D94B"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2056</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1CEDD3F6"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2057</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6AE9434E"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2058</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11C7F75B"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3F6926D0"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2060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002E1B7" w14:textId="77777777" w:rsidR="00921721" w:rsidRPr="00030FCB" w:rsidRDefault="00921721" w:rsidP="00880D09">
                  <w:pPr>
                    <w:jc w:val="center"/>
                    <w:rPr>
                      <w:rFonts w:asciiTheme="minorHAnsi" w:hAnsiTheme="minorHAnsi"/>
                      <w:b/>
                      <w:bCs/>
                      <w:color w:val="FFFFFF"/>
                      <w:sz w:val="18"/>
                      <w:szCs w:val="18"/>
                      <w:lang w:val="en-GB" w:eastAsia="en-GB"/>
                    </w:rPr>
                  </w:pP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999EF63" w14:textId="77777777" w:rsidR="00921721" w:rsidRPr="00030FCB" w:rsidRDefault="00921721" w:rsidP="00880D09">
                  <w:pPr>
                    <w:jc w:val="center"/>
                    <w:rPr>
                      <w:rFonts w:asciiTheme="minorHAnsi" w:hAnsiTheme="minorHAnsi"/>
                      <w:b/>
                      <w:bCs/>
                      <w:color w:val="FFFFFF"/>
                      <w:sz w:val="18"/>
                      <w:szCs w:val="18"/>
                      <w:lang w:val="en-GB" w:eastAsia="en-GB"/>
                    </w:rPr>
                  </w:pPr>
                </w:p>
              </w:tc>
            </w:tr>
            <w:tr w:rsidR="00921721" w:rsidRPr="00132C08" w14:paraId="1C97521E"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5338AB57" w14:textId="77777777" w:rsidR="00921721" w:rsidRPr="00030FCB" w:rsidRDefault="00921721" w:rsidP="00880D09">
                  <w:pPr>
                    <w:jc w:val="center"/>
                    <w:rPr>
                      <w:rFonts w:asciiTheme="minorHAnsi" w:hAnsiTheme="minorHAnsi"/>
                      <w:color w:val="4F81BD" w:themeColor="accent1"/>
                      <w:sz w:val="18"/>
                      <w:szCs w:val="18"/>
                      <w:lang w:val="en-GB" w:eastAsia="en-GB"/>
                    </w:rPr>
                  </w:pPr>
                  <w:r w:rsidRPr="00030FCB">
                    <w:rPr>
                      <w:rFonts w:asciiTheme="minorHAnsi" w:hAnsiTheme="minorHAnsi"/>
                      <w:color w:val="4F81BD" w:themeColor="accent1"/>
                      <w:sz w:val="18"/>
                      <w:szCs w:val="18"/>
                      <w:lang w:val="en-GB" w:eastAsia="en-GB"/>
                    </w:rPr>
                    <w:t>GDP per capita</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40120644"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0E873A7E"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74DBBACD"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2C9A522B"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374F13AA" w14:textId="77777777" w:rsidR="00921721" w:rsidRPr="007463B9" w:rsidRDefault="00921721" w:rsidP="00880D09">
                  <w:pPr>
                    <w:jc w:val="center"/>
                    <w:rPr>
                      <w:rFonts w:asciiTheme="minorHAnsi" w:hAnsiTheme="minorHAnsi"/>
                      <w:color w:val="4F81BD" w:themeColor="accent1"/>
                      <w:sz w:val="18"/>
                      <w:szCs w:val="18"/>
                      <w:lang w:eastAsia="en-GB"/>
                    </w:rPr>
                  </w:pPr>
                  <w:r w:rsidRPr="007463B9">
                    <w:rPr>
                      <w:rFonts w:asciiTheme="minorHAnsi" w:hAnsiTheme="minorHAnsi"/>
                      <w:color w:val="4F81BD" w:themeColor="accent1"/>
                      <w:sz w:val="18"/>
                      <w:szCs w:val="18"/>
                      <w:lang w:eastAsia="en-GB"/>
                    </w:rPr>
                    <w:t>1.021</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6FB224A4" w14:textId="77777777" w:rsidR="00921721" w:rsidRPr="007463B9" w:rsidRDefault="00921721" w:rsidP="00880D09">
                  <w:pPr>
                    <w:jc w:val="center"/>
                    <w:rPr>
                      <w:rFonts w:asciiTheme="minorHAnsi" w:hAnsiTheme="minorHAnsi"/>
                      <w:color w:val="4F81BD" w:themeColor="accent1"/>
                      <w:sz w:val="18"/>
                      <w:szCs w:val="18"/>
                      <w:lang w:eastAsia="en-GB"/>
                    </w:rPr>
                  </w:pP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20349726" w14:textId="77777777" w:rsidR="00921721" w:rsidRPr="007463B9" w:rsidRDefault="00921721" w:rsidP="00880D09">
                  <w:pPr>
                    <w:jc w:val="center"/>
                    <w:rPr>
                      <w:rFonts w:asciiTheme="minorHAnsi" w:hAnsiTheme="minorHAnsi"/>
                      <w:color w:val="4F81BD" w:themeColor="accent1"/>
                      <w:sz w:val="18"/>
                      <w:szCs w:val="18"/>
                      <w:lang w:eastAsia="en-GB"/>
                    </w:rPr>
                  </w:pPr>
                </w:p>
              </w:tc>
            </w:tr>
          </w:tbl>
          <w:p w14:paraId="7435FD0C" w14:textId="77777777" w:rsidR="00921721" w:rsidRPr="007463B9" w:rsidRDefault="00921721" w:rsidP="00880D09">
            <w:pPr>
              <w:spacing w:before="120"/>
              <w:ind w:right="170"/>
              <w:jc w:val="both"/>
              <w:rPr>
                <w:rFonts w:asciiTheme="minorHAnsi" w:hAnsiTheme="minorHAnsi" w:cs="Arial"/>
                <w:b/>
                <w:i/>
                <w:sz w:val="16"/>
                <w:szCs w:val="16"/>
              </w:rPr>
            </w:pPr>
            <w:r w:rsidRPr="007463B9">
              <w:rPr>
                <w:rFonts w:asciiTheme="minorHAnsi" w:hAnsiTheme="minorHAnsi" w:cs="Arial"/>
                <w:b/>
                <w:i/>
                <w:sz w:val="16"/>
                <w:szCs w:val="16"/>
              </w:rPr>
              <w:t xml:space="preserve">Source: CUPT </w:t>
            </w:r>
            <w:proofErr w:type="spellStart"/>
            <w:r w:rsidRPr="007463B9">
              <w:rPr>
                <w:rFonts w:asciiTheme="minorHAnsi" w:hAnsiTheme="minorHAnsi" w:cs="Arial"/>
                <w:b/>
                <w:i/>
                <w:sz w:val="16"/>
                <w:szCs w:val="16"/>
              </w:rPr>
              <w:t>own</w:t>
            </w:r>
            <w:proofErr w:type="spellEnd"/>
            <w:r w:rsidRPr="007463B9">
              <w:rPr>
                <w:rFonts w:asciiTheme="minorHAnsi" w:hAnsiTheme="minorHAnsi" w:cs="Arial"/>
                <w:b/>
                <w:i/>
                <w:sz w:val="16"/>
                <w:szCs w:val="16"/>
              </w:rPr>
              <w:t xml:space="preserve"> </w:t>
            </w:r>
            <w:proofErr w:type="spellStart"/>
            <w:r w:rsidRPr="007463B9">
              <w:rPr>
                <w:rFonts w:asciiTheme="minorHAnsi" w:hAnsiTheme="minorHAnsi" w:cs="Arial"/>
                <w:b/>
                <w:i/>
                <w:sz w:val="16"/>
                <w:szCs w:val="16"/>
              </w:rPr>
              <w:t>work</w:t>
            </w:r>
            <w:proofErr w:type="spellEnd"/>
            <w:r w:rsidRPr="007463B9">
              <w:rPr>
                <w:rFonts w:asciiTheme="minorHAnsi" w:hAnsiTheme="minorHAnsi" w:cs="Arial"/>
                <w:b/>
                <w:i/>
                <w:sz w:val="16"/>
                <w:szCs w:val="16"/>
              </w:rPr>
              <w:t xml:space="preserve"> </w:t>
            </w:r>
            <w:proofErr w:type="spellStart"/>
            <w:r w:rsidRPr="007463B9">
              <w:rPr>
                <w:rFonts w:asciiTheme="minorHAnsi" w:hAnsiTheme="minorHAnsi" w:cs="Arial"/>
                <w:b/>
                <w:i/>
                <w:sz w:val="16"/>
                <w:szCs w:val="16"/>
              </w:rPr>
              <w:t>based</w:t>
            </w:r>
            <w:proofErr w:type="spellEnd"/>
            <w:r w:rsidRPr="007463B9">
              <w:rPr>
                <w:rFonts w:asciiTheme="minorHAnsi" w:hAnsiTheme="minorHAnsi" w:cs="Arial"/>
                <w:b/>
                <w:i/>
                <w:sz w:val="16"/>
                <w:szCs w:val="16"/>
              </w:rPr>
              <w:t xml:space="preserve"> on Wytyczne dotyczące stosowania jednolitych wskaźników makroekonomicznych będących podstawą oszacowania skutków finansowych projektowanych ustaw, Minister Finansów, 31 sierpnia 2021 r. https://www.gov.pl/web/finanse/wytyczne-sytuacja-makroekonomiczna </w:t>
            </w:r>
          </w:p>
          <w:p w14:paraId="56399F62" w14:textId="77777777" w:rsidR="00921721" w:rsidRPr="007463B9" w:rsidRDefault="00921721" w:rsidP="00880D09">
            <w:pPr>
              <w:ind w:right="170"/>
              <w:jc w:val="both"/>
              <w:rPr>
                <w:rFonts w:asciiTheme="minorHAnsi" w:hAnsiTheme="minorHAnsi" w:cs="Arial"/>
                <w:sz w:val="16"/>
                <w:szCs w:val="16"/>
              </w:rPr>
            </w:pPr>
          </w:p>
          <w:p w14:paraId="7BA44D56" w14:textId="77777777" w:rsidR="00921721" w:rsidRPr="007463B9" w:rsidRDefault="00921721" w:rsidP="00880D09">
            <w:pPr>
              <w:ind w:right="170"/>
              <w:jc w:val="both"/>
              <w:rPr>
                <w:rFonts w:asciiTheme="minorHAnsi" w:hAnsiTheme="minorHAnsi" w:cs="Arial"/>
                <w:sz w:val="16"/>
                <w:szCs w:val="16"/>
              </w:rPr>
            </w:pPr>
          </w:p>
          <w:p w14:paraId="6937DB2B" w14:textId="77777777" w:rsidR="00921721" w:rsidRPr="007463B9" w:rsidRDefault="00921721" w:rsidP="00880D09">
            <w:pPr>
              <w:ind w:right="170"/>
              <w:jc w:val="both"/>
              <w:rPr>
                <w:rFonts w:asciiTheme="minorHAnsi" w:hAnsiTheme="minorHAnsi" w:cs="Arial"/>
                <w:sz w:val="16"/>
                <w:szCs w:val="16"/>
              </w:rPr>
            </w:pPr>
          </w:p>
          <w:p w14:paraId="1EDFF570" w14:textId="77777777" w:rsidR="00921721" w:rsidRPr="007463B9" w:rsidRDefault="00921721" w:rsidP="00880D09">
            <w:pPr>
              <w:ind w:right="170"/>
              <w:jc w:val="both"/>
              <w:rPr>
                <w:rFonts w:asciiTheme="minorHAnsi" w:hAnsiTheme="minorHAnsi" w:cs="Arial"/>
                <w:sz w:val="16"/>
                <w:szCs w:val="16"/>
              </w:rPr>
            </w:pPr>
          </w:p>
          <w:p w14:paraId="10D783FC" w14:textId="77777777" w:rsidR="00921721" w:rsidRPr="007463B9" w:rsidRDefault="00921721" w:rsidP="00880D09">
            <w:pPr>
              <w:ind w:right="170"/>
              <w:jc w:val="both"/>
              <w:rPr>
                <w:rFonts w:asciiTheme="minorHAnsi" w:hAnsiTheme="minorHAnsi" w:cs="Arial"/>
                <w:sz w:val="16"/>
                <w:szCs w:val="16"/>
              </w:rPr>
            </w:pPr>
          </w:p>
          <w:p w14:paraId="36EF1A29" w14:textId="77777777" w:rsidR="00921721" w:rsidRPr="007463B9" w:rsidRDefault="00921721" w:rsidP="00880D09">
            <w:pPr>
              <w:ind w:right="170"/>
              <w:jc w:val="both"/>
              <w:rPr>
                <w:rFonts w:asciiTheme="minorHAnsi" w:hAnsiTheme="minorHAnsi" w:cs="Arial"/>
                <w:sz w:val="16"/>
                <w:szCs w:val="16"/>
              </w:rPr>
            </w:pPr>
          </w:p>
          <w:p w14:paraId="0DCB78E7" w14:textId="77777777" w:rsidR="00921721" w:rsidRPr="007463B9" w:rsidRDefault="00921721" w:rsidP="00880D09">
            <w:pPr>
              <w:ind w:right="170"/>
              <w:jc w:val="both"/>
              <w:rPr>
                <w:rFonts w:asciiTheme="minorHAnsi" w:hAnsiTheme="minorHAnsi" w:cs="Arial"/>
                <w:sz w:val="16"/>
                <w:szCs w:val="16"/>
              </w:rPr>
            </w:pPr>
          </w:p>
          <w:p w14:paraId="51E9FFDF" w14:textId="77777777" w:rsidR="00921721" w:rsidRPr="007463B9" w:rsidRDefault="00921721" w:rsidP="00880D09">
            <w:pPr>
              <w:ind w:right="170"/>
              <w:jc w:val="both"/>
              <w:rPr>
                <w:rFonts w:asciiTheme="minorHAnsi" w:hAnsiTheme="minorHAnsi" w:cs="Arial"/>
                <w:sz w:val="16"/>
                <w:szCs w:val="16"/>
              </w:rPr>
            </w:pPr>
          </w:p>
          <w:p w14:paraId="1909F291" w14:textId="77777777" w:rsidR="00921721" w:rsidRPr="007463B9" w:rsidRDefault="00921721" w:rsidP="00880D09">
            <w:pPr>
              <w:ind w:right="170"/>
              <w:jc w:val="both"/>
              <w:rPr>
                <w:rFonts w:asciiTheme="minorHAnsi" w:hAnsiTheme="minorHAnsi" w:cs="Arial"/>
                <w:sz w:val="16"/>
                <w:szCs w:val="16"/>
              </w:rPr>
            </w:pPr>
          </w:p>
          <w:p w14:paraId="2DAB7560" w14:textId="77777777" w:rsidR="00921721" w:rsidRPr="007463B9" w:rsidRDefault="00921721" w:rsidP="00880D09">
            <w:pPr>
              <w:ind w:right="170"/>
              <w:jc w:val="both"/>
              <w:rPr>
                <w:rFonts w:asciiTheme="minorHAnsi" w:hAnsiTheme="minorHAnsi" w:cs="Arial"/>
                <w:sz w:val="16"/>
                <w:szCs w:val="16"/>
              </w:rPr>
            </w:pPr>
          </w:p>
          <w:p w14:paraId="25C2AF68" w14:textId="77777777" w:rsidR="00921721" w:rsidRPr="007463B9" w:rsidRDefault="00921721" w:rsidP="00880D09">
            <w:pPr>
              <w:ind w:right="170"/>
              <w:jc w:val="both"/>
              <w:rPr>
                <w:rFonts w:asciiTheme="minorHAnsi" w:hAnsiTheme="minorHAnsi" w:cs="Arial"/>
                <w:sz w:val="16"/>
                <w:szCs w:val="16"/>
              </w:rPr>
            </w:pPr>
          </w:p>
          <w:p w14:paraId="38CFDFDB" w14:textId="77777777" w:rsidR="00921721" w:rsidRPr="007463B9" w:rsidRDefault="00921721" w:rsidP="00880D09">
            <w:pPr>
              <w:ind w:right="170"/>
              <w:jc w:val="both"/>
              <w:rPr>
                <w:rFonts w:asciiTheme="minorHAnsi" w:hAnsiTheme="minorHAnsi" w:cs="Arial"/>
                <w:sz w:val="16"/>
                <w:szCs w:val="16"/>
              </w:rPr>
            </w:pPr>
          </w:p>
          <w:p w14:paraId="19CB9B72" w14:textId="77777777" w:rsidR="00921721" w:rsidRPr="00296507" w:rsidRDefault="00921721" w:rsidP="00880D09">
            <w:pPr>
              <w:pStyle w:val="anxnormal"/>
              <w:spacing w:before="0"/>
              <w:ind w:left="0"/>
              <w:rPr>
                <w:rFonts w:asciiTheme="minorHAnsi" w:hAnsiTheme="minorHAnsi" w:cs="Arial-Narrow,Bold"/>
                <w:b/>
                <w:bCs/>
                <w:color w:val="4F81BD" w:themeColor="accent1"/>
                <w:sz w:val="23"/>
                <w:szCs w:val="23"/>
                <w:lang w:val="en-GB" w:eastAsia="en-GB"/>
              </w:rPr>
            </w:pPr>
            <w:r w:rsidRPr="00296507">
              <w:rPr>
                <w:rFonts w:asciiTheme="minorHAnsi" w:hAnsiTheme="minorHAnsi" w:cs="Arial-Narrow,Bold"/>
                <w:b/>
                <w:bCs/>
                <w:color w:val="4F81BD" w:themeColor="accent1"/>
                <w:sz w:val="23"/>
                <w:szCs w:val="23"/>
                <w:lang w:val="en-GB" w:eastAsia="en-GB"/>
              </w:rPr>
              <w:lastRenderedPageBreak/>
              <w:t>3. Costs of</w:t>
            </w:r>
            <w:r>
              <w:rPr>
                <w:rFonts w:asciiTheme="minorHAnsi" w:hAnsiTheme="minorHAnsi" w:cs="Arial-Narrow,Bold"/>
                <w:b/>
                <w:bCs/>
                <w:color w:val="4F81BD" w:themeColor="accent1"/>
                <w:sz w:val="23"/>
                <w:szCs w:val="23"/>
                <w:lang w:val="en-GB" w:eastAsia="en-GB"/>
              </w:rPr>
              <w:t xml:space="preserve"> transport</w:t>
            </w:r>
            <w:r w:rsidRPr="00296507">
              <w:rPr>
                <w:rFonts w:asciiTheme="minorHAnsi" w:hAnsiTheme="minorHAnsi" w:cs="Arial-Narrow,Bold"/>
                <w:b/>
                <w:bCs/>
                <w:color w:val="4F81BD" w:themeColor="accent1"/>
                <w:sz w:val="23"/>
                <w:szCs w:val="23"/>
                <w:lang w:val="en-GB" w:eastAsia="en-GB"/>
              </w:rPr>
              <w:t xml:space="preserve"> </w:t>
            </w:r>
            <w:r>
              <w:rPr>
                <w:rFonts w:asciiTheme="minorHAnsi" w:hAnsiTheme="minorHAnsi" w:cs="Arial-Narrow,Bold"/>
                <w:b/>
                <w:bCs/>
                <w:color w:val="4F81BD" w:themeColor="accent1"/>
                <w:sz w:val="23"/>
                <w:szCs w:val="23"/>
                <w:lang w:val="en-GB" w:eastAsia="en-GB"/>
              </w:rPr>
              <w:t>infrastructure users’</w:t>
            </w:r>
            <w:r w:rsidRPr="00296507">
              <w:rPr>
                <w:rFonts w:asciiTheme="minorHAnsi" w:hAnsiTheme="minorHAnsi" w:cs="Arial-Narrow,Bold"/>
                <w:b/>
                <w:bCs/>
                <w:color w:val="4F81BD" w:themeColor="accent1"/>
                <w:sz w:val="23"/>
                <w:szCs w:val="23"/>
                <w:lang w:val="en-GB" w:eastAsia="en-GB"/>
              </w:rPr>
              <w:t xml:space="preserve"> time</w:t>
            </w:r>
          </w:p>
          <w:p w14:paraId="33171172" w14:textId="77777777" w:rsidR="00921721" w:rsidRPr="00F13EAB" w:rsidRDefault="00921721" w:rsidP="00880D09">
            <w:pPr>
              <w:pStyle w:val="anxnormal"/>
              <w:spacing w:before="60" w:after="60"/>
              <w:ind w:left="0"/>
              <w:rPr>
                <w:rFonts w:asciiTheme="minorHAnsi" w:hAnsiTheme="minorHAnsi"/>
                <w:lang w:val="en-GB" w:eastAsia="en-US"/>
              </w:rPr>
            </w:pPr>
            <w:r w:rsidRPr="00F13EAB">
              <w:rPr>
                <w:rFonts w:asciiTheme="minorHAnsi" w:hAnsiTheme="minorHAnsi"/>
                <w:lang w:val="en-GB" w:eastAsia="en-US"/>
              </w:rPr>
              <w:t>Unit costs of time (PLN/h), prices 2021</w:t>
            </w:r>
          </w:p>
          <w:tbl>
            <w:tblPr>
              <w:tblW w:w="6892" w:type="dxa"/>
              <w:tblLayout w:type="fixed"/>
              <w:tblLook w:val="04A0" w:firstRow="1" w:lastRow="0" w:firstColumn="1" w:lastColumn="0" w:noHBand="0" w:noVBand="1"/>
            </w:tblPr>
            <w:tblGrid>
              <w:gridCol w:w="640"/>
              <w:gridCol w:w="1366"/>
              <w:gridCol w:w="1378"/>
              <w:gridCol w:w="1356"/>
              <w:gridCol w:w="2152"/>
            </w:tblGrid>
            <w:tr w:rsidR="00921721" w:rsidRPr="007463B9" w14:paraId="6DE60920" w14:textId="77777777" w:rsidTr="00880D09">
              <w:trPr>
                <w:trHeight w:val="334"/>
              </w:trPr>
              <w:tc>
                <w:tcPr>
                  <w:tcW w:w="640"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70522A0" w14:textId="77777777" w:rsidR="00921721" w:rsidRPr="00F13EAB" w:rsidRDefault="00921721" w:rsidP="00880D09">
                  <w:pPr>
                    <w:snapToGrid w:val="0"/>
                    <w:jc w:val="center"/>
                    <w:rPr>
                      <w:rFonts w:asciiTheme="minorHAnsi" w:hAnsiTheme="minorHAnsi" w:cs="Arial"/>
                      <w:b/>
                      <w:bCs/>
                      <w:color w:val="FFFFFF"/>
                      <w:sz w:val="15"/>
                      <w:szCs w:val="15"/>
                    </w:rPr>
                  </w:pPr>
                  <w:proofErr w:type="spellStart"/>
                  <w:r w:rsidRPr="00F13EAB">
                    <w:rPr>
                      <w:rFonts w:asciiTheme="minorHAnsi" w:hAnsiTheme="minorHAnsi" w:cs="Arial"/>
                      <w:b/>
                      <w:bCs/>
                      <w:color w:val="FFFFFF"/>
                      <w:sz w:val="15"/>
                      <w:szCs w:val="15"/>
                    </w:rPr>
                    <w:t>Years</w:t>
                  </w:r>
                  <w:proofErr w:type="spellEnd"/>
                </w:p>
              </w:tc>
              <w:tc>
                <w:tcPr>
                  <w:tcW w:w="4100" w:type="dxa"/>
                  <w:gridSpan w:val="3"/>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B0E104B"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The hourly rate of passengers and drivers travel (PLN/h)</w:t>
                  </w:r>
                </w:p>
              </w:tc>
              <w:tc>
                <w:tcPr>
                  <w:tcW w:w="2152"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593E19E" w14:textId="77777777" w:rsidR="00921721"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The hourly rate of</w:t>
                  </w:r>
                  <w:r>
                    <w:rPr>
                      <w:rFonts w:asciiTheme="minorHAnsi" w:hAnsiTheme="minorHAnsi" w:cs="Arial"/>
                      <w:b/>
                      <w:bCs/>
                      <w:color w:val="FFFFFF"/>
                      <w:sz w:val="15"/>
                      <w:szCs w:val="15"/>
                      <w:lang w:val="en-GB"/>
                    </w:rPr>
                    <w:t xml:space="preserve"> road</w:t>
                  </w:r>
                  <w:r w:rsidRPr="00F13EAB">
                    <w:rPr>
                      <w:rFonts w:asciiTheme="minorHAnsi" w:hAnsiTheme="minorHAnsi" w:cs="Arial"/>
                      <w:b/>
                      <w:bCs/>
                      <w:color w:val="FFFFFF"/>
                      <w:sz w:val="15"/>
                      <w:szCs w:val="15"/>
                      <w:lang w:val="en-GB"/>
                    </w:rPr>
                    <w:t xml:space="preserve"> </w:t>
                  </w:r>
                </w:p>
                <w:p w14:paraId="3543321B"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freight (PLN/h)</w:t>
                  </w:r>
                </w:p>
              </w:tc>
            </w:tr>
            <w:tr w:rsidR="00921721" w:rsidRPr="007463B9" w14:paraId="6FD2F963" w14:textId="77777777" w:rsidTr="00880D09">
              <w:trPr>
                <w:trHeight w:hRule="exact" w:val="377"/>
              </w:trPr>
              <w:tc>
                <w:tcPr>
                  <w:tcW w:w="640"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CF9103B" w14:textId="77777777" w:rsidR="00921721" w:rsidRPr="00F13EAB" w:rsidRDefault="00921721" w:rsidP="00880D09">
                  <w:pPr>
                    <w:jc w:val="center"/>
                    <w:rPr>
                      <w:rFonts w:asciiTheme="minorHAnsi" w:hAnsiTheme="minorHAnsi" w:cs="Arial"/>
                      <w:b/>
                      <w:bCs/>
                      <w:color w:val="FFFFFF"/>
                      <w:sz w:val="15"/>
                      <w:szCs w:val="15"/>
                      <w:lang w:val="en-GB"/>
                    </w:rPr>
                  </w:pPr>
                </w:p>
              </w:tc>
              <w:tc>
                <w:tcPr>
                  <w:tcW w:w="136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9F067CB"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Business</w:t>
                  </w:r>
                </w:p>
              </w:tc>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CAD812"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Commuting</w:t>
                  </w:r>
                </w:p>
              </w:tc>
              <w:tc>
                <w:tcPr>
                  <w:tcW w:w="135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ED01802"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Other</w:t>
                  </w:r>
                </w:p>
              </w:tc>
              <w:tc>
                <w:tcPr>
                  <w:tcW w:w="2152"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35ED07" w14:textId="77777777" w:rsidR="00921721" w:rsidRPr="00F13EAB" w:rsidRDefault="00921721" w:rsidP="00880D09">
                  <w:pPr>
                    <w:jc w:val="center"/>
                    <w:rPr>
                      <w:rFonts w:asciiTheme="minorHAnsi" w:hAnsiTheme="minorHAnsi" w:cs="Arial"/>
                      <w:b/>
                      <w:bCs/>
                      <w:color w:val="FFFFFF"/>
                      <w:sz w:val="15"/>
                      <w:szCs w:val="15"/>
                      <w:lang w:val="en-GB"/>
                    </w:rPr>
                  </w:pPr>
                </w:p>
              </w:tc>
            </w:tr>
            <w:tr w:rsidR="00921721" w:rsidRPr="007463B9" w14:paraId="639D3B3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B62E9F"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2753B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103.10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C3780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52.27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E0C1F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46.51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7E129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103.10</w:t>
                  </w:r>
                </w:p>
              </w:tc>
            </w:tr>
            <w:tr w:rsidR="00921721" w:rsidRPr="007463B9" w14:paraId="52409DB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F4DA6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6BC18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105.73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ECAB5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53.60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760B2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47.69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961217"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105.73</w:t>
                  </w:r>
                </w:p>
              </w:tc>
            </w:tr>
            <w:tr w:rsidR="00921721" w:rsidRPr="007463B9" w14:paraId="71EEE4F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3EEAF5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C9D99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108.26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ACB9F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54.88</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67F3B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48.84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FE1817"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108.26</w:t>
                  </w:r>
                </w:p>
              </w:tc>
            </w:tr>
            <w:tr w:rsidR="00921721" w:rsidRPr="007463B9" w14:paraId="12AD384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D219C3"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3345C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110.38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099BF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55.96</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B1526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49.79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B34D66"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110.38</w:t>
                  </w:r>
                </w:p>
              </w:tc>
            </w:tr>
            <w:tr w:rsidR="00921721" w:rsidRPr="007463B9" w14:paraId="67E2D1F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A55610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7708F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112.44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9A03FB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57.00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B8B0E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50.72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67B04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112.44</w:t>
                  </w:r>
                </w:p>
              </w:tc>
            </w:tr>
            <w:tr w:rsidR="00921721" w:rsidRPr="007463B9" w14:paraId="1CBC2BB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9DA45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B716A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114.55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ED6F4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58.07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D2790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7A5FDB"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114.55</w:t>
                  </w:r>
                </w:p>
              </w:tc>
            </w:tr>
            <w:tr w:rsidR="00921721" w:rsidRPr="007463B9" w14:paraId="658F04A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E55561"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0964E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708C5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59.17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C5D0A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52.65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E1B2A3"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116.71</w:t>
                  </w:r>
                </w:p>
              </w:tc>
            </w:tr>
            <w:tr w:rsidR="00921721" w:rsidRPr="007463B9" w14:paraId="16269B1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B395E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89863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118.87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EEF60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60.26</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6027C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53.62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E3E074"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118.87</w:t>
                  </w:r>
                </w:p>
              </w:tc>
            </w:tr>
            <w:tr w:rsidR="00921721" w:rsidRPr="007463B9" w14:paraId="7CC2320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183F68"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455D4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121.01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179D1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61.34</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F18B2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54.59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758D8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121.01</w:t>
                  </w:r>
                </w:p>
              </w:tc>
            </w:tr>
            <w:tr w:rsidR="00921721" w:rsidRPr="007463B9" w14:paraId="6ECDA8F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0712A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63B3A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123.08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EF50A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62.39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F6DC3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55.52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A6BA60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123.08</w:t>
                  </w:r>
                </w:p>
              </w:tc>
            </w:tr>
            <w:tr w:rsidR="00921721" w:rsidRPr="007463B9" w14:paraId="2EB864E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D81C0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7B8A5D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125.08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BF0CC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63.41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595EA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56.42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90B68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125.08</w:t>
                  </w:r>
                </w:p>
              </w:tc>
            </w:tr>
            <w:tr w:rsidR="00921721" w:rsidRPr="007463B9" w14:paraId="26CE675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03499B"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2BA3C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127.06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37463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64.41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8C760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57.31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99D008"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127.06</w:t>
                  </w:r>
                </w:p>
              </w:tc>
            </w:tr>
            <w:tr w:rsidR="00921721" w:rsidRPr="007463B9" w14:paraId="2BD1188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5E9944"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2AB5C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129.01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8D22C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65.40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7B498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58.19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9C0FDA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129.01</w:t>
                  </w:r>
                </w:p>
              </w:tc>
            </w:tr>
            <w:tr w:rsidR="00921721" w:rsidRPr="007463B9" w14:paraId="150FB26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A62FB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5801B1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130.95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9C75B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66.38</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5C82A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59.07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0E5CEC"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130.95</w:t>
                  </w:r>
                </w:p>
              </w:tc>
            </w:tr>
            <w:tr w:rsidR="00921721" w:rsidRPr="007463B9" w14:paraId="0913531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3C368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05488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132.85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BBB78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67.35</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7BE1F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59.93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98EEF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132.85</w:t>
                  </w:r>
                </w:p>
              </w:tc>
            </w:tr>
            <w:tr w:rsidR="00921721" w:rsidRPr="007463B9" w14:paraId="1B1A80C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67746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E914C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134.80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CE876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68.33</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2C8ED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60.80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6FEE6D"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134.80</w:t>
                  </w:r>
                </w:p>
              </w:tc>
            </w:tr>
            <w:tr w:rsidR="00921721" w:rsidRPr="007463B9" w14:paraId="7D42D45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CC019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66279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08CF7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69.30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0C411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297A3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136.71</w:t>
                  </w:r>
                </w:p>
              </w:tc>
            </w:tr>
            <w:tr w:rsidR="00921721" w:rsidRPr="007463B9" w14:paraId="5CA7596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D9F71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FE7DD4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D20DD0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70.26</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CC7FD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62.51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051C962"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138.59</w:t>
                  </w:r>
                </w:p>
              </w:tc>
            </w:tr>
            <w:tr w:rsidR="00921721" w:rsidRPr="007463B9" w14:paraId="7BDEDAC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1D324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1F046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140.43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F8636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71.19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0AD9B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63.35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4EECC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140.43</w:t>
                  </w:r>
                </w:p>
              </w:tc>
            </w:tr>
            <w:tr w:rsidR="00921721" w:rsidRPr="007463B9" w14:paraId="13DC5A2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7BAC3B"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68B263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142.24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346744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72.10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E6E51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64.16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F05AE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142.24</w:t>
                  </w:r>
                </w:p>
              </w:tc>
            </w:tr>
            <w:tr w:rsidR="00921721" w:rsidRPr="007463B9" w14:paraId="5E679FF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7BB59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F2C59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144.00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91FF6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73.00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FEEC73" w14:textId="77777777" w:rsidR="00921721" w:rsidRPr="00F13EAB" w:rsidRDefault="00921721" w:rsidP="00880D09">
                  <w:pPr>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64.96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C1EB2B"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144.00</w:t>
                  </w:r>
                </w:p>
              </w:tc>
            </w:tr>
            <w:tr w:rsidR="00921721" w:rsidRPr="007463B9" w14:paraId="6667782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70D4A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9A98D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145.71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E5E38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73.87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562B5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65.73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ECAD55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145.71</w:t>
                  </w:r>
                </w:p>
              </w:tc>
            </w:tr>
            <w:tr w:rsidR="00921721" w:rsidRPr="007463B9" w14:paraId="153A15B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7901D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48DCF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147.38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50CDB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74.71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F18A8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66.48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5C1FBB"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147.38</w:t>
                  </w:r>
                </w:p>
              </w:tc>
            </w:tr>
            <w:tr w:rsidR="00921721" w:rsidRPr="007463B9" w14:paraId="2ED102E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60AE1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040F5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149.07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CE164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75.57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38DA0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67.24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107E7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149.07</w:t>
                  </w:r>
                </w:p>
              </w:tc>
            </w:tr>
            <w:tr w:rsidR="00921721" w:rsidRPr="007463B9" w14:paraId="6817FB6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697066"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09C50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150.71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D8A4C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76.40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36ADE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BA4C9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150.71</w:t>
                  </w:r>
                </w:p>
              </w:tc>
            </w:tr>
            <w:tr w:rsidR="00921721" w:rsidRPr="007463B9" w14:paraId="01B6D7A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14055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1CD40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152.29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FF2E6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77.20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A48DD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68.70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E2828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152.29</w:t>
                  </w:r>
                </w:p>
              </w:tc>
            </w:tr>
            <w:tr w:rsidR="00921721" w:rsidRPr="007463B9" w14:paraId="6D97445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7AF9C1"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CC38C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153.90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AB2F1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78.01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3973E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69.42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20E8F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153.90</w:t>
                  </w:r>
                </w:p>
              </w:tc>
            </w:tr>
            <w:tr w:rsidR="00921721" w:rsidRPr="007463B9" w14:paraId="38B2B9F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24D4C7"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03D22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155.44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A1DF4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78.80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00BBEE"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70.1</w:t>
                  </w:r>
                  <w:r>
                    <w:rPr>
                      <w:rFonts w:asciiTheme="minorHAnsi" w:hAnsiTheme="minorHAnsi"/>
                      <w:color w:val="4F81BD" w:themeColor="accent1"/>
                      <w:sz w:val="15"/>
                      <w:szCs w:val="15"/>
                      <w:lang w:val="en-GB"/>
                    </w:rPr>
                    <w:t>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367853"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155.44</w:t>
                  </w:r>
                </w:p>
              </w:tc>
            </w:tr>
            <w:tr w:rsidR="00921721" w:rsidRPr="007463B9" w14:paraId="7D265B3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95A402"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C1A1B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157.01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64C94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79.59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E8AC22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70.82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47E4EE"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157.01</w:t>
                  </w:r>
                </w:p>
              </w:tc>
            </w:tr>
            <w:tr w:rsidR="00921721" w:rsidRPr="007463B9" w14:paraId="0F1B552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866E9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74DDC2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0334E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80.39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31099D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71.54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EAC1D7"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158.59</w:t>
                  </w:r>
                </w:p>
              </w:tc>
            </w:tr>
            <w:tr w:rsidR="00921721" w:rsidRPr="007463B9" w14:paraId="73164F8E"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69EC9B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lastRenderedPageBreak/>
                    <w:t>2051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ACE6F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160.11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2667A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81.17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625EA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72.22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D644B2"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160.11</w:t>
                  </w:r>
                </w:p>
              </w:tc>
            </w:tr>
            <w:tr w:rsidR="00921721" w:rsidRPr="007463B9" w14:paraId="49F4519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F6F432"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02F48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161.63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6B10F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81.94</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76C99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72.91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209B58"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161.63</w:t>
                  </w:r>
                </w:p>
              </w:tc>
            </w:tr>
            <w:tr w:rsidR="00921721" w:rsidRPr="007463B9" w14:paraId="5C9AD5A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EBDB4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F4864E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163.17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539C2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82.72</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9B554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73.60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2319A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163.17</w:t>
                  </w:r>
                </w:p>
              </w:tc>
            </w:tr>
            <w:tr w:rsidR="00921721" w:rsidRPr="007463B9" w14:paraId="65A8B06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027EC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C61A0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164.72</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E0EC1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83.50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CED42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74.30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AD97E2"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164.72</w:t>
                  </w:r>
                </w:p>
              </w:tc>
            </w:tr>
            <w:tr w:rsidR="00921721" w:rsidRPr="007463B9" w14:paraId="66BD2E7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83A667"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93682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166.29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0E81F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84.30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9DDC7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75.01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1FB05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166.29</w:t>
                  </w:r>
                </w:p>
              </w:tc>
            </w:tr>
            <w:tr w:rsidR="00921721" w:rsidRPr="007463B9" w14:paraId="5B10438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AD111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760C47"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167.87</w:t>
                  </w:r>
                </w:p>
                <w:p w14:paraId="7FC1E6F8" w14:textId="77777777" w:rsidR="00921721" w:rsidRPr="00F13EAB" w:rsidRDefault="00921721" w:rsidP="00880D09">
                  <w:pPr>
                    <w:spacing w:before="20"/>
                    <w:jc w:val="center"/>
                    <w:rPr>
                      <w:rFonts w:asciiTheme="minorHAnsi" w:hAnsiTheme="minorHAnsi"/>
                      <w:color w:val="4F81BD" w:themeColor="accent1"/>
                      <w:sz w:val="15"/>
                      <w:szCs w:val="15"/>
                      <w:lang w:val="en-GB"/>
                    </w:rPr>
                  </w:pP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C6AD8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85.10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FB1FF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75.72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06AC29" w14:textId="77777777" w:rsidR="00921721" w:rsidRPr="00D069CA"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167.87</w:t>
                  </w:r>
                </w:p>
                <w:p w14:paraId="200781EE" w14:textId="77777777" w:rsidR="00921721" w:rsidRPr="00F13EAB" w:rsidRDefault="00921721" w:rsidP="00880D09">
                  <w:pPr>
                    <w:spacing w:before="20"/>
                    <w:jc w:val="center"/>
                    <w:rPr>
                      <w:rFonts w:asciiTheme="minorHAnsi" w:hAnsiTheme="minorHAnsi" w:cs="Arial"/>
                      <w:color w:val="4F81BD" w:themeColor="accent1"/>
                      <w:sz w:val="15"/>
                      <w:szCs w:val="15"/>
                      <w:lang w:val="en-GB"/>
                    </w:rPr>
                  </w:pPr>
                </w:p>
              </w:tc>
            </w:tr>
            <w:tr w:rsidR="00921721" w:rsidRPr="007463B9" w14:paraId="694E1B7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FC6BFD"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C794B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169.47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A1E99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85.91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8BBC1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76.44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BAD36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169.47</w:t>
                  </w:r>
                </w:p>
              </w:tc>
            </w:tr>
            <w:tr w:rsidR="00921721" w:rsidRPr="007463B9" w14:paraId="2F17E7D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7FC13F" w14:textId="77777777" w:rsidR="00921721" w:rsidRPr="00D0444B" w:rsidRDefault="00921721" w:rsidP="00880D09">
                  <w:pPr>
                    <w:spacing w:before="20"/>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2058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25901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171.16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1676B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86.77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D402B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77.21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79434F" w14:textId="77777777" w:rsidR="00921721" w:rsidRPr="00D0444B"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171.16</w:t>
                  </w:r>
                </w:p>
              </w:tc>
            </w:tr>
            <w:tr w:rsidR="00921721" w:rsidRPr="007463B9" w14:paraId="4EB4637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262182" w14:textId="77777777" w:rsidR="00921721" w:rsidRPr="00D0444B" w:rsidRDefault="00921721" w:rsidP="00880D09">
                  <w:pPr>
                    <w:spacing w:before="20"/>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2059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E0627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172.88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2EAB8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87.64</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771F4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F7BA57" w14:textId="77777777" w:rsidR="00921721" w:rsidRPr="00D0444B"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172.88</w:t>
                  </w:r>
                </w:p>
              </w:tc>
            </w:tr>
            <w:tr w:rsidR="00921721" w:rsidRPr="007463B9" w14:paraId="76F14B8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58871F" w14:textId="77777777" w:rsidR="00921721" w:rsidRPr="00D0444B" w:rsidRDefault="00921721" w:rsidP="00880D09">
                  <w:pPr>
                    <w:spacing w:before="20"/>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2060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44A79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174.61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DF663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88.51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62061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78.76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9017E4" w14:textId="77777777" w:rsidR="00921721" w:rsidRPr="00D0444B"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174.61</w:t>
                  </w:r>
                </w:p>
              </w:tc>
            </w:tr>
          </w:tbl>
          <w:p w14:paraId="21EAB795" w14:textId="77777777" w:rsidR="00921721" w:rsidRDefault="00921721" w:rsidP="00880D09">
            <w:pPr>
              <w:spacing w:before="60"/>
              <w:ind w:right="170"/>
              <w:jc w:val="both"/>
              <w:rPr>
                <w:rFonts w:asciiTheme="minorHAnsi" w:hAnsiTheme="minorHAnsi" w:cs="Arial"/>
                <w:b/>
                <w:i/>
                <w:sz w:val="16"/>
                <w:szCs w:val="16"/>
                <w:lang w:val="en-GB"/>
              </w:rPr>
            </w:pPr>
            <w:r w:rsidRPr="00676915">
              <w:rPr>
                <w:rFonts w:asciiTheme="minorHAnsi" w:hAnsiTheme="minorHAnsi" w:cs="Arial"/>
                <w:b/>
                <w:i/>
                <w:sz w:val="16"/>
                <w:szCs w:val="16"/>
                <w:lang w:val="en-GB"/>
              </w:rPr>
              <w:t xml:space="preserve">Source: JASPERS contracted study on “Determination of the Value of Time (VOT) for passengers (in PLN/h)“, </w:t>
            </w:r>
            <w:r>
              <w:rPr>
                <w:rFonts w:asciiTheme="minorHAnsi" w:hAnsiTheme="minorHAnsi" w:cs="Arial"/>
                <w:b/>
                <w:i/>
                <w:sz w:val="16"/>
                <w:szCs w:val="16"/>
                <w:lang w:val="en-GB"/>
              </w:rPr>
              <w:t xml:space="preserve">Deloitte, 2021 </w:t>
            </w:r>
            <w:r w:rsidRPr="00676915">
              <w:rPr>
                <w:rFonts w:asciiTheme="minorHAnsi" w:hAnsiTheme="minorHAnsi" w:cs="Arial"/>
                <w:b/>
                <w:i/>
                <w:sz w:val="16"/>
                <w:szCs w:val="16"/>
                <w:lang w:val="en-GB"/>
              </w:rPr>
              <w:t>based on GC survey contrac</w:t>
            </w:r>
            <w:r>
              <w:rPr>
                <w:rFonts w:asciiTheme="minorHAnsi" w:hAnsiTheme="minorHAnsi" w:cs="Arial"/>
                <w:b/>
                <w:i/>
                <w:sz w:val="16"/>
                <w:szCs w:val="16"/>
                <w:lang w:val="en-GB"/>
              </w:rPr>
              <w:t>ted by CUPT</w:t>
            </w:r>
            <w:r w:rsidRPr="00731E4E">
              <w:rPr>
                <w:rFonts w:asciiTheme="minorHAnsi" w:hAnsiTheme="minorHAnsi" w:cs="Arial"/>
                <w:b/>
                <w:i/>
                <w:sz w:val="16"/>
                <w:szCs w:val="16"/>
                <w:lang w:val="en-GB"/>
              </w:rPr>
              <w:t>.</w:t>
            </w:r>
          </w:p>
          <w:p w14:paraId="4491A49F"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22654B45"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Unit time cost (</w:t>
            </w:r>
            <w:proofErr w:type="spellStart"/>
            <w:r w:rsidRPr="00731E4E">
              <w:rPr>
                <w:rFonts w:asciiTheme="minorHAnsi" w:hAnsiTheme="minorHAnsi"/>
                <w:lang w:val="en-GB" w:eastAsia="en-US"/>
              </w:rPr>
              <w:t>VoT</w:t>
            </w:r>
            <w:proofErr w:type="spellEnd"/>
            <w:r w:rsidRPr="00731E4E">
              <w:rPr>
                <w:rFonts w:asciiTheme="minorHAnsi" w:hAnsiTheme="minorHAnsi"/>
                <w:lang w:val="en-GB" w:eastAsia="en-US"/>
              </w:rPr>
              <w:t>) evolution over time (forecasts in the table above) is based on GDP per capita g</w:t>
            </w:r>
            <w:r>
              <w:rPr>
                <w:rFonts w:asciiTheme="minorHAnsi" w:hAnsiTheme="minorHAnsi"/>
                <w:lang w:val="en-GB" w:eastAsia="en-US"/>
              </w:rPr>
              <w:t>rowth (values provided in point </w:t>
            </w:r>
            <w:r w:rsidRPr="00731E4E">
              <w:rPr>
                <w:rFonts w:asciiTheme="minorHAnsi" w:hAnsiTheme="minorHAnsi"/>
                <w:lang w:val="en-GB" w:eastAsia="en-US"/>
              </w:rPr>
              <w:t>2) with an elasticity of 0.</w:t>
            </w:r>
            <w:r>
              <w:rPr>
                <w:rFonts w:asciiTheme="minorHAnsi" w:hAnsiTheme="minorHAnsi"/>
                <w:lang w:val="en-GB" w:eastAsia="en-US"/>
              </w:rPr>
              <w:t xml:space="preserve">5 </w:t>
            </w:r>
            <w:r>
              <w:rPr>
                <w:rFonts w:asciiTheme="minorHAnsi" w:hAnsiTheme="minorHAnsi"/>
                <w:lang w:val="en-GB"/>
              </w:rPr>
              <w:t>(as per DG </w:t>
            </w:r>
            <w:r w:rsidRPr="00570700">
              <w:rPr>
                <w:rFonts w:asciiTheme="minorHAnsi" w:hAnsiTheme="minorHAnsi"/>
                <w:lang w:val="en-GB"/>
              </w:rPr>
              <w:t>Regio CBA Guide</w:t>
            </w:r>
            <w:r>
              <w:rPr>
                <w:rFonts w:asciiTheme="minorHAnsi" w:hAnsiTheme="minorHAnsi"/>
                <w:lang w:val="en-GB"/>
              </w:rPr>
              <w:t>)</w:t>
            </w:r>
            <w:r w:rsidRPr="00731E4E">
              <w:rPr>
                <w:rFonts w:asciiTheme="minorHAnsi" w:hAnsiTheme="minorHAnsi"/>
                <w:lang w:val="en-GB" w:eastAsia="en-US"/>
              </w:rPr>
              <w:t>.</w:t>
            </w:r>
          </w:p>
          <w:p w14:paraId="230551F0" w14:textId="77777777" w:rsidR="00921721" w:rsidRPr="00731E4E" w:rsidRDefault="00921721" w:rsidP="00880D09">
            <w:pPr>
              <w:pStyle w:val="anxnormal"/>
              <w:spacing w:before="0"/>
              <w:ind w:left="0"/>
              <w:rPr>
                <w:rFonts w:asciiTheme="minorHAnsi" w:hAnsiTheme="minorHAnsi"/>
                <w:lang w:val="en-GB" w:eastAsia="en-US"/>
              </w:rPr>
            </w:pPr>
          </w:p>
          <w:p w14:paraId="1E251CB0" w14:textId="77777777" w:rsidR="00921721" w:rsidRPr="00521591" w:rsidRDefault="00921721" w:rsidP="00880D09">
            <w:pPr>
              <w:pStyle w:val="anxnormal"/>
              <w:ind w:left="0"/>
              <w:rPr>
                <w:rFonts w:asciiTheme="minorHAnsi" w:hAnsiTheme="minorHAnsi" w:cs="Arial-Narrow,Bold"/>
                <w:b/>
                <w:bCs/>
                <w:color w:val="4F81BD" w:themeColor="accent1"/>
                <w:sz w:val="23"/>
                <w:szCs w:val="23"/>
                <w:lang w:val="en-GB" w:eastAsia="en-GB"/>
              </w:rPr>
            </w:pPr>
            <w:r w:rsidRPr="00521591">
              <w:rPr>
                <w:rFonts w:asciiTheme="minorHAnsi" w:hAnsiTheme="minorHAnsi" w:cs="Arial-Narrow,Bold"/>
                <w:b/>
                <w:bCs/>
                <w:color w:val="4F81BD" w:themeColor="accent1"/>
                <w:sz w:val="23"/>
                <w:szCs w:val="23"/>
                <w:lang w:val="en-GB" w:eastAsia="en-GB"/>
              </w:rPr>
              <w:t>4. Vehicle operating costs</w:t>
            </w:r>
          </w:p>
          <w:p w14:paraId="10CA3DC5"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Tables below present the unit vehicle operating costs for LV and HGV for the currently adopted base year (2021). It is assumed that</w:t>
            </w:r>
            <w:r>
              <w:rPr>
                <w:rFonts w:asciiTheme="minorHAnsi" w:hAnsiTheme="minorHAnsi"/>
                <w:lang w:val="en-GB"/>
              </w:rPr>
              <w:t xml:space="preserve"> current road fleet</w:t>
            </w:r>
            <w:r>
              <w:rPr>
                <w:rFonts w:asciiTheme="minorHAnsi" w:hAnsiTheme="minorHAnsi"/>
                <w:lang w:val="en-GB" w:eastAsia="en-US"/>
              </w:rPr>
              <w:t xml:space="preserve"> fuel type composition </w:t>
            </w:r>
            <w:r>
              <w:rPr>
                <w:rFonts w:asciiTheme="minorHAnsi" w:hAnsiTheme="minorHAnsi"/>
                <w:lang w:val="en-GB"/>
              </w:rPr>
              <w:t>is mainly: petrol and Diesel for LV, and exclusively Diesel for HGV.</w:t>
            </w:r>
            <w:r>
              <w:rPr>
                <w:rFonts w:asciiTheme="minorHAnsi" w:hAnsiTheme="minorHAnsi"/>
                <w:lang w:val="en-GB" w:eastAsia="en-US"/>
              </w:rPr>
              <w:t xml:space="preserve"> </w:t>
            </w:r>
          </w:p>
          <w:p w14:paraId="39B05A07"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 xml:space="preserve">Those unit VOC costs were calculated considering petrol and Diesel vehicles: fuel consumption costs and other costs of those vehicles, and relevant data on road vehicle fleet (details on determination of VOC calculations and related assumptions are presented </w:t>
            </w:r>
            <w:r w:rsidRPr="00870A32">
              <w:rPr>
                <w:rFonts w:asciiTheme="minorHAnsi" w:hAnsiTheme="minorHAnsi"/>
                <w:lang w:val="en-GB" w:eastAsia="en-US"/>
              </w:rPr>
              <w:t xml:space="preserve">in </w:t>
            </w:r>
            <w:r>
              <w:rPr>
                <w:rFonts w:asciiTheme="minorHAnsi" w:hAnsiTheme="minorHAnsi"/>
                <w:lang w:val="en-GB" w:eastAsia="en-US"/>
              </w:rPr>
              <w:t>Appendix </w:t>
            </w:r>
            <w:r w:rsidRPr="00870A32">
              <w:rPr>
                <w:rFonts w:asciiTheme="minorHAnsi" w:hAnsiTheme="minorHAnsi"/>
                <w:lang w:val="en-GB" w:eastAsia="en-US"/>
              </w:rPr>
              <w:t>D). The</w:t>
            </w:r>
            <w:r>
              <w:rPr>
                <w:rFonts w:asciiTheme="minorHAnsi" w:hAnsiTheme="minorHAnsi"/>
                <w:lang w:val="en-GB" w:eastAsia="en-US"/>
              </w:rPr>
              <w:t xml:space="preserve"> unit VOC in the table below refer to flat terrain conditions and good road pavement conditions (i.e. after construction/ rehabilitation), and in the following one to road with deteriorated pavement. Factors related to road gradient influence are also provided.</w:t>
            </w:r>
          </w:p>
          <w:p w14:paraId="3D7A7F82" w14:textId="77777777" w:rsidR="00921721" w:rsidRPr="00B72029" w:rsidRDefault="00921721" w:rsidP="00880D09">
            <w:pPr>
              <w:pStyle w:val="anxnormal"/>
              <w:spacing w:after="120"/>
              <w:ind w:left="0"/>
              <w:rPr>
                <w:rFonts w:asciiTheme="minorHAnsi" w:hAnsiTheme="minorHAnsi"/>
                <w:lang w:val="en-US" w:eastAsia="en-US"/>
              </w:rPr>
            </w:pPr>
            <w:r w:rsidRPr="00C22769">
              <w:rPr>
                <w:rFonts w:asciiTheme="minorHAnsi" w:hAnsiTheme="minorHAnsi"/>
                <w:lang w:val="en-US" w:eastAsia="en-US"/>
              </w:rPr>
              <w:t>The unit values specified below are for combustion motor vehicles only. Values for electric vehicles are in one of the following tables.</w:t>
            </w:r>
          </w:p>
          <w:p w14:paraId="1F7A6436" w14:textId="77777777" w:rsidR="00921721" w:rsidRDefault="00921721" w:rsidP="00880D09">
            <w:pPr>
              <w:pStyle w:val="anxnormal"/>
              <w:spacing w:after="120"/>
              <w:ind w:left="0"/>
              <w:rPr>
                <w:rFonts w:asciiTheme="minorHAnsi" w:hAnsiTheme="minorHAnsi"/>
                <w:lang w:val="en-GB" w:eastAsia="en-US"/>
              </w:rPr>
            </w:pPr>
          </w:p>
          <w:p w14:paraId="3563381F" w14:textId="77777777" w:rsidR="00921721" w:rsidRDefault="00921721" w:rsidP="00880D09">
            <w:pPr>
              <w:pStyle w:val="anxnormal"/>
              <w:spacing w:after="120"/>
              <w:ind w:left="0"/>
              <w:rPr>
                <w:rFonts w:asciiTheme="minorHAnsi" w:hAnsiTheme="minorHAnsi"/>
                <w:lang w:val="en-GB" w:eastAsia="en-US"/>
              </w:rPr>
            </w:pPr>
          </w:p>
          <w:p w14:paraId="3A6CC232" w14:textId="77777777" w:rsidR="00921721" w:rsidRDefault="00921721" w:rsidP="00880D09">
            <w:pPr>
              <w:pStyle w:val="anxnormal"/>
              <w:spacing w:after="120"/>
              <w:ind w:left="0"/>
              <w:rPr>
                <w:rFonts w:asciiTheme="minorHAnsi" w:hAnsiTheme="minorHAnsi"/>
                <w:lang w:val="en-GB" w:eastAsia="en-US"/>
              </w:rPr>
            </w:pPr>
          </w:p>
          <w:p w14:paraId="7962D632" w14:textId="77777777" w:rsidR="00921721" w:rsidRDefault="00921721" w:rsidP="00880D09">
            <w:pPr>
              <w:pStyle w:val="anxnormal"/>
              <w:spacing w:after="120"/>
              <w:ind w:left="0"/>
              <w:rPr>
                <w:rFonts w:asciiTheme="minorHAnsi" w:hAnsiTheme="minorHAnsi"/>
                <w:lang w:val="en-GB" w:eastAsia="en-US"/>
              </w:rPr>
            </w:pPr>
          </w:p>
          <w:p w14:paraId="5FC03ACB" w14:textId="77777777" w:rsidR="00921721" w:rsidRDefault="00921721" w:rsidP="00880D09">
            <w:pPr>
              <w:pStyle w:val="anxnormal"/>
              <w:spacing w:after="120"/>
              <w:ind w:left="0"/>
              <w:rPr>
                <w:rFonts w:asciiTheme="minorHAnsi" w:hAnsiTheme="minorHAnsi"/>
                <w:lang w:val="en-GB" w:eastAsia="en-US"/>
              </w:rPr>
            </w:pPr>
          </w:p>
          <w:p w14:paraId="6C9C56AF" w14:textId="77777777" w:rsidR="00921721" w:rsidRDefault="00921721" w:rsidP="00880D09">
            <w:pPr>
              <w:pStyle w:val="anxnormal"/>
              <w:spacing w:after="120"/>
              <w:ind w:left="0"/>
              <w:rPr>
                <w:rFonts w:asciiTheme="minorHAnsi" w:hAnsiTheme="minorHAnsi"/>
                <w:lang w:val="en-GB" w:eastAsia="en-US"/>
              </w:rPr>
            </w:pPr>
          </w:p>
          <w:p w14:paraId="44B668B7" w14:textId="77777777" w:rsidR="00921721" w:rsidRPr="0077080B" w:rsidRDefault="00921721" w:rsidP="00880D09">
            <w:pPr>
              <w:spacing w:before="120" w:after="120"/>
              <w:jc w:val="both"/>
              <w:rPr>
                <w:rFonts w:asciiTheme="minorHAnsi" w:hAnsiTheme="minorHAnsi"/>
                <w:sz w:val="20"/>
                <w:lang w:val="en-GB" w:eastAsia="en-US"/>
              </w:rPr>
            </w:pPr>
            <w:r w:rsidRPr="0077080B">
              <w:rPr>
                <w:rFonts w:asciiTheme="minorHAnsi" w:hAnsiTheme="minorHAnsi"/>
                <w:sz w:val="20"/>
                <w:lang w:val="en-GB" w:eastAsia="en-US"/>
              </w:rPr>
              <w:t>Unit vehicle operating costs for combustion motor vehicles (PLN/</w:t>
            </w:r>
            <w:proofErr w:type="spellStart"/>
            <w:r w:rsidRPr="0077080B">
              <w:rPr>
                <w:rFonts w:asciiTheme="minorHAnsi" w:hAnsiTheme="minorHAnsi"/>
                <w:sz w:val="20"/>
                <w:lang w:val="en-GB" w:eastAsia="en-US"/>
              </w:rPr>
              <w:t>veh</w:t>
            </w:r>
            <w:proofErr w:type="spellEnd"/>
            <w:r w:rsidRPr="0077080B">
              <w:rPr>
                <w:rFonts w:asciiTheme="minorHAnsi" w:hAnsiTheme="minorHAnsi"/>
                <w:sz w:val="20"/>
                <w:lang w:val="en-GB" w:eastAsia="en-US"/>
              </w:rPr>
              <w:t>-km), prices 2021</w:t>
            </w:r>
          </w:p>
          <w:tbl>
            <w:tblPr>
              <w:tblW w:w="6843" w:type="dxa"/>
              <w:tblLayout w:type="fixed"/>
              <w:tblLook w:val="04A0" w:firstRow="1" w:lastRow="0" w:firstColumn="1" w:lastColumn="0" w:noHBand="0" w:noVBand="1"/>
            </w:tblPr>
            <w:tblGrid>
              <w:gridCol w:w="1311"/>
              <w:gridCol w:w="2736"/>
              <w:gridCol w:w="2796"/>
            </w:tblGrid>
            <w:tr w:rsidR="00921721" w:rsidRPr="007463B9" w14:paraId="0DF7E584" w14:textId="77777777" w:rsidTr="00880D09">
              <w:trPr>
                <w:trHeight w:hRule="exact" w:val="562"/>
              </w:trPr>
              <w:tc>
                <w:tcPr>
                  <w:tcW w:w="1311"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4DC191C" w14:textId="77777777" w:rsidR="00921721" w:rsidRPr="00E819C9" w:rsidRDefault="00921721" w:rsidP="00880D09">
                  <w:pPr>
                    <w:snapToGrid w:val="0"/>
                    <w:spacing w:before="20" w:after="20"/>
                    <w:jc w:val="center"/>
                    <w:rPr>
                      <w:rFonts w:asciiTheme="minorHAnsi" w:hAnsiTheme="minorHAnsi" w:cs="Arial"/>
                      <w:b/>
                      <w:bCs/>
                      <w:color w:val="FFFFFF"/>
                      <w:sz w:val="18"/>
                      <w:szCs w:val="18"/>
                      <w:lang w:val="en-GB"/>
                    </w:rPr>
                  </w:pPr>
                  <w:r w:rsidRPr="00E819C9">
                    <w:rPr>
                      <w:rFonts w:asciiTheme="minorHAnsi" w:hAnsiTheme="minorHAnsi" w:cs="Arial"/>
                      <w:b/>
                      <w:bCs/>
                      <w:color w:val="FFFFFF"/>
                      <w:sz w:val="18"/>
                      <w:szCs w:val="18"/>
                      <w:lang w:val="en-GB"/>
                    </w:rPr>
                    <w:t>Speed (km/h)</w:t>
                  </w:r>
                </w:p>
              </w:tc>
              <w:tc>
                <w:tcPr>
                  <w:tcW w:w="5532"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ABC1ED7" w14:textId="77777777" w:rsidR="00921721" w:rsidRPr="00E819C9" w:rsidRDefault="00921721" w:rsidP="00880D09">
                  <w:pPr>
                    <w:snapToGrid w:val="0"/>
                    <w:spacing w:before="20" w:after="20"/>
                    <w:jc w:val="center"/>
                    <w:rPr>
                      <w:rFonts w:asciiTheme="minorHAnsi" w:hAnsiTheme="minorHAnsi" w:cs="Arial"/>
                      <w:b/>
                      <w:bCs/>
                      <w:color w:val="FFFFFF"/>
                      <w:sz w:val="18"/>
                      <w:szCs w:val="18"/>
                      <w:lang w:val="en-GB"/>
                    </w:rPr>
                  </w:pPr>
                  <w:r w:rsidRPr="00E819C9">
                    <w:rPr>
                      <w:rFonts w:asciiTheme="minorHAnsi" w:hAnsiTheme="minorHAnsi" w:cs="Arial"/>
                      <w:b/>
                      <w:bCs/>
                      <w:color w:val="FFFFFF"/>
                      <w:sz w:val="18"/>
                      <w:szCs w:val="18"/>
                      <w:lang w:val="en-GB"/>
                    </w:rPr>
                    <w:t>Unit vehicle operating costs – PLN/</w:t>
                  </w:r>
                  <w:proofErr w:type="spellStart"/>
                  <w:r w:rsidRPr="00E819C9">
                    <w:rPr>
                      <w:rFonts w:asciiTheme="minorHAnsi" w:hAnsiTheme="minorHAnsi" w:cs="Arial"/>
                      <w:b/>
                      <w:bCs/>
                      <w:color w:val="FFFFFF"/>
                      <w:sz w:val="18"/>
                      <w:szCs w:val="18"/>
                      <w:lang w:val="en-GB"/>
                    </w:rPr>
                    <w:t>veh</w:t>
                  </w:r>
                  <w:proofErr w:type="spellEnd"/>
                  <w:r w:rsidRPr="00E819C9">
                    <w:rPr>
                      <w:rFonts w:asciiTheme="minorHAnsi" w:hAnsiTheme="minorHAnsi" w:cs="Arial"/>
                      <w:b/>
                      <w:bCs/>
                      <w:color w:val="FFFFFF"/>
                      <w:sz w:val="18"/>
                      <w:szCs w:val="18"/>
                      <w:lang w:val="en-GB"/>
                    </w:rPr>
                    <w:t>-km</w:t>
                  </w:r>
                  <w:r>
                    <w:rPr>
                      <w:rFonts w:asciiTheme="minorHAnsi" w:hAnsiTheme="minorHAnsi" w:cs="Arial"/>
                      <w:b/>
                      <w:bCs/>
                      <w:color w:val="FFFFFF"/>
                      <w:sz w:val="18"/>
                      <w:szCs w:val="18"/>
                      <w:lang w:val="en-GB"/>
                    </w:rPr>
                    <w:t xml:space="preserve"> </w:t>
                  </w:r>
                  <w:r w:rsidRPr="00E819C9">
                    <w:rPr>
                      <w:rFonts w:asciiTheme="minorHAnsi" w:hAnsiTheme="minorHAnsi" w:cs="Arial"/>
                      <w:b/>
                      <w:bCs/>
                      <w:color w:val="FFFFFF"/>
                      <w:sz w:val="18"/>
                      <w:szCs w:val="18"/>
                      <w:lang w:val="en-GB"/>
                    </w:rPr>
                    <w:t>–</w:t>
                  </w:r>
                  <w:r>
                    <w:rPr>
                      <w:rFonts w:asciiTheme="minorHAnsi" w:hAnsiTheme="minorHAnsi" w:cs="Arial"/>
                      <w:b/>
                      <w:bCs/>
                      <w:color w:val="FFFFFF"/>
                      <w:sz w:val="18"/>
                      <w:szCs w:val="18"/>
                      <w:lang w:val="en-GB"/>
                    </w:rPr>
                    <w:t xml:space="preserve"> </w:t>
                  </w:r>
                  <w:r w:rsidRPr="00E819C9">
                    <w:rPr>
                      <w:rFonts w:asciiTheme="minorHAnsi" w:hAnsiTheme="minorHAnsi" w:cs="Arial"/>
                      <w:b/>
                      <w:bCs/>
                      <w:color w:val="FFFFFF"/>
                      <w:sz w:val="18"/>
                      <w:szCs w:val="18"/>
                      <w:lang w:val="en-GB"/>
                    </w:rPr>
                    <w:t>flat terrain (pavement after rehabilitation/</w:t>
                  </w:r>
                  <w:r>
                    <w:rPr>
                      <w:rFonts w:asciiTheme="minorHAnsi" w:hAnsiTheme="minorHAnsi" w:cs="Arial"/>
                      <w:b/>
                      <w:bCs/>
                      <w:color w:val="FFFFFF"/>
                      <w:sz w:val="18"/>
                      <w:szCs w:val="18"/>
                      <w:lang w:val="en-GB"/>
                    </w:rPr>
                    <w:t xml:space="preserve"> </w:t>
                  </w:r>
                  <w:r w:rsidRPr="00E819C9">
                    <w:rPr>
                      <w:rFonts w:asciiTheme="minorHAnsi" w:hAnsiTheme="minorHAnsi" w:cs="Arial"/>
                      <w:b/>
                      <w:bCs/>
                      <w:color w:val="FFFFFF"/>
                      <w:sz w:val="18"/>
                      <w:szCs w:val="18"/>
                      <w:lang w:val="en-GB"/>
                    </w:rPr>
                    <w:t>construction)</w:t>
                  </w:r>
                </w:p>
              </w:tc>
            </w:tr>
            <w:tr w:rsidR="00921721" w:rsidRPr="007463B9" w14:paraId="153C045E" w14:textId="77777777" w:rsidTr="00880D09">
              <w:trPr>
                <w:trHeight w:hRule="exact" w:val="391"/>
              </w:trPr>
              <w:tc>
                <w:tcPr>
                  <w:tcW w:w="1311"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A2CB066" w14:textId="77777777" w:rsidR="00921721" w:rsidRPr="006A71F9" w:rsidRDefault="00921721" w:rsidP="00880D09">
                  <w:pPr>
                    <w:jc w:val="center"/>
                    <w:rPr>
                      <w:rFonts w:asciiTheme="minorHAnsi" w:hAnsiTheme="minorHAnsi" w:cs="Arial"/>
                      <w:b/>
                      <w:bCs/>
                      <w:color w:val="FFFFFF"/>
                      <w:sz w:val="18"/>
                      <w:szCs w:val="18"/>
                      <w:lang w:val="en-GB"/>
                    </w:rPr>
                  </w:pPr>
                </w:p>
              </w:tc>
              <w:tc>
                <w:tcPr>
                  <w:tcW w:w="273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F7822C8"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79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EDB1185"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50755442"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8056F3"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0-10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8948915"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1.406</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5BDE8C"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2.978</w:t>
                  </w:r>
                </w:p>
              </w:tc>
            </w:tr>
            <w:tr w:rsidR="00921721" w:rsidRPr="007463B9" w14:paraId="442BEB8A"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2E590B"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11-20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1AD882"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1.188</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9F0C114"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2.303</w:t>
                  </w:r>
                </w:p>
              </w:tc>
            </w:tr>
            <w:tr w:rsidR="00921721" w:rsidRPr="007463B9" w14:paraId="2A8678B7"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F7EDB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21-30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67647E"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1.098</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E86F589"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2.100</w:t>
                  </w:r>
                </w:p>
              </w:tc>
            </w:tr>
            <w:tr w:rsidR="00921721" w:rsidRPr="007463B9" w14:paraId="4E8FC1E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D1C632"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31-40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1AD2B1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1.044</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B5B7477"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1.997</w:t>
                  </w:r>
                </w:p>
              </w:tc>
            </w:tr>
            <w:tr w:rsidR="00921721" w:rsidRPr="007463B9" w14:paraId="4F0B36E4"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0EE8D3"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41-50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06D70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1.009</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874AC85"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1.940</w:t>
                  </w:r>
                </w:p>
              </w:tc>
            </w:tr>
            <w:tr w:rsidR="00921721" w:rsidRPr="007463B9" w14:paraId="74BE230A"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45BB1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51-60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2761A3"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0.985</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D95C7D"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1.910</w:t>
                  </w:r>
                </w:p>
              </w:tc>
            </w:tr>
            <w:tr w:rsidR="00921721" w:rsidRPr="007463B9" w14:paraId="4C2E89A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532BBF"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61-70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C214A1"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0.970</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9E40F3"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1.896</w:t>
                  </w:r>
                </w:p>
              </w:tc>
            </w:tr>
            <w:tr w:rsidR="00921721" w:rsidRPr="007463B9" w14:paraId="56B47E7F"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63FB00"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71-80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6A10A57"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0.962</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B166F30"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1.892</w:t>
                  </w:r>
                </w:p>
              </w:tc>
            </w:tr>
            <w:tr w:rsidR="00921721" w:rsidRPr="007463B9" w14:paraId="3559E88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65A3ED"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81-90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4EBA7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0.959</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54AC10"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1.896</w:t>
                  </w:r>
                </w:p>
              </w:tc>
            </w:tr>
            <w:tr w:rsidR="00921721" w:rsidRPr="007463B9" w14:paraId="4267417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3A9A06"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91-100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33B23E"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0.962</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49DB1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1.912</w:t>
                  </w:r>
                </w:p>
              </w:tc>
            </w:tr>
            <w:tr w:rsidR="00921721" w:rsidRPr="007463B9" w14:paraId="3F5ABB33"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478E4F"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101-110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A2B2DE2"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0.969</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58C385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1.982</w:t>
                  </w:r>
                </w:p>
              </w:tc>
            </w:tr>
            <w:tr w:rsidR="00921721" w:rsidRPr="007463B9" w14:paraId="236418E8"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CC599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111-120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895A2F7"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0.981</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F999E8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2.051</w:t>
                  </w:r>
                </w:p>
              </w:tc>
            </w:tr>
            <w:tr w:rsidR="00921721" w:rsidRPr="007463B9" w14:paraId="234AD46B"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1C5106"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121-130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5D3DB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0.996</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B15EDA6"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2.120</w:t>
                  </w:r>
                </w:p>
              </w:tc>
            </w:tr>
            <w:tr w:rsidR="00921721" w:rsidRPr="007463B9" w14:paraId="6B2CE02D"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C3E1EB"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131-140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DBEAE10"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1.015</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72896C4"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2.189</w:t>
                  </w:r>
                </w:p>
              </w:tc>
            </w:tr>
          </w:tbl>
          <w:p w14:paraId="33A10BAB" w14:textId="77777777" w:rsidR="00921721" w:rsidRPr="00731E4E" w:rsidRDefault="00921721" w:rsidP="00880D09">
            <w:pPr>
              <w:ind w:right="170"/>
              <w:jc w:val="both"/>
              <w:rPr>
                <w:rFonts w:asciiTheme="minorHAnsi" w:hAnsiTheme="minorHAnsi" w:cs="Arial"/>
                <w:b/>
                <w:i/>
                <w:sz w:val="16"/>
                <w:szCs w:val="16"/>
                <w:lang w:val="en-GB"/>
              </w:rPr>
            </w:pPr>
            <w:r w:rsidRPr="00495C1D">
              <w:rPr>
                <w:rFonts w:asciiTheme="minorHAnsi" w:hAnsiTheme="minorHAnsi" w:cs="Arial"/>
                <w:b/>
                <w:i/>
                <w:sz w:val="16"/>
                <w:szCs w:val="16"/>
                <w:lang w:val="en-GB"/>
              </w:rPr>
              <w:t xml:space="preserve">Source: </w:t>
            </w:r>
            <w:r w:rsidRPr="00983DF9">
              <w:rPr>
                <w:rFonts w:asciiTheme="minorHAnsi" w:hAnsiTheme="minorHAnsi" w:cs="Arial"/>
                <w:b/>
                <w:i/>
                <w:sz w:val="16"/>
                <w:szCs w:val="16"/>
                <w:lang w:val="en-GB"/>
              </w:rPr>
              <w:t>CUPT-JASPERS</w:t>
            </w:r>
            <w:r w:rsidRPr="00495C1D">
              <w:rPr>
                <w:rFonts w:asciiTheme="minorHAnsi" w:hAnsiTheme="minorHAnsi" w:cs="Arial"/>
                <w:b/>
                <w:i/>
                <w:sz w:val="16"/>
                <w:szCs w:val="16"/>
                <w:lang w:val="en-GB"/>
              </w:rPr>
              <w:t xml:space="preserve"> work</w:t>
            </w:r>
            <w:r>
              <w:rPr>
                <w:rFonts w:asciiTheme="minorHAnsi" w:hAnsiTheme="minorHAnsi" w:cs="Arial"/>
                <w:b/>
                <w:i/>
                <w:sz w:val="16"/>
                <w:szCs w:val="16"/>
                <w:lang w:val="en-GB"/>
              </w:rPr>
              <w:t>,</w:t>
            </w:r>
            <w:r w:rsidRPr="00495C1D">
              <w:rPr>
                <w:rFonts w:asciiTheme="minorHAnsi" w:hAnsiTheme="minorHAnsi" w:cs="Arial"/>
                <w:b/>
                <w:i/>
                <w:sz w:val="16"/>
                <w:szCs w:val="16"/>
                <w:lang w:val="en-GB"/>
              </w:rPr>
              <w:t xml:space="preserve"> </w:t>
            </w:r>
            <w:r>
              <w:rPr>
                <w:rFonts w:asciiTheme="minorHAnsi" w:hAnsiTheme="minorHAnsi" w:cs="Arial"/>
                <w:b/>
                <w:i/>
                <w:sz w:val="16"/>
                <w:szCs w:val="16"/>
                <w:lang w:val="en-GB"/>
              </w:rPr>
              <w:t>details</w:t>
            </w:r>
            <w:r w:rsidRPr="00495C1D">
              <w:rPr>
                <w:rFonts w:asciiTheme="minorHAnsi" w:hAnsiTheme="minorHAnsi" w:cs="Arial"/>
                <w:b/>
                <w:i/>
                <w:sz w:val="16"/>
                <w:szCs w:val="16"/>
                <w:lang w:val="en-GB"/>
              </w:rPr>
              <w:t xml:space="preserve"> in Appendix</w:t>
            </w:r>
            <w:r>
              <w:rPr>
                <w:rFonts w:asciiTheme="minorHAnsi" w:hAnsiTheme="minorHAnsi" w:cs="Arial"/>
                <w:b/>
                <w:i/>
                <w:sz w:val="16"/>
                <w:szCs w:val="16"/>
                <w:lang w:val="en-GB"/>
              </w:rPr>
              <w:t> D.</w:t>
            </w:r>
          </w:p>
          <w:p w14:paraId="4449798F" w14:textId="77777777" w:rsidR="00921721" w:rsidRPr="00731E4E" w:rsidRDefault="00921721" w:rsidP="00880D09">
            <w:pPr>
              <w:ind w:right="170"/>
              <w:jc w:val="both"/>
              <w:rPr>
                <w:rFonts w:asciiTheme="minorHAnsi" w:hAnsiTheme="minorHAnsi" w:cs="Arial"/>
                <w:b/>
                <w:i/>
                <w:sz w:val="16"/>
                <w:szCs w:val="16"/>
                <w:lang w:val="en-GB"/>
              </w:rPr>
            </w:pPr>
          </w:p>
          <w:p w14:paraId="51C94601" w14:textId="77777777" w:rsidR="00921721" w:rsidRDefault="00921721" w:rsidP="00880D09">
            <w:pPr>
              <w:ind w:right="170"/>
              <w:jc w:val="both"/>
              <w:rPr>
                <w:rFonts w:asciiTheme="minorHAnsi" w:hAnsiTheme="minorHAnsi" w:cs="Arial"/>
                <w:b/>
                <w:i/>
                <w:sz w:val="16"/>
                <w:szCs w:val="16"/>
                <w:lang w:val="en-GB"/>
              </w:rPr>
            </w:pPr>
          </w:p>
          <w:p w14:paraId="318F7326" w14:textId="77777777" w:rsidR="00921721" w:rsidRDefault="00921721" w:rsidP="00880D09">
            <w:pPr>
              <w:ind w:right="170"/>
              <w:jc w:val="both"/>
              <w:rPr>
                <w:rFonts w:asciiTheme="minorHAnsi" w:hAnsiTheme="minorHAnsi" w:cs="Arial"/>
                <w:b/>
                <w:i/>
                <w:sz w:val="16"/>
                <w:szCs w:val="16"/>
                <w:lang w:val="en-GB"/>
              </w:rPr>
            </w:pPr>
          </w:p>
          <w:p w14:paraId="67414A06" w14:textId="77777777" w:rsidR="00921721" w:rsidRDefault="00921721" w:rsidP="00880D09">
            <w:pPr>
              <w:ind w:right="170"/>
              <w:jc w:val="both"/>
              <w:rPr>
                <w:rFonts w:asciiTheme="minorHAnsi" w:hAnsiTheme="minorHAnsi" w:cs="Arial"/>
                <w:b/>
                <w:i/>
                <w:sz w:val="16"/>
                <w:szCs w:val="16"/>
                <w:lang w:val="en-GB"/>
              </w:rPr>
            </w:pPr>
          </w:p>
          <w:p w14:paraId="4EC1C47C" w14:textId="77777777" w:rsidR="00921721" w:rsidRDefault="00921721" w:rsidP="00880D09">
            <w:pPr>
              <w:ind w:right="170"/>
              <w:jc w:val="both"/>
              <w:rPr>
                <w:rFonts w:asciiTheme="minorHAnsi" w:hAnsiTheme="minorHAnsi" w:cs="Arial"/>
                <w:b/>
                <w:i/>
                <w:sz w:val="16"/>
                <w:szCs w:val="16"/>
                <w:lang w:val="en-GB"/>
              </w:rPr>
            </w:pPr>
          </w:p>
          <w:p w14:paraId="7A9BAFFF" w14:textId="77777777" w:rsidR="00921721" w:rsidRDefault="00921721" w:rsidP="00880D09">
            <w:pPr>
              <w:ind w:right="170"/>
              <w:jc w:val="both"/>
              <w:rPr>
                <w:rFonts w:asciiTheme="minorHAnsi" w:hAnsiTheme="minorHAnsi" w:cs="Arial"/>
                <w:b/>
                <w:i/>
                <w:sz w:val="16"/>
                <w:szCs w:val="16"/>
                <w:lang w:val="en-GB"/>
              </w:rPr>
            </w:pPr>
          </w:p>
          <w:p w14:paraId="41BBB981" w14:textId="77777777" w:rsidR="00921721" w:rsidRPr="00731E4E" w:rsidRDefault="00921721" w:rsidP="00880D09">
            <w:pPr>
              <w:ind w:right="170"/>
              <w:jc w:val="both"/>
              <w:rPr>
                <w:rFonts w:asciiTheme="minorHAnsi" w:hAnsiTheme="minorHAnsi" w:cs="Arial"/>
                <w:b/>
                <w:i/>
                <w:sz w:val="16"/>
                <w:szCs w:val="16"/>
                <w:lang w:val="en-GB"/>
              </w:rPr>
            </w:pPr>
          </w:p>
          <w:tbl>
            <w:tblPr>
              <w:tblW w:w="6939" w:type="dxa"/>
              <w:tblLayout w:type="fixed"/>
              <w:tblLook w:val="04A0" w:firstRow="1" w:lastRow="0" w:firstColumn="1" w:lastColumn="0" w:noHBand="0" w:noVBand="1"/>
            </w:tblPr>
            <w:tblGrid>
              <w:gridCol w:w="2119"/>
              <w:gridCol w:w="2410"/>
              <w:gridCol w:w="2410"/>
            </w:tblGrid>
            <w:tr w:rsidR="00921721" w:rsidRPr="007463B9" w14:paraId="6407427C" w14:textId="77777777" w:rsidTr="00880D09">
              <w:trPr>
                <w:trHeight w:hRule="exact" w:val="577"/>
              </w:trPr>
              <w:tc>
                <w:tcPr>
                  <w:tcW w:w="2119"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9C86B0B" w14:textId="77777777" w:rsidR="00921721" w:rsidRPr="00495C1D" w:rsidRDefault="00921721" w:rsidP="00880D09">
                  <w:pPr>
                    <w:snapToGrid w:val="0"/>
                    <w:spacing w:before="20" w:after="20"/>
                    <w:jc w:val="center"/>
                    <w:rPr>
                      <w:rFonts w:asciiTheme="minorHAnsi" w:hAnsiTheme="minorHAnsi" w:cs="Arial"/>
                      <w:b/>
                      <w:bCs/>
                      <w:color w:val="FFFFFF"/>
                      <w:sz w:val="18"/>
                      <w:szCs w:val="18"/>
                    </w:rPr>
                  </w:pPr>
                  <w:proofErr w:type="spellStart"/>
                  <w:r w:rsidRPr="00495C1D">
                    <w:rPr>
                      <w:rFonts w:asciiTheme="minorHAnsi" w:hAnsiTheme="minorHAnsi" w:cs="Arial"/>
                      <w:b/>
                      <w:bCs/>
                      <w:color w:val="FFFFFF"/>
                      <w:sz w:val="18"/>
                      <w:szCs w:val="18"/>
                    </w:rPr>
                    <w:lastRenderedPageBreak/>
                    <w:t>Speed</w:t>
                  </w:r>
                  <w:proofErr w:type="spellEnd"/>
                  <w:r w:rsidRPr="00495C1D">
                    <w:rPr>
                      <w:rFonts w:asciiTheme="minorHAnsi" w:hAnsiTheme="minorHAnsi" w:cs="Arial"/>
                      <w:b/>
                      <w:bCs/>
                      <w:color w:val="FFFFFF"/>
                      <w:sz w:val="18"/>
                      <w:szCs w:val="18"/>
                    </w:rPr>
                    <w:t xml:space="preserve"> (km/h)</w:t>
                  </w:r>
                </w:p>
              </w:tc>
              <w:tc>
                <w:tcPr>
                  <w:tcW w:w="4820"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BF7563" w14:textId="77777777" w:rsidR="00921721" w:rsidRPr="00495C1D" w:rsidRDefault="00921721" w:rsidP="00880D09">
                  <w:pPr>
                    <w:snapToGrid w:val="0"/>
                    <w:spacing w:before="20" w:after="20"/>
                    <w:jc w:val="center"/>
                    <w:rPr>
                      <w:rFonts w:asciiTheme="minorHAnsi" w:hAnsiTheme="minorHAnsi" w:cs="Arial"/>
                      <w:b/>
                      <w:bCs/>
                      <w:color w:val="FFFFFF"/>
                      <w:sz w:val="18"/>
                      <w:szCs w:val="18"/>
                      <w:lang w:val="en-GB"/>
                    </w:rPr>
                  </w:pPr>
                  <w:r w:rsidRPr="00495C1D">
                    <w:rPr>
                      <w:rFonts w:asciiTheme="minorHAnsi" w:hAnsiTheme="minorHAnsi" w:cs="Arial"/>
                      <w:b/>
                      <w:bCs/>
                      <w:color w:val="FFFFFF"/>
                      <w:sz w:val="18"/>
                      <w:szCs w:val="18"/>
                      <w:lang w:val="en-GB"/>
                    </w:rPr>
                    <w:t>Unit vehicle operating costs – PLN/</w:t>
                  </w:r>
                  <w:proofErr w:type="spellStart"/>
                  <w:r w:rsidRPr="00495C1D">
                    <w:rPr>
                      <w:rFonts w:asciiTheme="minorHAnsi" w:hAnsiTheme="minorHAnsi" w:cs="Arial"/>
                      <w:b/>
                      <w:bCs/>
                      <w:color w:val="FFFFFF"/>
                      <w:sz w:val="18"/>
                      <w:szCs w:val="18"/>
                      <w:lang w:val="en-GB"/>
                    </w:rPr>
                    <w:t>veh</w:t>
                  </w:r>
                  <w:proofErr w:type="spellEnd"/>
                  <w:r w:rsidRPr="00495C1D">
                    <w:rPr>
                      <w:rFonts w:asciiTheme="minorHAnsi" w:hAnsiTheme="minorHAnsi" w:cs="Arial"/>
                      <w:b/>
                      <w:bCs/>
                      <w:color w:val="FFFFFF"/>
                      <w:sz w:val="18"/>
                      <w:szCs w:val="18"/>
                      <w:lang w:val="en-GB"/>
                    </w:rPr>
                    <w:t>-km –</w:t>
                  </w:r>
                  <w:r>
                    <w:rPr>
                      <w:rFonts w:asciiTheme="minorHAnsi" w:hAnsiTheme="minorHAnsi" w:cs="Arial"/>
                      <w:b/>
                      <w:bCs/>
                      <w:color w:val="FFFFFF"/>
                      <w:sz w:val="18"/>
                      <w:szCs w:val="18"/>
                      <w:lang w:val="en-GB"/>
                    </w:rPr>
                    <w:t xml:space="preserve"> </w:t>
                  </w:r>
                  <w:r w:rsidRPr="00495C1D">
                    <w:rPr>
                      <w:rFonts w:asciiTheme="minorHAnsi" w:hAnsiTheme="minorHAnsi" w:cs="Arial"/>
                      <w:b/>
                      <w:bCs/>
                      <w:color w:val="FFFFFF"/>
                      <w:sz w:val="18"/>
                      <w:szCs w:val="18"/>
                      <w:lang w:val="en-GB"/>
                    </w:rPr>
                    <w:t>flat terrain (deteriorated pavement)</w:t>
                  </w:r>
                </w:p>
              </w:tc>
            </w:tr>
            <w:tr w:rsidR="00921721" w:rsidRPr="007463B9" w14:paraId="1F28E42A" w14:textId="77777777" w:rsidTr="00880D09">
              <w:trPr>
                <w:trHeight w:hRule="exact" w:val="313"/>
              </w:trPr>
              <w:tc>
                <w:tcPr>
                  <w:tcW w:w="2119"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58E8211" w14:textId="77777777" w:rsidR="00921721" w:rsidRPr="006A71F9" w:rsidRDefault="00921721" w:rsidP="00880D09">
                  <w:pPr>
                    <w:jc w:val="center"/>
                    <w:rPr>
                      <w:rFonts w:asciiTheme="minorHAnsi" w:hAnsiTheme="minorHAnsi" w:cs="Arial"/>
                      <w:b/>
                      <w:bCs/>
                      <w:color w:val="FFFFFF"/>
                      <w:sz w:val="18"/>
                      <w:szCs w:val="18"/>
                      <w:lang w:val="en-GB"/>
                    </w:rPr>
                  </w:pPr>
                </w:p>
              </w:tc>
              <w:tc>
                <w:tcPr>
                  <w:tcW w:w="241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72072AF"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41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2DC795E"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12158AEF"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C5F100"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0-10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ABB93BA"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1.565</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1EEA76"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3.350</w:t>
                  </w:r>
                </w:p>
              </w:tc>
            </w:tr>
            <w:tr w:rsidR="00921721" w:rsidRPr="007463B9" w14:paraId="4BBBE593"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7FB309"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11-20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0453A9"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1.322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E0A49BE"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2.591</w:t>
                  </w:r>
                </w:p>
              </w:tc>
            </w:tr>
            <w:tr w:rsidR="00921721" w:rsidRPr="007463B9" w14:paraId="67A380A7"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63134B"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21-30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E7E46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1.222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317007"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2.362</w:t>
                  </w:r>
                </w:p>
              </w:tc>
            </w:tr>
            <w:tr w:rsidR="00921721" w:rsidRPr="007463B9" w14:paraId="396F89B3"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8B64C8"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31-40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A60587"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82EE0B5"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2.246</w:t>
                  </w:r>
                </w:p>
              </w:tc>
            </w:tr>
            <w:tr w:rsidR="00921721" w:rsidRPr="007463B9" w14:paraId="32F106E4"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025AF1"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41-50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678AE6"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1.122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F4847A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2.182</w:t>
                  </w:r>
                </w:p>
              </w:tc>
            </w:tr>
            <w:tr w:rsidR="00921721" w:rsidRPr="007463B9" w14:paraId="6BC67B13"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A23669"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51-60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0E555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1.114</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EC42AA"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2.188</w:t>
                  </w:r>
                </w:p>
              </w:tc>
            </w:tr>
            <w:tr w:rsidR="00921721" w:rsidRPr="007463B9" w14:paraId="6A4FEAE2"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6C89E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61-70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6F3427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1.115</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492652"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2.212</w:t>
                  </w:r>
                </w:p>
              </w:tc>
            </w:tr>
            <w:tr w:rsidR="00921721" w:rsidRPr="007463B9" w14:paraId="5DE4A314"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F2CACD"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71-80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B5AE71F"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1.124</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61897E"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2.246</w:t>
                  </w:r>
                </w:p>
              </w:tc>
            </w:tr>
            <w:tr w:rsidR="00921721" w:rsidRPr="007463B9" w14:paraId="3AC3779D"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511D38"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81-90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DDAB6D9"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1.139</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AA583F0"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2.291</w:t>
                  </w:r>
                </w:p>
              </w:tc>
            </w:tr>
            <w:tr w:rsidR="00921721" w:rsidRPr="007463B9" w14:paraId="4B181A1C"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D08B63"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91-100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6804E80"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3504FF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2.351</w:t>
                  </w:r>
                </w:p>
              </w:tc>
            </w:tr>
            <w:tr w:rsidR="00921721" w:rsidRPr="007463B9" w14:paraId="6D7B0182"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AE6F2C"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101-110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EBE45F"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1.187</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A4CDE1"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2.477</w:t>
                  </w:r>
                </w:p>
              </w:tc>
            </w:tr>
            <w:tr w:rsidR="00921721" w:rsidRPr="007463B9" w14:paraId="4BCA1BC5"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F5D11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111-120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B631262"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1.201</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2C507D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2.564</w:t>
                  </w:r>
                </w:p>
              </w:tc>
            </w:tr>
            <w:tr w:rsidR="00921721" w:rsidRPr="007463B9" w14:paraId="29F96E1F"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98208C"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121-130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255561"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1.220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9493EC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2.650</w:t>
                  </w:r>
                </w:p>
              </w:tc>
            </w:tr>
            <w:tr w:rsidR="00921721" w:rsidRPr="007463B9" w14:paraId="596A1D29"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02665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131-140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1CF198"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1.243</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56D33D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2.737</w:t>
                  </w:r>
                </w:p>
              </w:tc>
            </w:tr>
          </w:tbl>
          <w:p w14:paraId="56EDA33B" w14:textId="77777777" w:rsidR="00921721" w:rsidRPr="00B72029" w:rsidRDefault="00921721" w:rsidP="00880D09">
            <w:pPr>
              <w:ind w:right="170"/>
              <w:jc w:val="both"/>
              <w:rPr>
                <w:rFonts w:asciiTheme="minorHAnsi" w:hAnsiTheme="minorHAnsi" w:cs="Arial"/>
                <w:b/>
                <w:i/>
                <w:sz w:val="16"/>
                <w:szCs w:val="16"/>
                <w:lang w:val="en-GB"/>
              </w:rPr>
            </w:pPr>
            <w:r w:rsidRPr="00B72029">
              <w:rPr>
                <w:rFonts w:asciiTheme="minorHAnsi" w:hAnsiTheme="minorHAnsi" w:cs="Arial"/>
                <w:b/>
                <w:i/>
                <w:sz w:val="16"/>
                <w:szCs w:val="16"/>
                <w:lang w:val="en-GB"/>
              </w:rPr>
              <w:t>Source: CUPT-JASPERS work</w:t>
            </w:r>
            <w:r>
              <w:rPr>
                <w:rFonts w:asciiTheme="minorHAnsi" w:hAnsiTheme="minorHAnsi" w:cs="Arial"/>
                <w:b/>
                <w:i/>
                <w:sz w:val="16"/>
                <w:szCs w:val="16"/>
                <w:lang w:val="en-GB"/>
              </w:rPr>
              <w:t>,</w:t>
            </w:r>
            <w:r w:rsidRPr="00B72029">
              <w:rPr>
                <w:rFonts w:asciiTheme="minorHAnsi" w:hAnsiTheme="minorHAnsi" w:cs="Arial"/>
                <w:b/>
                <w:i/>
                <w:sz w:val="16"/>
                <w:szCs w:val="16"/>
                <w:lang w:val="en-GB"/>
              </w:rPr>
              <w:t xml:space="preserve"> </w:t>
            </w:r>
            <w:r>
              <w:rPr>
                <w:rFonts w:asciiTheme="minorHAnsi" w:hAnsiTheme="minorHAnsi" w:cs="Arial"/>
                <w:b/>
                <w:i/>
                <w:sz w:val="16"/>
                <w:szCs w:val="16"/>
                <w:lang w:val="en-GB"/>
              </w:rPr>
              <w:t>details</w:t>
            </w:r>
            <w:r w:rsidRPr="00B72029">
              <w:rPr>
                <w:rFonts w:asciiTheme="minorHAnsi" w:hAnsiTheme="minorHAnsi" w:cs="Arial"/>
                <w:b/>
                <w:i/>
                <w:sz w:val="16"/>
                <w:szCs w:val="16"/>
                <w:lang w:val="en-GB"/>
              </w:rPr>
              <w:t xml:space="preserve"> in Appendix</w:t>
            </w:r>
            <w:r>
              <w:rPr>
                <w:rFonts w:asciiTheme="minorHAnsi" w:hAnsiTheme="minorHAnsi" w:cs="Arial"/>
                <w:b/>
                <w:i/>
                <w:sz w:val="16"/>
                <w:szCs w:val="16"/>
                <w:lang w:val="en-GB"/>
              </w:rPr>
              <w:t> D</w:t>
            </w:r>
            <w:r w:rsidRPr="00B72029">
              <w:rPr>
                <w:rFonts w:asciiTheme="minorHAnsi" w:hAnsiTheme="minorHAnsi" w:cs="Arial"/>
                <w:b/>
                <w:i/>
                <w:sz w:val="16"/>
                <w:szCs w:val="16"/>
                <w:lang w:val="en-GB"/>
              </w:rPr>
              <w:t>.</w:t>
            </w:r>
          </w:p>
          <w:p w14:paraId="759BF981"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Vehicle operating 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w:t>
            </w:r>
            <w:r w:rsidRPr="00B72029">
              <w:rPr>
                <w:lang w:val="en-US"/>
              </w:rPr>
              <w:t xml:space="preserve"> </w:t>
            </w:r>
            <w:r>
              <w:rPr>
                <w:rFonts w:asciiTheme="minorHAnsi" w:hAnsiTheme="minorHAnsi"/>
                <w:lang w:val="en-GB" w:eastAsia="en-US"/>
              </w:rPr>
              <w:t>for combustion motor vehicles</w:t>
            </w:r>
            <w:r w:rsidRPr="00C22769">
              <w:rPr>
                <w:rFonts w:asciiTheme="minorHAnsi" w:hAnsiTheme="minorHAnsi"/>
                <w:lang w:val="en-GB" w:eastAsia="en-US"/>
              </w:rPr>
              <w:t>. These multiplying factors are to be applied to overall VOC:</w:t>
            </w:r>
          </w:p>
          <w:tbl>
            <w:tblPr>
              <w:tblW w:w="3111" w:type="dxa"/>
              <w:tblLayout w:type="fixed"/>
              <w:tblLook w:val="04A0" w:firstRow="1" w:lastRow="0" w:firstColumn="1" w:lastColumn="0" w:noHBand="0" w:noVBand="1"/>
            </w:tblPr>
            <w:tblGrid>
              <w:gridCol w:w="1410"/>
              <w:gridCol w:w="800"/>
              <w:gridCol w:w="901"/>
            </w:tblGrid>
            <w:tr w:rsidR="00921721" w:rsidRPr="007463B9" w14:paraId="0F557897" w14:textId="77777777" w:rsidTr="00880D09">
              <w:trPr>
                <w:trHeight w:hRule="exact" w:val="309"/>
              </w:trPr>
              <w:tc>
                <w:tcPr>
                  <w:tcW w:w="141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BBFB95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80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536BCB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FF183AE"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5745A0DB" w14:textId="77777777" w:rsidTr="00880D09">
              <w:trPr>
                <w:trHeight w:val="258"/>
              </w:trPr>
              <w:tc>
                <w:tcPr>
                  <w:tcW w:w="14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CFFEC2E" w14:textId="77777777" w:rsidR="00921721" w:rsidRPr="00495C1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80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148ACF" w14:textId="77777777" w:rsidR="00921721" w:rsidRPr="00EB4BA2"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1E08D4" w14:textId="77777777" w:rsidR="00921721" w:rsidRPr="00495C1D"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2CD611F0" w14:textId="77777777" w:rsidTr="00880D09">
              <w:trPr>
                <w:trHeight w:val="258"/>
              </w:trPr>
              <w:tc>
                <w:tcPr>
                  <w:tcW w:w="14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38C482"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0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D765A1" w14:textId="77777777" w:rsidR="00921721" w:rsidRPr="00495C1D"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1.032</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B628005" w14:textId="77777777" w:rsidR="00921721" w:rsidRPr="00EB4BA2"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1.200</w:t>
                  </w:r>
                </w:p>
              </w:tc>
            </w:tr>
          </w:tbl>
          <w:p w14:paraId="2B7B0106" w14:textId="77777777" w:rsidR="00921721" w:rsidRPr="00B72029" w:rsidRDefault="00921721" w:rsidP="00880D09">
            <w:pPr>
              <w:ind w:right="170"/>
              <w:jc w:val="both"/>
              <w:rPr>
                <w:rFonts w:asciiTheme="minorHAnsi" w:hAnsiTheme="minorHAnsi" w:cs="Arial"/>
                <w:b/>
                <w:i/>
                <w:sz w:val="16"/>
                <w:szCs w:val="16"/>
                <w:lang w:val="en-GB"/>
              </w:rPr>
            </w:pPr>
            <w:r w:rsidRPr="00B72029">
              <w:rPr>
                <w:rFonts w:asciiTheme="minorHAnsi" w:hAnsiTheme="minorHAnsi" w:cs="Arial"/>
                <w:b/>
                <w:i/>
                <w:sz w:val="16"/>
                <w:szCs w:val="16"/>
                <w:lang w:val="en-GB"/>
              </w:rPr>
              <w:t>Source: CUPT-JASPERS work</w:t>
            </w:r>
            <w:r>
              <w:rPr>
                <w:rFonts w:asciiTheme="minorHAnsi" w:hAnsiTheme="minorHAnsi" w:cs="Arial"/>
                <w:b/>
                <w:i/>
                <w:sz w:val="16"/>
                <w:szCs w:val="16"/>
                <w:lang w:val="en-GB"/>
              </w:rPr>
              <w:t>,</w:t>
            </w:r>
            <w:r w:rsidRPr="00B72029">
              <w:rPr>
                <w:rFonts w:asciiTheme="minorHAnsi" w:hAnsiTheme="minorHAnsi" w:cs="Arial"/>
                <w:b/>
                <w:i/>
                <w:sz w:val="16"/>
                <w:szCs w:val="16"/>
                <w:lang w:val="en-GB"/>
              </w:rPr>
              <w:t xml:space="preserve"> </w:t>
            </w:r>
            <w:r>
              <w:rPr>
                <w:rFonts w:asciiTheme="minorHAnsi" w:hAnsiTheme="minorHAnsi" w:cs="Arial"/>
                <w:b/>
                <w:i/>
                <w:sz w:val="16"/>
                <w:szCs w:val="16"/>
                <w:lang w:val="en-GB"/>
              </w:rPr>
              <w:t>details</w:t>
            </w:r>
            <w:r w:rsidRPr="00B72029">
              <w:rPr>
                <w:rFonts w:asciiTheme="minorHAnsi" w:hAnsiTheme="minorHAnsi" w:cs="Arial"/>
                <w:b/>
                <w:i/>
                <w:sz w:val="16"/>
                <w:szCs w:val="16"/>
                <w:lang w:val="en-GB"/>
              </w:rPr>
              <w:t xml:space="preserve"> in Appendix</w:t>
            </w:r>
            <w:r>
              <w:rPr>
                <w:rFonts w:asciiTheme="minorHAnsi" w:hAnsiTheme="minorHAnsi" w:cs="Arial"/>
                <w:b/>
                <w:i/>
                <w:sz w:val="16"/>
                <w:szCs w:val="16"/>
                <w:lang w:val="en-GB"/>
              </w:rPr>
              <w:t> D</w:t>
            </w:r>
            <w:r w:rsidRPr="00B72029">
              <w:rPr>
                <w:rFonts w:asciiTheme="minorHAnsi" w:hAnsiTheme="minorHAnsi" w:cs="Arial"/>
                <w:b/>
                <w:i/>
                <w:sz w:val="16"/>
                <w:szCs w:val="16"/>
                <w:lang w:val="en-GB"/>
              </w:rPr>
              <w:t xml:space="preserve">. </w:t>
            </w:r>
          </w:p>
          <w:p w14:paraId="28E31F0B" w14:textId="77777777" w:rsidR="00921721" w:rsidRDefault="00921721" w:rsidP="00880D09">
            <w:pPr>
              <w:pStyle w:val="anxnormal"/>
              <w:ind w:left="0"/>
              <w:rPr>
                <w:rFonts w:asciiTheme="minorHAnsi" w:hAnsiTheme="minorHAnsi"/>
                <w:lang w:val="en-GB" w:eastAsia="en-US"/>
              </w:rPr>
            </w:pPr>
            <w:r w:rsidRPr="002C6855">
              <w:rPr>
                <w:rFonts w:asciiTheme="minorHAnsi" w:hAnsiTheme="minorHAnsi"/>
                <w:lang w:val="en-GB" w:eastAsia="en-US"/>
              </w:rPr>
              <w:t xml:space="preserve">Factors for mountainous terrain (with a road gradient exceeding 6%) are not provided because they are not material for the CBA assessment of transport projects to be executed in Poland. Most notably, expressways and motorways </w:t>
            </w:r>
            <w:r>
              <w:rPr>
                <w:rFonts w:asciiTheme="minorHAnsi" w:hAnsiTheme="minorHAnsi"/>
                <w:lang w:val="en-GB" w:eastAsia="en-US"/>
              </w:rPr>
              <w:t xml:space="preserve">(road categories A and S) </w:t>
            </w:r>
            <w:r w:rsidRPr="002C6855">
              <w:rPr>
                <w:rFonts w:asciiTheme="minorHAnsi" w:hAnsiTheme="minorHAnsi"/>
                <w:lang w:val="en-GB" w:eastAsia="en-US"/>
              </w:rPr>
              <w:t>in Poland are as a principle not designed with a gradient exceeding 6% (mountainous).</w:t>
            </w:r>
            <w:r w:rsidRPr="00681812">
              <w:rPr>
                <w:rFonts w:asciiTheme="minorHAnsi" w:hAnsiTheme="minorHAnsi"/>
                <w:lang w:val="en-GB" w:eastAsia="en-US"/>
              </w:rPr>
              <w:t xml:space="preserve"> </w:t>
            </w:r>
          </w:p>
          <w:p w14:paraId="2C2AB6FF" w14:textId="77777777" w:rsidR="00921721" w:rsidRDefault="00921721" w:rsidP="00880D09">
            <w:pPr>
              <w:pStyle w:val="anxnormal"/>
              <w:ind w:left="0"/>
              <w:rPr>
                <w:rFonts w:asciiTheme="minorHAnsi" w:hAnsiTheme="minorHAnsi"/>
                <w:u w:val="single"/>
                <w:lang w:val="en-GB" w:eastAsia="en-US"/>
              </w:rPr>
            </w:pPr>
          </w:p>
          <w:p w14:paraId="7DBB31D8" w14:textId="77777777" w:rsidR="00921721" w:rsidRDefault="00921721" w:rsidP="00880D09">
            <w:pPr>
              <w:pStyle w:val="anxnormal"/>
              <w:ind w:left="0"/>
              <w:rPr>
                <w:rFonts w:asciiTheme="minorHAnsi" w:hAnsiTheme="minorHAnsi"/>
                <w:u w:val="single"/>
                <w:lang w:val="en-GB" w:eastAsia="en-US"/>
              </w:rPr>
            </w:pPr>
          </w:p>
          <w:p w14:paraId="11742A2D" w14:textId="77777777" w:rsidR="00921721" w:rsidRDefault="00921721" w:rsidP="00880D09">
            <w:pPr>
              <w:pStyle w:val="anxnormal"/>
              <w:ind w:left="0"/>
              <w:rPr>
                <w:rFonts w:asciiTheme="minorHAnsi" w:hAnsiTheme="minorHAnsi"/>
                <w:u w:val="single"/>
                <w:lang w:val="en-GB" w:eastAsia="en-US"/>
              </w:rPr>
            </w:pPr>
          </w:p>
          <w:p w14:paraId="3082B9D2"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lastRenderedPageBreak/>
              <w:t>Electric LV – VOC</w:t>
            </w:r>
          </w:p>
          <w:p w14:paraId="221F6CFB"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Since a continuous increase of electric vehicles as part of Polish road fleet is expected, it needs to be reflected in VOC. The VOC for electric vehicles will be constituted of similar components as other LV:</w:t>
            </w:r>
          </w:p>
          <w:p w14:paraId="2AA49BCC" w14:textId="77777777" w:rsidR="00921721" w:rsidRPr="00EB4BA2" w:rsidRDefault="00921721" w:rsidP="00D5736B">
            <w:pPr>
              <w:pStyle w:val="anxnormal"/>
              <w:numPr>
                <w:ilvl w:val="0"/>
                <w:numId w:val="86"/>
              </w:numPr>
              <w:ind w:left="795" w:hanging="795"/>
              <w:rPr>
                <w:rFonts w:asciiTheme="minorHAnsi" w:hAnsiTheme="minorHAnsi"/>
                <w:lang w:val="en-GB"/>
              </w:rPr>
            </w:pPr>
            <w:r>
              <w:rPr>
                <w:rFonts w:asciiTheme="minorHAnsi" w:hAnsiTheme="minorHAnsi"/>
                <w:lang w:val="en-GB"/>
              </w:rPr>
              <w:t>Electricity consumption</w:t>
            </w:r>
            <w:r w:rsidRPr="00731E4E">
              <w:rPr>
                <w:rFonts w:asciiTheme="minorHAnsi" w:hAnsiTheme="minorHAnsi"/>
                <w:lang w:val="en-GB"/>
              </w:rPr>
              <w:t xml:space="preserve"> costs: </w:t>
            </w:r>
            <w:r>
              <w:rPr>
                <w:rFonts w:asciiTheme="minorHAnsi" w:hAnsiTheme="minorHAnsi"/>
                <w:lang w:val="en-GB"/>
              </w:rPr>
              <w:t>an estimated average consumption rate for an average LV of 0.233 kWh/</w:t>
            </w:r>
            <w:proofErr w:type="spellStart"/>
            <w:r>
              <w:rPr>
                <w:rFonts w:asciiTheme="minorHAnsi" w:hAnsiTheme="minorHAnsi"/>
                <w:lang w:val="en-GB"/>
              </w:rPr>
              <w:t>vehkm</w:t>
            </w:r>
            <w:proofErr w:type="spellEnd"/>
            <w:r>
              <w:rPr>
                <w:rFonts w:asciiTheme="minorHAnsi" w:hAnsiTheme="minorHAnsi"/>
                <w:lang w:val="en-GB"/>
              </w:rPr>
              <w:t xml:space="preserve"> to be multiplied by the electricity cost that it is considered at </w:t>
            </w:r>
            <w:r w:rsidRPr="00EB4BA2">
              <w:rPr>
                <w:rFonts w:asciiTheme="minorHAnsi" w:hAnsiTheme="minorHAnsi"/>
                <w:lang w:val="en-GB"/>
              </w:rPr>
              <w:t>0.2044 PLN/kWh</w:t>
            </w:r>
            <w:r w:rsidRPr="00EB4BA2">
              <w:rPr>
                <w:rStyle w:val="Odwoanieprzypisudolnego"/>
                <w:rFonts w:asciiTheme="minorHAnsi" w:hAnsiTheme="minorHAnsi"/>
                <w:lang w:val="en-GB"/>
              </w:rPr>
              <w:footnoteReference w:id="18"/>
            </w:r>
            <w:r w:rsidRPr="00EB4BA2">
              <w:rPr>
                <w:rFonts w:asciiTheme="minorHAnsi" w:hAnsiTheme="minorHAnsi"/>
                <w:lang w:val="en-GB"/>
              </w:rPr>
              <w:t>;</w:t>
            </w:r>
            <w:r>
              <w:rPr>
                <w:rFonts w:asciiTheme="minorHAnsi" w:hAnsiTheme="minorHAnsi"/>
                <w:lang w:val="en-GB"/>
              </w:rPr>
              <w:t xml:space="preserve"> and</w:t>
            </w:r>
          </w:p>
          <w:p w14:paraId="07F9A6F2" w14:textId="77777777" w:rsidR="00921721" w:rsidRDefault="00921721" w:rsidP="00D5736B">
            <w:pPr>
              <w:pStyle w:val="anxnormal"/>
              <w:numPr>
                <w:ilvl w:val="0"/>
                <w:numId w:val="86"/>
              </w:numPr>
              <w:ind w:left="795" w:hanging="795"/>
              <w:rPr>
                <w:rFonts w:asciiTheme="minorHAnsi" w:hAnsiTheme="minorHAnsi"/>
                <w:lang w:val="en-GB"/>
              </w:rPr>
            </w:pPr>
            <w:r w:rsidRPr="00731E4E">
              <w:rPr>
                <w:rFonts w:asciiTheme="minorHAnsi" w:hAnsiTheme="minorHAnsi"/>
                <w:lang w:val="en-GB"/>
              </w:rPr>
              <w:t>Other co</w:t>
            </w:r>
            <w:r>
              <w:rPr>
                <w:rFonts w:asciiTheme="minorHAnsi" w:hAnsiTheme="minorHAnsi"/>
                <w:lang w:val="en-GB"/>
              </w:rPr>
              <w:t>s</w:t>
            </w:r>
            <w:r w:rsidRPr="00731E4E">
              <w:rPr>
                <w:rFonts w:asciiTheme="minorHAnsi" w:hAnsiTheme="minorHAnsi"/>
                <w:lang w:val="en-GB"/>
              </w:rPr>
              <w:t xml:space="preserve">ts: </w:t>
            </w:r>
            <w:r>
              <w:rPr>
                <w:rFonts w:asciiTheme="minorHAnsi" w:hAnsiTheme="minorHAnsi"/>
                <w:lang w:val="en-GB"/>
              </w:rPr>
              <w:t>same fixed costs as for other LV (0.8110 PLN/</w:t>
            </w:r>
            <w:proofErr w:type="spellStart"/>
            <w:r>
              <w:rPr>
                <w:rFonts w:asciiTheme="minorHAnsi" w:hAnsiTheme="minorHAnsi"/>
                <w:lang w:val="en-GB"/>
              </w:rPr>
              <w:t>vehkm</w:t>
            </w:r>
            <w:proofErr w:type="spellEnd"/>
            <w:r>
              <w:rPr>
                <w:rFonts w:asciiTheme="minorHAnsi" w:hAnsiTheme="minorHAnsi"/>
                <w:lang w:val="en-GB"/>
              </w:rPr>
              <w:t>).</w:t>
            </w:r>
          </w:p>
          <w:p w14:paraId="0F86507C" w14:textId="77777777" w:rsidR="00921721" w:rsidRDefault="00921721" w:rsidP="00880D09">
            <w:pPr>
              <w:pStyle w:val="anxnormal"/>
              <w:spacing w:after="120"/>
              <w:ind w:left="0"/>
              <w:rPr>
                <w:rFonts w:asciiTheme="minorHAnsi" w:hAnsiTheme="minorHAnsi"/>
                <w:lang w:val="en-GB"/>
              </w:rPr>
            </w:pPr>
            <w:r>
              <w:rPr>
                <w:rFonts w:asciiTheme="minorHAnsi" w:hAnsiTheme="minorHAnsi"/>
                <w:lang w:val="en-GB"/>
              </w:rPr>
              <w:t xml:space="preserve">Total VOC costs for an average electric LV </w:t>
            </w:r>
            <w:r w:rsidRPr="00EF55D4">
              <w:rPr>
                <w:rFonts w:asciiTheme="minorHAnsi" w:hAnsiTheme="minorHAnsi"/>
                <w:lang w:val="en-GB"/>
              </w:rPr>
              <w:t>results at 0.888PLN</w:t>
            </w:r>
            <w:r>
              <w:rPr>
                <w:rFonts w:asciiTheme="minorHAnsi" w:hAnsiTheme="minorHAnsi"/>
                <w:lang w:val="en-GB"/>
              </w:rPr>
              <w:t>/</w:t>
            </w:r>
            <w:proofErr w:type="spellStart"/>
            <w:r>
              <w:rPr>
                <w:rFonts w:asciiTheme="minorHAnsi" w:hAnsiTheme="minorHAnsi"/>
                <w:lang w:val="en-GB"/>
              </w:rPr>
              <w:t>vehkm</w:t>
            </w:r>
            <w:proofErr w:type="spellEnd"/>
            <w:r>
              <w:rPr>
                <w:rFonts w:asciiTheme="minorHAnsi" w:hAnsiTheme="minorHAnsi"/>
                <w:lang w:val="en-GB"/>
              </w:rPr>
              <w:t xml:space="preserve"> for a road in flat terrain and under good conditions (i.e. after construction/ rehabilitation) at 2021 price level. Multiplier factors related to road condition and type of terrain for petrol/ Diesel LV are also applicable for LV electric vehicles: </w:t>
            </w:r>
          </w:p>
          <w:p w14:paraId="2ECA4BDC" w14:textId="77777777" w:rsidR="00921721" w:rsidRDefault="00921721" w:rsidP="00880D09">
            <w:pPr>
              <w:pStyle w:val="anxnormal"/>
              <w:spacing w:after="120"/>
              <w:ind w:left="0"/>
              <w:rPr>
                <w:rFonts w:asciiTheme="minorHAnsi" w:hAnsiTheme="minorHAnsi"/>
                <w:lang w:val="en-GB" w:eastAsia="en-US"/>
              </w:rPr>
            </w:pPr>
          </w:p>
          <w:p w14:paraId="21CD1436" w14:textId="77777777" w:rsidR="00921721" w:rsidRDefault="00921721" w:rsidP="00880D09">
            <w:pPr>
              <w:pStyle w:val="anxnormal"/>
              <w:spacing w:after="120"/>
              <w:ind w:left="0"/>
              <w:rPr>
                <w:rFonts w:asciiTheme="minorHAnsi" w:hAnsiTheme="minorHAnsi"/>
                <w:lang w:val="en-GB" w:eastAsia="en-US"/>
              </w:rPr>
            </w:pPr>
          </w:p>
          <w:p w14:paraId="538D1490" w14:textId="77777777" w:rsidR="00921721" w:rsidRDefault="00921721" w:rsidP="00880D09">
            <w:pPr>
              <w:pStyle w:val="anxnormal"/>
              <w:spacing w:after="120"/>
              <w:ind w:left="0"/>
              <w:rPr>
                <w:rFonts w:asciiTheme="minorHAnsi" w:hAnsiTheme="minorHAnsi"/>
                <w:lang w:val="en-GB" w:eastAsia="en-US"/>
              </w:rPr>
            </w:pPr>
          </w:p>
          <w:p w14:paraId="665AB3F3"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w:t>
            </w:r>
            <w:r w:rsidRPr="00B72029">
              <w:rPr>
                <w:lang w:val="en-US"/>
              </w:rPr>
              <w:t xml:space="preserve"> </w:t>
            </w:r>
            <w:r w:rsidRPr="008A42F6">
              <w:rPr>
                <w:rFonts w:asciiTheme="minorHAnsi" w:hAnsiTheme="minorHAnsi"/>
                <w:lang w:val="en-GB" w:eastAsia="en-US"/>
              </w:rPr>
              <w:t>for electric vehicles. These multiplying factors are to be applied to overall VOC:</w:t>
            </w:r>
          </w:p>
          <w:tbl>
            <w:tblPr>
              <w:tblW w:w="3395" w:type="dxa"/>
              <w:tblLayout w:type="fixed"/>
              <w:tblLook w:val="04A0" w:firstRow="1" w:lastRow="0" w:firstColumn="1" w:lastColumn="0" w:noHBand="0" w:noVBand="1"/>
            </w:tblPr>
            <w:tblGrid>
              <w:gridCol w:w="1694"/>
              <w:gridCol w:w="850"/>
              <w:gridCol w:w="851"/>
            </w:tblGrid>
            <w:tr w:rsidR="00921721" w:rsidRPr="007463B9" w14:paraId="4D81A265"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B650B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D4425D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A6DB33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44AA4D9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13FCCDE" w14:textId="77777777" w:rsidR="00921721" w:rsidRPr="000105C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A321C4"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85309C3"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r>
            <w:tr w:rsidR="00921721" w:rsidRPr="007463B9" w14:paraId="22C889A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6FE147"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223828"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1.032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2D14ECB"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1.200</w:t>
                  </w:r>
                </w:p>
              </w:tc>
            </w:tr>
          </w:tbl>
          <w:p w14:paraId="02569A14" w14:textId="77777777" w:rsidR="00921721" w:rsidRDefault="00921721" w:rsidP="00880D09">
            <w:pPr>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CUPT-JASPERS work.</w:t>
            </w:r>
          </w:p>
          <w:p w14:paraId="4F6197C7" w14:textId="77777777" w:rsidR="00921721" w:rsidRDefault="00921721" w:rsidP="00880D09">
            <w:pPr>
              <w:pStyle w:val="anxnormal"/>
              <w:spacing w:after="120"/>
              <w:ind w:left="0"/>
              <w:rPr>
                <w:rFonts w:asciiTheme="minorHAnsi" w:hAnsiTheme="minorHAnsi"/>
                <w:lang w:val="en-GB" w:eastAsia="en-US"/>
              </w:rPr>
            </w:pPr>
          </w:p>
          <w:p w14:paraId="6E089512" w14:textId="77777777" w:rsidR="00921721" w:rsidRDefault="00921721" w:rsidP="00880D09">
            <w:pPr>
              <w:pStyle w:val="anxnormal"/>
              <w:spacing w:after="120"/>
              <w:ind w:left="0"/>
              <w:rPr>
                <w:rFonts w:asciiTheme="minorHAnsi" w:hAnsiTheme="minorHAnsi"/>
                <w:lang w:val="en-GB" w:eastAsia="en-US"/>
              </w:rPr>
            </w:pPr>
          </w:p>
          <w:p w14:paraId="5A4BB3F8" w14:textId="77777777" w:rsidR="00921721" w:rsidRPr="00731E4E"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lastRenderedPageBreak/>
              <w:t xml:space="preserve">Costs </w:t>
            </w:r>
            <w:r w:rsidRPr="00E06F74">
              <w:rPr>
                <w:rFonts w:asciiTheme="minorHAnsi" w:hAnsiTheme="minorHAnsi"/>
                <w:lang w:val="en-GB" w:eastAsia="en-US"/>
              </w:rPr>
              <w:t xml:space="preserve">multiplying indicators depending on </w:t>
            </w:r>
            <w:r>
              <w:rPr>
                <w:rFonts w:asciiTheme="minorHAnsi" w:hAnsiTheme="minorHAnsi"/>
                <w:lang w:val="en-GB" w:eastAsia="en-US"/>
              </w:rPr>
              <w:t>pavement</w:t>
            </w:r>
            <w:r w:rsidRPr="00E06F74">
              <w:rPr>
                <w:rFonts w:asciiTheme="minorHAnsi" w:hAnsiTheme="minorHAnsi"/>
                <w:lang w:val="en-GB" w:eastAsia="en-US"/>
              </w:rPr>
              <w:t xml:space="preserve"> condition for electric and hybrid vehicles. </w:t>
            </w:r>
            <w:r w:rsidRPr="00E06F74">
              <w:rPr>
                <w:rFonts w:asciiTheme="minorHAnsi" w:hAnsiTheme="minorHAnsi"/>
                <w:bCs/>
                <w:lang w:val="en-GB" w:eastAsia="en-US"/>
              </w:rPr>
              <w:t>The multiplying factors presented below are applied to overall VOC:</w:t>
            </w:r>
          </w:p>
          <w:tbl>
            <w:tblPr>
              <w:tblW w:w="5358" w:type="dxa"/>
              <w:tblLayout w:type="fixed"/>
              <w:tblLook w:val="04A0" w:firstRow="1" w:lastRow="0" w:firstColumn="1" w:lastColumn="0" w:noHBand="0" w:noVBand="1"/>
            </w:tblPr>
            <w:tblGrid>
              <w:gridCol w:w="2674"/>
              <w:gridCol w:w="1341"/>
              <w:gridCol w:w="1343"/>
            </w:tblGrid>
            <w:tr w:rsidR="00921721" w:rsidRPr="007463B9" w14:paraId="0A153A91" w14:textId="77777777" w:rsidTr="00880D09">
              <w:trPr>
                <w:trHeight w:hRule="exact" w:val="256"/>
              </w:trPr>
              <w:tc>
                <w:tcPr>
                  <w:tcW w:w="267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544289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Pavement condition</w:t>
                  </w:r>
                </w:p>
              </w:tc>
              <w:tc>
                <w:tcPr>
                  <w:tcW w:w="134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2D69148"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34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90623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42AA1160" w14:textId="77777777" w:rsidTr="00880D09">
              <w:trPr>
                <w:trHeight w:val="214"/>
              </w:trPr>
              <w:tc>
                <w:tcPr>
                  <w:tcW w:w="267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748AF0"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Good (rehabilitated/ reconstructed)</w:t>
                  </w:r>
                </w:p>
              </w:tc>
              <w:tc>
                <w:tcPr>
                  <w:tcW w:w="134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031737"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c>
                <w:tcPr>
                  <w:tcW w:w="13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9E86E7"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r>
            <w:tr w:rsidR="00921721" w:rsidRPr="007463B9" w14:paraId="40C95BB7" w14:textId="77777777" w:rsidTr="00880D09">
              <w:trPr>
                <w:trHeight w:val="214"/>
              </w:trPr>
              <w:tc>
                <w:tcPr>
                  <w:tcW w:w="267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69785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Degraded</w:t>
                  </w:r>
                </w:p>
              </w:tc>
              <w:tc>
                <w:tcPr>
                  <w:tcW w:w="134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639E9F0"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1.169</w:t>
                  </w:r>
                </w:p>
              </w:tc>
              <w:tc>
                <w:tcPr>
                  <w:tcW w:w="13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6D0513D"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1.188</w:t>
                  </w:r>
                </w:p>
              </w:tc>
            </w:tr>
          </w:tbl>
          <w:p w14:paraId="07D04B0F" w14:textId="77777777" w:rsidR="00921721" w:rsidRDefault="00921721" w:rsidP="00880D09">
            <w:pPr>
              <w:spacing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w:t>
            </w:r>
            <w:r w:rsidRPr="00B90582">
              <w:rPr>
                <w:rFonts w:asciiTheme="minorHAnsi" w:hAnsiTheme="minorHAnsi" w:cs="Arial"/>
                <w:b/>
                <w:i/>
                <w:sz w:val="16"/>
                <w:szCs w:val="16"/>
                <w:lang w:val="en-GB"/>
              </w:rPr>
              <w:t>"Optimisation of Maintenance", OECD/ITF 2012</w:t>
            </w:r>
            <w:r>
              <w:rPr>
                <w:rFonts w:asciiTheme="minorHAnsi" w:hAnsiTheme="minorHAnsi" w:cs="Arial"/>
                <w:b/>
                <w:i/>
                <w:sz w:val="16"/>
                <w:szCs w:val="16"/>
                <w:lang w:val="en-GB"/>
              </w:rPr>
              <w:t>.</w:t>
            </w:r>
          </w:p>
          <w:p w14:paraId="5CDC2E2D" w14:textId="77777777" w:rsidR="00921721" w:rsidRDefault="00921721" w:rsidP="00880D09">
            <w:pPr>
              <w:pStyle w:val="anxnormal"/>
              <w:ind w:left="0"/>
              <w:rPr>
                <w:rFonts w:asciiTheme="minorHAnsi" w:hAnsiTheme="minorHAnsi"/>
                <w:u w:val="single"/>
                <w:lang w:val="en-GB" w:eastAsia="en-US"/>
              </w:rPr>
            </w:pPr>
          </w:p>
          <w:p w14:paraId="05E4693D"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t>LV – Fleet composition</w:t>
            </w:r>
          </w:p>
          <w:p w14:paraId="26A60A6D"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U</w:t>
            </w:r>
            <w:r w:rsidRPr="00983DF9">
              <w:rPr>
                <w:rFonts w:asciiTheme="minorHAnsi" w:hAnsiTheme="minorHAnsi"/>
                <w:lang w:val="en-GB" w:eastAsia="en-US"/>
              </w:rPr>
              <w:t xml:space="preserve">nit VOC </w:t>
            </w:r>
            <w:r>
              <w:rPr>
                <w:rFonts w:asciiTheme="minorHAnsi" w:hAnsiTheme="minorHAnsi"/>
                <w:lang w:val="en-GB" w:eastAsia="en-US"/>
              </w:rPr>
              <w:t xml:space="preserve">in the table </w:t>
            </w:r>
            <w:r w:rsidRPr="00983DF9">
              <w:rPr>
                <w:rFonts w:asciiTheme="minorHAnsi" w:hAnsiTheme="minorHAnsi"/>
                <w:lang w:val="en-GB" w:eastAsia="en-US"/>
              </w:rPr>
              <w:t>above are based on</w:t>
            </w:r>
            <w:r>
              <w:rPr>
                <w:rFonts w:asciiTheme="minorHAnsi" w:hAnsiTheme="minorHAnsi"/>
                <w:lang w:val="en-GB" w:eastAsia="en-US"/>
              </w:rPr>
              <w:t xml:space="preserve"> current</w:t>
            </w:r>
            <w:r w:rsidRPr="00983DF9">
              <w:rPr>
                <w:rFonts w:asciiTheme="minorHAnsi" w:hAnsiTheme="minorHAnsi"/>
                <w:lang w:val="en-GB" w:eastAsia="en-US"/>
              </w:rPr>
              <w:t xml:space="preserve"> </w:t>
            </w:r>
            <w:r>
              <w:rPr>
                <w:rFonts w:asciiTheme="minorHAnsi" w:hAnsiTheme="minorHAnsi"/>
                <w:lang w:val="en-GB" w:eastAsia="en-US"/>
              </w:rPr>
              <w:t xml:space="preserve">vehicle fleet composition regarding type of </w:t>
            </w:r>
            <w:r w:rsidRPr="001162A3">
              <w:rPr>
                <w:rFonts w:asciiTheme="minorHAnsi" w:hAnsiTheme="minorHAnsi"/>
                <w:lang w:val="en-GB" w:eastAsia="en-US"/>
              </w:rPr>
              <w:t>fuel consumption</w:t>
            </w:r>
            <w:r>
              <w:rPr>
                <w:rFonts w:asciiTheme="minorHAnsi" w:hAnsiTheme="minorHAnsi"/>
                <w:lang w:val="en-GB" w:eastAsia="en-US"/>
              </w:rPr>
              <w:t>, assumed as</w:t>
            </w:r>
            <w:r w:rsidRPr="001162A3">
              <w:rPr>
                <w:rFonts w:asciiTheme="minorHAnsi" w:hAnsiTheme="minorHAnsi"/>
                <w:lang w:val="en-GB" w:eastAsia="en-US"/>
              </w:rPr>
              <w:t xml:space="preserve">: petrol </w:t>
            </w:r>
            <w:r>
              <w:rPr>
                <w:rFonts w:asciiTheme="minorHAnsi" w:hAnsiTheme="minorHAnsi"/>
                <w:lang w:val="en-GB" w:eastAsia="en-US"/>
              </w:rPr>
              <w:t xml:space="preserve">(67.9%) </w:t>
            </w:r>
            <w:r w:rsidRPr="001162A3">
              <w:rPr>
                <w:rFonts w:asciiTheme="minorHAnsi" w:hAnsiTheme="minorHAnsi"/>
                <w:lang w:val="en-GB" w:eastAsia="en-US"/>
              </w:rPr>
              <w:t>and Diesel</w:t>
            </w:r>
            <w:r>
              <w:rPr>
                <w:rFonts w:asciiTheme="minorHAnsi" w:hAnsiTheme="minorHAnsi"/>
                <w:lang w:val="en-GB" w:eastAsia="en-US"/>
              </w:rPr>
              <w:t xml:space="preserve"> (32.1%)</w:t>
            </w:r>
            <w:r w:rsidRPr="001162A3">
              <w:rPr>
                <w:rFonts w:asciiTheme="minorHAnsi" w:hAnsiTheme="minorHAnsi"/>
                <w:lang w:val="en-GB" w:eastAsia="en-US"/>
              </w:rPr>
              <w:t>.</w:t>
            </w:r>
            <w:r>
              <w:rPr>
                <w:rFonts w:asciiTheme="minorHAnsi" w:hAnsiTheme="minorHAnsi"/>
                <w:lang w:val="en-GB" w:eastAsia="en-US"/>
              </w:rPr>
              <w:t xml:space="preserve"> A more detailed fleet composition (including all types of fuel consumption present in Polish LV fleet) is presented below together with respective forecasts. For the purposes of CBA calculations, it is assumed that proposed simplification (i.e. petrol and Diesel only, with shares referred above) is adequate and assumed to match the constant fuel combustion motor LV shares in future.</w:t>
            </w:r>
          </w:p>
          <w:p w14:paraId="4AEAB317" w14:textId="77777777" w:rsidR="00921721" w:rsidRPr="00731E4E" w:rsidRDefault="00921721" w:rsidP="00880D09">
            <w:pPr>
              <w:pStyle w:val="anxnormal"/>
              <w:spacing w:after="120"/>
              <w:ind w:left="0"/>
              <w:rPr>
                <w:rFonts w:asciiTheme="minorHAnsi" w:hAnsiTheme="minorHAnsi"/>
                <w:lang w:val="en-GB" w:eastAsia="en-US"/>
              </w:rPr>
            </w:pPr>
          </w:p>
          <w:tbl>
            <w:tblPr>
              <w:tblW w:w="5553" w:type="dxa"/>
              <w:tblLayout w:type="fixed"/>
              <w:tblLook w:val="04A0" w:firstRow="1" w:lastRow="0" w:firstColumn="1" w:lastColumn="0" w:noHBand="0" w:noVBand="1"/>
            </w:tblPr>
            <w:tblGrid>
              <w:gridCol w:w="3698"/>
              <w:gridCol w:w="1855"/>
            </w:tblGrid>
            <w:tr w:rsidR="00921721" w:rsidRPr="007463B9" w14:paraId="67F7F0AA" w14:textId="77777777" w:rsidTr="00880D09">
              <w:trPr>
                <w:trHeight w:hRule="exact" w:val="753"/>
              </w:trPr>
              <w:tc>
                <w:tcPr>
                  <w:tcW w:w="369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8E55BB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LV fleet composition</w:t>
                  </w:r>
                  <w:r w:rsidRPr="00D4006A">
                    <w:rPr>
                      <w:rFonts w:asciiTheme="minorHAnsi" w:hAnsiTheme="minorHAnsi" w:cs="Arial"/>
                      <w:b/>
                      <w:bCs/>
                      <w:color w:val="FFFFFF"/>
                      <w:sz w:val="18"/>
                      <w:szCs w:val="18"/>
                      <w:lang w:val="en-GB"/>
                    </w:rPr>
                    <w:t xml:space="preserve"> </w:t>
                  </w:r>
                  <w:r w:rsidRPr="00D04EFD">
                    <w:rPr>
                      <w:rFonts w:asciiTheme="minorHAnsi" w:hAnsiTheme="minorHAnsi" w:cs="Arial"/>
                      <w:b/>
                      <w:bCs/>
                      <w:color w:val="FFFFFF"/>
                      <w:sz w:val="18"/>
                      <w:szCs w:val="18"/>
                      <w:lang w:val="en-GB"/>
                    </w:rPr>
                    <w:t xml:space="preserve">regarding </w:t>
                  </w:r>
                  <w:r>
                    <w:rPr>
                      <w:rFonts w:asciiTheme="minorHAnsi" w:hAnsiTheme="minorHAnsi" w:cs="Arial"/>
                      <w:b/>
                      <w:bCs/>
                      <w:color w:val="FFFFFF"/>
                      <w:sz w:val="18"/>
                      <w:szCs w:val="18"/>
                      <w:lang w:val="en-GB"/>
                    </w:rPr>
                    <w:t xml:space="preserve">type of </w:t>
                  </w:r>
                  <w:r w:rsidRPr="00D04EFD">
                    <w:rPr>
                      <w:rFonts w:asciiTheme="minorHAnsi" w:hAnsiTheme="minorHAnsi" w:cs="Arial"/>
                      <w:b/>
                      <w:bCs/>
                      <w:color w:val="FFFFFF"/>
                      <w:sz w:val="18"/>
                      <w:szCs w:val="18"/>
                      <w:lang w:val="en-GB"/>
                    </w:rPr>
                    <w:t>fuel</w:t>
                  </w:r>
                </w:p>
              </w:tc>
              <w:tc>
                <w:tcPr>
                  <w:tcW w:w="185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FD2819"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End 2019</w:t>
                  </w:r>
                </w:p>
              </w:tc>
            </w:tr>
            <w:tr w:rsidR="00921721" w:rsidRPr="007463B9" w14:paraId="21BAF5ED" w14:textId="77777777" w:rsidTr="00880D09">
              <w:trPr>
                <w:trHeight w:val="176"/>
              </w:trPr>
              <w:tc>
                <w:tcPr>
                  <w:tcW w:w="3698" w:type="dxa"/>
                  <w:tcBorders>
                    <w:top w:val="single" w:sz="4" w:space="0" w:color="FFFFFF"/>
                    <w:left w:val="single" w:sz="4" w:space="0" w:color="FFFFFF"/>
                    <w:bottom w:val="single" w:sz="4" w:space="0" w:color="FFFFFF"/>
                    <w:right w:val="nil"/>
                  </w:tcBorders>
                  <w:shd w:val="clear" w:color="auto" w:fill="DBE5F1" w:themeFill="accent1" w:themeFillTint="33"/>
                  <w:hideMark/>
                </w:tcPr>
                <w:p w14:paraId="2DD8A2B2"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Diesel</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hideMark/>
                </w:tcPr>
                <w:p w14:paraId="6AE65796"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32.06%</w:t>
                  </w:r>
                </w:p>
              </w:tc>
            </w:tr>
            <w:tr w:rsidR="00921721" w:rsidRPr="007463B9" w14:paraId="595F4BFE" w14:textId="77777777" w:rsidTr="00880D09">
              <w:trPr>
                <w:trHeight w:val="304"/>
              </w:trPr>
              <w:tc>
                <w:tcPr>
                  <w:tcW w:w="3698" w:type="dxa"/>
                  <w:tcBorders>
                    <w:top w:val="single" w:sz="4" w:space="0" w:color="FFFFFF"/>
                    <w:left w:val="single" w:sz="4" w:space="0" w:color="FFFFFF"/>
                    <w:bottom w:val="single" w:sz="4" w:space="0" w:color="FFFFFF"/>
                    <w:right w:val="nil"/>
                  </w:tcBorders>
                  <w:shd w:val="clear" w:color="auto" w:fill="DBE5F1" w:themeFill="accent1" w:themeFillTint="33"/>
                  <w:hideMark/>
                </w:tcPr>
                <w:p w14:paraId="1C79563F" w14:textId="77777777" w:rsidR="00921721" w:rsidRPr="00CA444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CNG</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hideMark/>
                </w:tcPr>
                <w:p w14:paraId="75EE7DDC"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0.02%</w:t>
                  </w:r>
                </w:p>
              </w:tc>
            </w:tr>
            <w:tr w:rsidR="00921721" w:rsidRPr="007463B9" w14:paraId="728131EF" w14:textId="77777777" w:rsidTr="00880D09">
              <w:trPr>
                <w:trHeight w:val="296"/>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37F33ED8"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LPG</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09BEA9B5"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14.00%</w:t>
                  </w:r>
                </w:p>
              </w:tc>
            </w:tr>
            <w:tr w:rsidR="00921721" w:rsidRPr="007463B9" w14:paraId="0E3DDB77" w14:textId="77777777" w:rsidTr="00880D09">
              <w:trPr>
                <w:trHeight w:val="288"/>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61658BF8"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Petrol</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0FB78389"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53.80%</w:t>
                  </w:r>
                </w:p>
              </w:tc>
            </w:tr>
            <w:tr w:rsidR="00921721" w:rsidRPr="007463B9" w14:paraId="3D3B17C5" w14:textId="77777777" w:rsidTr="00880D09">
              <w:trPr>
                <w:trHeight w:val="281"/>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76191CA6"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 xml:space="preserve">Hybrid </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3C6D03E4"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0.11%</w:t>
                  </w:r>
                </w:p>
              </w:tc>
            </w:tr>
            <w:tr w:rsidR="00921721" w:rsidRPr="007463B9" w14:paraId="5C631365" w14:textId="77777777" w:rsidTr="00880D09">
              <w:trPr>
                <w:trHeight w:val="184"/>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1F0BC785"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Electric</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21F202D3"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0.02%</w:t>
                  </w:r>
                </w:p>
              </w:tc>
            </w:tr>
          </w:tbl>
          <w:p w14:paraId="5FEBF31D" w14:textId="77777777" w:rsidR="00921721" w:rsidRPr="00921721" w:rsidRDefault="00921721" w:rsidP="00880D09">
            <w:pPr>
              <w:ind w:right="170"/>
              <w:jc w:val="both"/>
              <w:rPr>
                <w:rFonts w:asciiTheme="minorHAnsi" w:hAnsiTheme="minorHAnsi"/>
                <w:b/>
                <w:i/>
                <w:sz w:val="16"/>
                <w:szCs w:val="16"/>
                <w:lang w:val="en-GB"/>
              </w:rPr>
            </w:pPr>
            <w:r w:rsidRPr="00921721">
              <w:rPr>
                <w:rFonts w:asciiTheme="minorHAnsi" w:hAnsiTheme="minorHAnsi" w:cs="Arial"/>
                <w:b/>
                <w:i/>
                <w:sz w:val="16"/>
                <w:szCs w:val="16"/>
                <w:lang w:val="en-GB"/>
              </w:rPr>
              <w:t xml:space="preserve">Source: "Transport – </w:t>
            </w:r>
            <w:proofErr w:type="spellStart"/>
            <w:r w:rsidRPr="00921721">
              <w:rPr>
                <w:rFonts w:asciiTheme="minorHAnsi" w:hAnsiTheme="minorHAnsi" w:cs="Arial"/>
                <w:b/>
                <w:i/>
                <w:sz w:val="16"/>
                <w:szCs w:val="16"/>
                <w:lang w:val="en-GB"/>
              </w:rPr>
              <w:t>wyniki</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działalności</w:t>
            </w:r>
            <w:proofErr w:type="spellEnd"/>
            <w:r w:rsidRPr="00921721">
              <w:rPr>
                <w:rFonts w:asciiTheme="minorHAnsi" w:hAnsiTheme="minorHAnsi" w:cs="Arial"/>
                <w:b/>
                <w:i/>
                <w:sz w:val="16"/>
                <w:szCs w:val="16"/>
                <w:lang w:val="en-GB"/>
              </w:rPr>
              <w:t xml:space="preserve"> w 2019 r. Transport – activity results in 2019", GUS, 2020 and forecasts for 2030 and 2050: "</w:t>
            </w:r>
            <w:proofErr w:type="spellStart"/>
            <w:r w:rsidRPr="00921721">
              <w:rPr>
                <w:rFonts w:asciiTheme="minorHAnsi" w:hAnsiTheme="minorHAnsi" w:cs="Arial"/>
                <w:b/>
                <w:i/>
                <w:sz w:val="16"/>
                <w:szCs w:val="16"/>
                <w:lang w:val="en-GB"/>
              </w:rPr>
              <w:t>Ścieżki</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redukcji</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emisji</w:t>
            </w:r>
            <w:proofErr w:type="spellEnd"/>
            <w:r w:rsidRPr="00921721">
              <w:rPr>
                <w:rFonts w:asciiTheme="minorHAnsi" w:hAnsiTheme="minorHAnsi" w:cs="Arial"/>
                <w:b/>
                <w:i/>
                <w:sz w:val="16"/>
                <w:szCs w:val="16"/>
                <w:lang w:val="en-GB"/>
              </w:rPr>
              <w:t xml:space="preserve"> CO2 w </w:t>
            </w:r>
            <w:proofErr w:type="spellStart"/>
            <w:r w:rsidRPr="00921721">
              <w:rPr>
                <w:rFonts w:asciiTheme="minorHAnsi" w:hAnsiTheme="minorHAnsi" w:cs="Arial"/>
                <w:b/>
                <w:i/>
                <w:sz w:val="16"/>
                <w:szCs w:val="16"/>
                <w:lang w:val="en-GB"/>
              </w:rPr>
              <w:t>sektorze</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transportu</w:t>
            </w:r>
            <w:proofErr w:type="spellEnd"/>
            <w:r w:rsidRPr="00921721">
              <w:rPr>
                <w:rFonts w:asciiTheme="minorHAnsi" w:hAnsiTheme="minorHAnsi" w:cs="Arial"/>
                <w:b/>
                <w:i/>
                <w:sz w:val="16"/>
                <w:szCs w:val="16"/>
                <w:lang w:val="en-GB"/>
              </w:rPr>
              <w:t xml:space="preserve"> w </w:t>
            </w:r>
            <w:proofErr w:type="spellStart"/>
            <w:r w:rsidRPr="00921721">
              <w:rPr>
                <w:rFonts w:asciiTheme="minorHAnsi" w:hAnsiTheme="minorHAnsi" w:cs="Arial"/>
                <w:b/>
                <w:i/>
                <w:sz w:val="16"/>
                <w:szCs w:val="16"/>
                <w:lang w:val="en-GB"/>
              </w:rPr>
              <w:t>Polsce</w:t>
            </w:r>
            <w:proofErr w:type="spellEnd"/>
            <w:r w:rsidRPr="00921721">
              <w:rPr>
                <w:rFonts w:asciiTheme="minorHAnsi" w:hAnsiTheme="minorHAnsi" w:cs="Arial"/>
                <w:b/>
                <w:i/>
                <w:sz w:val="16"/>
                <w:szCs w:val="16"/>
                <w:lang w:val="en-GB"/>
              </w:rPr>
              <w:t xml:space="preserve"> w </w:t>
            </w:r>
            <w:proofErr w:type="spellStart"/>
            <w:r w:rsidRPr="00921721">
              <w:rPr>
                <w:rFonts w:asciiTheme="minorHAnsi" w:hAnsiTheme="minorHAnsi" w:cs="Arial"/>
                <w:b/>
                <w:i/>
                <w:sz w:val="16"/>
                <w:szCs w:val="16"/>
                <w:lang w:val="en-GB"/>
              </w:rPr>
              <w:t>kontekście</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Europejskiego</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Zielonego</w:t>
            </w:r>
            <w:proofErr w:type="spellEnd"/>
            <w:r w:rsidRPr="00921721">
              <w:rPr>
                <w:rFonts w:asciiTheme="minorHAnsi" w:hAnsiTheme="minorHAnsi" w:cs="Arial"/>
                <w:b/>
                <w:i/>
                <w:sz w:val="16"/>
                <w:szCs w:val="16"/>
                <w:lang w:val="en-GB"/>
              </w:rPr>
              <w:t xml:space="preserve"> </w:t>
            </w:r>
            <w:proofErr w:type="spellStart"/>
            <w:r w:rsidRPr="00921721">
              <w:rPr>
                <w:rFonts w:asciiTheme="minorHAnsi" w:hAnsiTheme="minorHAnsi" w:cs="Arial"/>
                <w:b/>
                <w:i/>
                <w:sz w:val="16"/>
                <w:szCs w:val="16"/>
                <w:lang w:val="en-GB"/>
              </w:rPr>
              <w:t>Ładu</w:t>
            </w:r>
            <w:proofErr w:type="spellEnd"/>
            <w:r w:rsidRPr="00921721">
              <w:rPr>
                <w:rFonts w:asciiTheme="minorHAnsi" w:hAnsiTheme="minorHAnsi" w:cs="Arial"/>
                <w:b/>
                <w:i/>
                <w:sz w:val="16"/>
                <w:szCs w:val="16"/>
                <w:lang w:val="en-GB"/>
              </w:rPr>
              <w:t>”" CAKE/</w:t>
            </w:r>
            <w:proofErr w:type="spellStart"/>
            <w:r w:rsidRPr="00921721">
              <w:rPr>
                <w:rFonts w:asciiTheme="minorHAnsi" w:hAnsiTheme="minorHAnsi" w:cs="Arial"/>
                <w:b/>
                <w:i/>
                <w:sz w:val="16"/>
                <w:szCs w:val="16"/>
                <w:lang w:val="en-GB"/>
              </w:rPr>
              <w:t>KOBiZE</w:t>
            </w:r>
            <w:proofErr w:type="spellEnd"/>
            <w:r w:rsidRPr="00921721">
              <w:rPr>
                <w:rFonts w:asciiTheme="minorHAnsi" w:hAnsiTheme="minorHAnsi" w:cs="Arial"/>
                <w:b/>
                <w:i/>
                <w:sz w:val="16"/>
                <w:szCs w:val="16"/>
                <w:lang w:val="en-GB"/>
              </w:rPr>
              <w:t>, October 2020.</w:t>
            </w:r>
          </w:p>
          <w:p w14:paraId="79DA8F2D" w14:textId="77777777" w:rsidR="00921721" w:rsidRPr="00921721" w:rsidRDefault="00921721" w:rsidP="00880D09">
            <w:pPr>
              <w:pStyle w:val="anxnormal"/>
              <w:ind w:left="0"/>
              <w:rPr>
                <w:rFonts w:asciiTheme="minorHAnsi" w:hAnsiTheme="minorHAnsi"/>
                <w:lang w:val="en-GB" w:eastAsia="en-US"/>
              </w:rPr>
            </w:pPr>
          </w:p>
          <w:p w14:paraId="50B3A3EA" w14:textId="77777777" w:rsidR="00921721" w:rsidRPr="00921721" w:rsidRDefault="00921721" w:rsidP="00880D09">
            <w:pPr>
              <w:pStyle w:val="anxnormal"/>
              <w:ind w:left="0"/>
              <w:rPr>
                <w:rFonts w:asciiTheme="minorHAnsi" w:hAnsiTheme="minorHAnsi"/>
                <w:lang w:val="en-GB" w:eastAsia="en-US"/>
              </w:rPr>
            </w:pPr>
          </w:p>
          <w:p w14:paraId="16A41782" w14:textId="77777777" w:rsidR="00921721" w:rsidRPr="00921721" w:rsidRDefault="00921721" w:rsidP="00880D09">
            <w:pPr>
              <w:pStyle w:val="anxnormal"/>
              <w:ind w:left="0"/>
              <w:rPr>
                <w:rFonts w:asciiTheme="minorHAnsi" w:hAnsiTheme="minorHAnsi"/>
                <w:lang w:val="en-GB" w:eastAsia="en-US"/>
              </w:rPr>
            </w:pPr>
          </w:p>
          <w:p w14:paraId="3026A55A" w14:textId="77777777" w:rsidR="00921721" w:rsidRPr="00921721" w:rsidRDefault="00921721" w:rsidP="00880D09">
            <w:pPr>
              <w:pStyle w:val="anxnormal"/>
              <w:ind w:left="0"/>
              <w:rPr>
                <w:rFonts w:asciiTheme="minorHAnsi" w:hAnsiTheme="minorHAnsi"/>
                <w:lang w:val="en-GB" w:eastAsia="en-US"/>
              </w:rPr>
            </w:pPr>
          </w:p>
          <w:p w14:paraId="55A24057" w14:textId="77777777" w:rsidR="00921721" w:rsidRDefault="00921721" w:rsidP="00880D09">
            <w:pPr>
              <w:pStyle w:val="anxnormal"/>
              <w:ind w:left="0"/>
              <w:rPr>
                <w:rFonts w:asciiTheme="minorHAnsi" w:hAnsiTheme="minorHAnsi"/>
                <w:lang w:eastAsia="en-US"/>
              </w:rPr>
            </w:pPr>
            <w:r>
              <w:rPr>
                <w:rFonts w:asciiTheme="minorHAnsi" w:hAnsiTheme="minorHAnsi"/>
                <w:lang w:val="en-GB" w:eastAsia="en-US"/>
              </w:rPr>
              <w:lastRenderedPageBreak/>
              <w:t xml:space="preserve">The following tables provide an estimation of the future structure of the LV fleet composition. </w:t>
            </w:r>
            <w:proofErr w:type="spellStart"/>
            <w:r w:rsidRPr="00983DF9">
              <w:rPr>
                <w:rFonts w:asciiTheme="minorHAnsi" w:hAnsiTheme="minorHAnsi"/>
                <w:lang w:eastAsia="en-US"/>
              </w:rPr>
              <w:t>Different</w:t>
            </w:r>
            <w:proofErr w:type="spellEnd"/>
            <w:r w:rsidRPr="00983DF9">
              <w:rPr>
                <w:rFonts w:asciiTheme="minorHAnsi" w:hAnsiTheme="minorHAnsi"/>
                <w:lang w:eastAsia="en-US"/>
              </w:rPr>
              <w:t xml:space="preserve"> </w:t>
            </w:r>
            <w:proofErr w:type="spellStart"/>
            <w:r w:rsidRPr="00983DF9">
              <w:rPr>
                <w:rFonts w:asciiTheme="minorHAnsi" w:hAnsiTheme="minorHAnsi"/>
                <w:lang w:eastAsia="en-US"/>
              </w:rPr>
              <w:t>scenarios</w:t>
            </w:r>
            <w:proofErr w:type="spellEnd"/>
            <w:r w:rsidRPr="00983DF9">
              <w:rPr>
                <w:rFonts w:asciiTheme="minorHAnsi" w:hAnsiTheme="minorHAnsi"/>
                <w:lang w:eastAsia="en-US"/>
              </w:rPr>
              <w:t xml:space="preserve"> </w:t>
            </w:r>
            <w:proofErr w:type="spellStart"/>
            <w:r w:rsidRPr="00983DF9">
              <w:rPr>
                <w:rFonts w:asciiTheme="minorHAnsi" w:hAnsiTheme="minorHAnsi"/>
                <w:lang w:eastAsia="en-US"/>
              </w:rPr>
              <w:t>presented</w:t>
            </w:r>
            <w:proofErr w:type="spellEnd"/>
            <w:r w:rsidRPr="00983DF9">
              <w:rPr>
                <w:rFonts w:asciiTheme="minorHAnsi" w:hAnsiTheme="minorHAnsi"/>
                <w:lang w:eastAsia="en-US"/>
              </w:rPr>
              <w:t xml:space="preserve"> </w:t>
            </w:r>
            <w:proofErr w:type="spellStart"/>
            <w:r>
              <w:rPr>
                <w:rFonts w:asciiTheme="minorHAnsi" w:hAnsiTheme="minorHAnsi"/>
                <w:lang w:eastAsia="en-US"/>
              </w:rPr>
              <w:t>are</w:t>
            </w:r>
            <w:proofErr w:type="spellEnd"/>
            <w:r>
              <w:rPr>
                <w:rFonts w:asciiTheme="minorHAnsi" w:hAnsiTheme="minorHAnsi"/>
                <w:lang w:eastAsia="en-US"/>
              </w:rPr>
              <w:t xml:space="preserve"> </w:t>
            </w:r>
            <w:proofErr w:type="spellStart"/>
            <w:r w:rsidRPr="00356307">
              <w:rPr>
                <w:rFonts w:asciiTheme="minorHAnsi" w:hAnsiTheme="minorHAnsi"/>
                <w:lang w:eastAsia="en-US"/>
              </w:rPr>
              <w:t>b</w:t>
            </w:r>
            <w:r w:rsidRPr="00983DF9">
              <w:rPr>
                <w:rFonts w:asciiTheme="minorHAnsi" w:hAnsiTheme="minorHAnsi"/>
                <w:lang w:eastAsia="en-US"/>
              </w:rPr>
              <w:t>ased</w:t>
            </w:r>
            <w:proofErr w:type="spellEnd"/>
            <w:r w:rsidRPr="00983DF9">
              <w:rPr>
                <w:rFonts w:asciiTheme="minorHAnsi" w:hAnsiTheme="minorHAnsi"/>
                <w:lang w:eastAsia="en-US"/>
              </w:rPr>
              <w:t xml:space="preserve"> on</w:t>
            </w:r>
            <w:r>
              <w:rPr>
                <w:rFonts w:asciiTheme="minorHAnsi" w:hAnsiTheme="minorHAnsi"/>
                <w:lang w:eastAsia="en-US"/>
              </w:rPr>
              <w:t xml:space="preserve"> "Ścieżki redukcji emisji CO2 w sektorze transportu w Polsce w </w:t>
            </w:r>
            <w:r w:rsidRPr="00983DF9">
              <w:rPr>
                <w:rFonts w:asciiTheme="minorHAnsi" w:hAnsiTheme="minorHAnsi"/>
                <w:lang w:eastAsia="en-US"/>
              </w:rPr>
              <w:t>kontekście</w:t>
            </w:r>
            <w:r>
              <w:rPr>
                <w:rFonts w:asciiTheme="minorHAnsi" w:hAnsiTheme="minorHAnsi"/>
                <w:lang w:eastAsia="en-US"/>
              </w:rPr>
              <w:t xml:space="preserve"> „Europejskiego Zielonego Ładu””</w:t>
            </w:r>
            <w:r w:rsidRPr="00983DF9">
              <w:rPr>
                <w:rFonts w:asciiTheme="minorHAnsi" w:hAnsiTheme="minorHAnsi"/>
                <w:lang w:eastAsia="en-US"/>
              </w:rPr>
              <w:t xml:space="preserve"> by CAKE (Centrum Analiz Klimatyczno-Energetycznych), </w:t>
            </w:r>
            <w:proofErr w:type="spellStart"/>
            <w:r w:rsidRPr="00983DF9">
              <w:rPr>
                <w:rFonts w:asciiTheme="minorHAnsi" w:hAnsiTheme="minorHAnsi"/>
                <w:lang w:eastAsia="en-US"/>
              </w:rPr>
              <w:t>Oct</w:t>
            </w:r>
            <w:r>
              <w:rPr>
                <w:rFonts w:asciiTheme="minorHAnsi" w:hAnsiTheme="minorHAnsi"/>
                <w:lang w:eastAsia="en-US"/>
              </w:rPr>
              <w:t>ober</w:t>
            </w:r>
            <w:proofErr w:type="spellEnd"/>
            <w:r w:rsidRPr="00983DF9">
              <w:rPr>
                <w:rFonts w:asciiTheme="minorHAnsi" w:hAnsiTheme="minorHAnsi"/>
                <w:lang w:eastAsia="en-US"/>
              </w:rPr>
              <w:t xml:space="preserve"> 2020</w:t>
            </w:r>
            <w:r>
              <w:rPr>
                <w:rFonts w:asciiTheme="minorHAnsi" w:hAnsiTheme="minorHAnsi"/>
                <w:lang w:eastAsia="en-US"/>
              </w:rPr>
              <w:t>:</w:t>
            </w:r>
          </w:p>
          <w:p w14:paraId="4C8B30DB" w14:textId="77777777" w:rsidR="00921721" w:rsidRPr="00343533" w:rsidRDefault="00921721" w:rsidP="00880D09">
            <w:pPr>
              <w:pStyle w:val="anxnormal"/>
              <w:ind w:left="0"/>
              <w:rPr>
                <w:rFonts w:asciiTheme="minorHAnsi" w:hAnsiTheme="minorHAnsi"/>
                <w:lang w:val="en-GB" w:eastAsia="en-US"/>
              </w:rPr>
            </w:pPr>
            <w:r w:rsidRPr="00343533">
              <w:rPr>
                <w:rFonts w:asciiTheme="minorHAnsi" w:hAnsiTheme="minorHAnsi"/>
                <w:lang w:val="en-GB" w:eastAsia="en-US"/>
              </w:rPr>
              <w:t>Base scenario</w:t>
            </w:r>
          </w:p>
          <w:tbl>
            <w:tblPr>
              <w:tblW w:w="3395" w:type="dxa"/>
              <w:tblLayout w:type="fixed"/>
              <w:tblLook w:val="04A0" w:firstRow="1" w:lastRow="0" w:firstColumn="1" w:lastColumn="0" w:noHBand="0" w:noVBand="1"/>
            </w:tblPr>
            <w:tblGrid>
              <w:gridCol w:w="1694"/>
              <w:gridCol w:w="850"/>
              <w:gridCol w:w="851"/>
            </w:tblGrid>
            <w:tr w:rsidR="00921721" w:rsidRPr="007463B9" w14:paraId="12E5B3E5"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2DE26F1"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F8895CF"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5E8111F"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2050</w:t>
                  </w:r>
                </w:p>
              </w:tc>
            </w:tr>
            <w:tr w:rsidR="00921721" w:rsidRPr="007463B9" w14:paraId="27ABC44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3325A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38E3E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27.4%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B8C7D33"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17.3%</w:t>
                  </w:r>
                </w:p>
              </w:tc>
            </w:tr>
            <w:tr w:rsidR="00921721" w:rsidRPr="007463B9" w14:paraId="7A794BB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3968F5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0606D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41918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0.9%</w:t>
                  </w:r>
                </w:p>
              </w:tc>
            </w:tr>
            <w:tr w:rsidR="00921721" w:rsidRPr="007463B9" w14:paraId="25CB3741"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5BDEE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82981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12.2%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1153DE"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9.8%</w:t>
                  </w:r>
                </w:p>
              </w:tc>
            </w:tr>
            <w:tr w:rsidR="00921721" w:rsidRPr="007463B9" w14:paraId="7EFD8A4B"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1376A8"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BBCDC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52.5%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D2B885"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38.9%</w:t>
                  </w:r>
                </w:p>
              </w:tc>
            </w:tr>
            <w:tr w:rsidR="00921721" w:rsidRPr="007463B9" w14:paraId="2501EEC3"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FAF4DE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34DA6C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5053D00"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9.9%</w:t>
                  </w:r>
                </w:p>
              </w:tc>
            </w:tr>
            <w:tr w:rsidR="00921721" w:rsidRPr="007463B9" w14:paraId="241BAA56"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6316670"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033A7F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8C04B7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23.2%</w:t>
                  </w:r>
                </w:p>
              </w:tc>
            </w:tr>
          </w:tbl>
          <w:p w14:paraId="54626F1F" w14:textId="77777777" w:rsidR="00921721" w:rsidRPr="00343533" w:rsidRDefault="00921721" w:rsidP="00880D09">
            <w:pPr>
              <w:pStyle w:val="anxnormal"/>
              <w:ind w:left="0"/>
              <w:rPr>
                <w:rFonts w:asciiTheme="minorHAnsi" w:hAnsiTheme="minorHAnsi"/>
                <w:lang w:val="en-GB" w:eastAsia="en-US"/>
              </w:rPr>
            </w:pPr>
          </w:p>
          <w:p w14:paraId="5F4DD5D8" w14:textId="77777777" w:rsidR="00921721" w:rsidRPr="00343533" w:rsidRDefault="00921721" w:rsidP="00880D09">
            <w:pPr>
              <w:pStyle w:val="anxnormal"/>
              <w:ind w:left="0"/>
              <w:rPr>
                <w:rFonts w:asciiTheme="minorHAnsi" w:hAnsiTheme="minorHAnsi"/>
                <w:lang w:val="en-GB" w:eastAsia="en-US"/>
              </w:rPr>
            </w:pPr>
            <w:proofErr w:type="spellStart"/>
            <w:r w:rsidRPr="00343533">
              <w:rPr>
                <w:rFonts w:asciiTheme="minorHAnsi" w:hAnsiTheme="minorHAnsi"/>
                <w:lang w:val="en-GB" w:eastAsia="en-US"/>
              </w:rPr>
              <w:t>ETSeq</w:t>
            </w:r>
            <w:proofErr w:type="spellEnd"/>
            <w:r w:rsidRPr="00343533">
              <w:rPr>
                <w:rFonts w:asciiTheme="minorHAnsi" w:hAnsiTheme="minorHAnsi"/>
                <w:lang w:val="en-GB" w:eastAsia="en-US"/>
              </w:rPr>
              <w:t xml:space="preserve"> scenario</w:t>
            </w:r>
          </w:p>
          <w:tbl>
            <w:tblPr>
              <w:tblW w:w="3395" w:type="dxa"/>
              <w:tblLayout w:type="fixed"/>
              <w:tblLook w:val="04A0" w:firstRow="1" w:lastRow="0" w:firstColumn="1" w:lastColumn="0" w:noHBand="0" w:noVBand="1"/>
            </w:tblPr>
            <w:tblGrid>
              <w:gridCol w:w="1694"/>
              <w:gridCol w:w="850"/>
              <w:gridCol w:w="851"/>
            </w:tblGrid>
            <w:tr w:rsidR="00921721" w:rsidRPr="007463B9" w14:paraId="4A0F5C86"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811BAA7"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B3263D2"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72C5040"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2050</w:t>
                  </w:r>
                </w:p>
              </w:tc>
            </w:tr>
            <w:tr w:rsidR="00921721" w:rsidRPr="007463B9" w14:paraId="07B26769"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A5D6023"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B3E084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26.9%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5D0D61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15.4%</w:t>
                  </w:r>
                </w:p>
              </w:tc>
            </w:tr>
            <w:tr w:rsidR="00921721" w:rsidRPr="007463B9" w14:paraId="4F9F4E8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235D0F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59E081E"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AAA3AD1"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0.9%</w:t>
                  </w:r>
                </w:p>
              </w:tc>
            </w:tr>
            <w:tr w:rsidR="00921721" w:rsidRPr="007463B9" w14:paraId="7A6C0A5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953CE8"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4E674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12.0%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DCBDD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8.7%</w:t>
                  </w:r>
                </w:p>
              </w:tc>
            </w:tr>
            <w:tr w:rsidR="00921721" w:rsidRPr="007463B9" w14:paraId="4047E32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DD69E81"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D8B7322"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52.7%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9CCC8F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37.1%</w:t>
                  </w:r>
                </w:p>
              </w:tc>
            </w:tr>
            <w:tr w:rsidR="00921721" w:rsidRPr="007463B9" w14:paraId="77C6D8D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0E3685B"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271C3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4.0%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72237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9.6%</w:t>
                  </w:r>
                </w:p>
              </w:tc>
            </w:tr>
            <w:tr w:rsidR="00921721" w:rsidRPr="007463B9" w14:paraId="3F6478B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27925FE"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CB3472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4.2%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4BE9B9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28.3%</w:t>
                  </w:r>
                </w:p>
              </w:tc>
            </w:tr>
          </w:tbl>
          <w:p w14:paraId="0C78553C" w14:textId="77777777" w:rsidR="00921721" w:rsidRPr="00343533" w:rsidRDefault="00921721" w:rsidP="00880D09">
            <w:pPr>
              <w:pStyle w:val="anxnormal"/>
              <w:ind w:left="0"/>
              <w:rPr>
                <w:rFonts w:asciiTheme="minorHAnsi" w:hAnsiTheme="minorHAnsi"/>
                <w:lang w:val="en-GB" w:eastAsia="en-US"/>
              </w:rPr>
            </w:pPr>
          </w:p>
          <w:p w14:paraId="7F6A9438" w14:textId="77777777" w:rsidR="00921721" w:rsidRPr="00343533" w:rsidRDefault="00921721" w:rsidP="00880D09">
            <w:pPr>
              <w:pStyle w:val="anxnormal"/>
              <w:ind w:left="0"/>
              <w:rPr>
                <w:rFonts w:asciiTheme="minorHAnsi" w:hAnsiTheme="minorHAnsi"/>
                <w:lang w:val="en-GB" w:eastAsia="en-US"/>
              </w:rPr>
            </w:pPr>
            <w:proofErr w:type="spellStart"/>
            <w:r w:rsidRPr="00343533">
              <w:rPr>
                <w:rFonts w:asciiTheme="minorHAnsi" w:hAnsiTheme="minorHAnsi"/>
                <w:lang w:val="en-GB" w:eastAsia="en-US"/>
              </w:rPr>
              <w:t>TechPro</w:t>
            </w:r>
            <w:proofErr w:type="spellEnd"/>
            <w:r w:rsidRPr="00343533">
              <w:rPr>
                <w:rFonts w:asciiTheme="minorHAnsi" w:hAnsiTheme="minorHAnsi"/>
                <w:lang w:val="en-GB" w:eastAsia="en-US"/>
              </w:rPr>
              <w:t xml:space="preserve"> scenario</w:t>
            </w:r>
          </w:p>
          <w:tbl>
            <w:tblPr>
              <w:tblW w:w="3395" w:type="dxa"/>
              <w:tblLayout w:type="fixed"/>
              <w:tblLook w:val="04A0" w:firstRow="1" w:lastRow="0" w:firstColumn="1" w:lastColumn="0" w:noHBand="0" w:noVBand="1"/>
            </w:tblPr>
            <w:tblGrid>
              <w:gridCol w:w="1694"/>
              <w:gridCol w:w="850"/>
              <w:gridCol w:w="851"/>
            </w:tblGrid>
            <w:tr w:rsidR="00921721" w:rsidRPr="007463B9" w14:paraId="2F45C371"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6C515BD"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1DFD4FE" w14:textId="77777777" w:rsidR="00921721" w:rsidRPr="00DA1EFE" w:rsidRDefault="00921721" w:rsidP="00880D09">
                  <w:pPr>
                    <w:snapToGrid w:val="0"/>
                    <w:spacing w:before="20" w:after="20"/>
                    <w:jc w:val="center"/>
                    <w:rPr>
                      <w:rFonts w:asciiTheme="minorHAnsi" w:hAnsiTheme="minorHAnsi" w:cs="Arial"/>
                      <w:b/>
                      <w:bCs/>
                      <w:color w:val="FFFFFF"/>
                      <w:sz w:val="18"/>
                      <w:szCs w:val="18"/>
                      <w:lang w:val="en-GB"/>
                    </w:rPr>
                  </w:pPr>
                  <w:r w:rsidRPr="00DA1EFE">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2FAEC3D" w14:textId="77777777" w:rsidR="00921721" w:rsidRPr="0011069B" w:rsidRDefault="00921721" w:rsidP="00880D09">
                  <w:pPr>
                    <w:snapToGrid w:val="0"/>
                    <w:spacing w:before="20" w:after="20"/>
                    <w:jc w:val="center"/>
                    <w:rPr>
                      <w:rFonts w:asciiTheme="minorHAnsi" w:hAnsiTheme="minorHAnsi" w:cs="Arial"/>
                      <w:b/>
                      <w:bCs/>
                      <w:color w:val="FFFFFF"/>
                      <w:sz w:val="18"/>
                      <w:szCs w:val="18"/>
                      <w:lang w:val="en-GB"/>
                    </w:rPr>
                  </w:pPr>
                  <w:r w:rsidRPr="0011069B">
                    <w:rPr>
                      <w:rFonts w:asciiTheme="minorHAnsi" w:hAnsiTheme="minorHAnsi" w:cs="Arial"/>
                      <w:b/>
                      <w:bCs/>
                      <w:color w:val="FFFFFF"/>
                      <w:sz w:val="18"/>
                      <w:szCs w:val="18"/>
                      <w:lang w:val="en-GB"/>
                    </w:rPr>
                    <w:t>in 2050</w:t>
                  </w:r>
                </w:p>
              </w:tc>
            </w:tr>
            <w:tr w:rsidR="00921721" w:rsidRPr="007463B9" w14:paraId="49412957"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679361"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A8DB518"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26.5%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9695727"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10.5%</w:t>
                  </w:r>
                </w:p>
              </w:tc>
            </w:tr>
            <w:tr w:rsidR="00921721" w:rsidRPr="007463B9" w14:paraId="32CF87B1"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DBD4F5"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385997E"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75E2C20"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0.6%</w:t>
                  </w:r>
                </w:p>
              </w:tc>
            </w:tr>
            <w:tr w:rsidR="00921721" w:rsidRPr="007463B9" w14:paraId="500C9AE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E955064"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139E3E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11.7%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4E9952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5.8%</w:t>
                  </w:r>
                </w:p>
              </w:tc>
            </w:tr>
            <w:tr w:rsidR="00921721" w:rsidRPr="007463B9" w14:paraId="6165EDC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E9FEC5C"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83B47B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50.2%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3BC7A0"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21.8%</w:t>
                  </w:r>
                </w:p>
              </w:tc>
            </w:tr>
            <w:tr w:rsidR="00921721" w:rsidRPr="007463B9" w14:paraId="4161154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E61103E"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CB8DF89"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644969"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12.3%</w:t>
                  </w:r>
                </w:p>
              </w:tc>
            </w:tr>
            <w:tr w:rsidR="00921721" w:rsidRPr="007463B9" w14:paraId="1836CA6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47A910C"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1B590B"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6.1%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D33D31D"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49.0%</w:t>
                  </w:r>
                </w:p>
              </w:tc>
            </w:tr>
          </w:tbl>
          <w:p w14:paraId="08FF236A" w14:textId="77777777" w:rsidR="00921721" w:rsidRDefault="00921721" w:rsidP="00880D09">
            <w:pPr>
              <w:pStyle w:val="anxnormal"/>
              <w:ind w:left="0"/>
              <w:rPr>
                <w:rFonts w:asciiTheme="minorHAnsi" w:hAnsiTheme="minorHAnsi"/>
                <w:lang w:val="en-GB" w:eastAsia="en-US"/>
              </w:rPr>
            </w:pPr>
          </w:p>
          <w:p w14:paraId="3EFE5F1E" w14:textId="77777777" w:rsidR="00921721" w:rsidRDefault="00921721" w:rsidP="00880D09">
            <w:pPr>
              <w:pStyle w:val="anxnormal"/>
              <w:ind w:left="0"/>
              <w:rPr>
                <w:rFonts w:asciiTheme="minorHAnsi" w:hAnsiTheme="minorHAnsi"/>
                <w:lang w:val="en-GB" w:eastAsia="en-US"/>
              </w:rPr>
            </w:pPr>
          </w:p>
          <w:p w14:paraId="3F93D1EC" w14:textId="77777777" w:rsidR="00921721" w:rsidRPr="00D4006A" w:rsidRDefault="00921721" w:rsidP="00880D09">
            <w:pPr>
              <w:pStyle w:val="anxnormal"/>
              <w:ind w:left="0"/>
              <w:rPr>
                <w:rFonts w:asciiTheme="minorHAnsi" w:hAnsiTheme="minorHAnsi"/>
                <w:lang w:val="en-GB" w:eastAsia="en-US"/>
              </w:rPr>
            </w:pPr>
            <w:proofErr w:type="spellStart"/>
            <w:r w:rsidRPr="00D4006A">
              <w:rPr>
                <w:rFonts w:asciiTheme="minorHAnsi" w:hAnsiTheme="minorHAnsi"/>
                <w:lang w:val="en-GB" w:eastAsia="en-US"/>
              </w:rPr>
              <w:lastRenderedPageBreak/>
              <w:t>ProETSeq</w:t>
            </w:r>
            <w:proofErr w:type="spellEnd"/>
            <w:r w:rsidRPr="00D4006A">
              <w:rPr>
                <w:rFonts w:asciiTheme="minorHAnsi" w:hAnsiTheme="minorHAnsi"/>
                <w:lang w:val="en-GB" w:eastAsia="en-US"/>
              </w:rPr>
              <w:t xml:space="preserve"> scenario</w:t>
            </w:r>
          </w:p>
          <w:tbl>
            <w:tblPr>
              <w:tblW w:w="3395" w:type="dxa"/>
              <w:tblLayout w:type="fixed"/>
              <w:tblLook w:val="04A0" w:firstRow="1" w:lastRow="0" w:firstColumn="1" w:lastColumn="0" w:noHBand="0" w:noVBand="1"/>
            </w:tblPr>
            <w:tblGrid>
              <w:gridCol w:w="1694"/>
              <w:gridCol w:w="850"/>
              <w:gridCol w:w="851"/>
            </w:tblGrid>
            <w:tr w:rsidR="00921721" w:rsidRPr="007463B9" w14:paraId="2F4589A9"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4E92447" w14:textId="77777777" w:rsidR="00921721" w:rsidRPr="00DA1EFE"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F216D98" w14:textId="77777777" w:rsidR="00921721" w:rsidRPr="0011069B" w:rsidRDefault="00921721" w:rsidP="00880D09">
                  <w:pPr>
                    <w:snapToGrid w:val="0"/>
                    <w:spacing w:before="20" w:after="20"/>
                    <w:jc w:val="center"/>
                    <w:rPr>
                      <w:rFonts w:asciiTheme="minorHAnsi" w:hAnsiTheme="minorHAnsi" w:cs="Arial"/>
                      <w:b/>
                      <w:bCs/>
                      <w:color w:val="FFFFFF"/>
                      <w:sz w:val="18"/>
                      <w:szCs w:val="18"/>
                      <w:lang w:val="en-GB"/>
                    </w:rPr>
                  </w:pPr>
                  <w:r w:rsidRPr="0011069B">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07623BA" w14:textId="77777777" w:rsidR="00921721" w:rsidRPr="0011069B" w:rsidRDefault="00921721" w:rsidP="00880D09">
                  <w:pPr>
                    <w:snapToGrid w:val="0"/>
                    <w:spacing w:before="20" w:after="20"/>
                    <w:jc w:val="center"/>
                    <w:rPr>
                      <w:rFonts w:asciiTheme="minorHAnsi" w:hAnsiTheme="minorHAnsi" w:cs="Arial"/>
                      <w:b/>
                      <w:bCs/>
                      <w:color w:val="FFFFFF"/>
                      <w:sz w:val="18"/>
                      <w:szCs w:val="18"/>
                      <w:lang w:val="en-GB"/>
                    </w:rPr>
                  </w:pPr>
                  <w:r w:rsidRPr="0011069B">
                    <w:rPr>
                      <w:rFonts w:asciiTheme="minorHAnsi" w:hAnsiTheme="minorHAnsi" w:cs="Arial"/>
                      <w:b/>
                      <w:bCs/>
                      <w:color w:val="FFFFFF"/>
                      <w:sz w:val="18"/>
                      <w:szCs w:val="18"/>
                      <w:lang w:val="en-GB"/>
                    </w:rPr>
                    <w:t>in 2050</w:t>
                  </w:r>
                </w:p>
              </w:tc>
            </w:tr>
            <w:tr w:rsidR="00921721" w:rsidRPr="007463B9" w14:paraId="7B9AD6C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9BEF23C"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5FB978"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26.1%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5B09FB"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9.4%</w:t>
                  </w:r>
                </w:p>
              </w:tc>
            </w:tr>
            <w:tr w:rsidR="00921721" w:rsidRPr="007463B9" w14:paraId="0BA3DA1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2E35AE"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CE46A0"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78500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0.6%</w:t>
                  </w:r>
                </w:p>
              </w:tc>
            </w:tr>
            <w:tr w:rsidR="00921721" w:rsidRPr="007463B9" w14:paraId="14B62D7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7F27667"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BB5234A"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11.6%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F178782"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5.2%</w:t>
                  </w:r>
                </w:p>
              </w:tc>
            </w:tr>
            <w:tr w:rsidR="00921721" w:rsidRPr="007463B9" w14:paraId="1267B59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FBF525"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BF85305"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50.3%</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95EB12"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20.5%</w:t>
                  </w:r>
                </w:p>
              </w:tc>
            </w:tr>
            <w:tr w:rsidR="00921721" w:rsidRPr="007463B9" w14:paraId="339BF321"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FADD6C5"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B15070A"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0BBE70F"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10.0%</w:t>
                  </w:r>
                </w:p>
              </w:tc>
            </w:tr>
            <w:tr w:rsidR="00921721" w:rsidRPr="007463B9" w14:paraId="38CCF91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CB1A2D"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AB7D404"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6.6%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94D629D"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54.3%</w:t>
                  </w:r>
                </w:p>
              </w:tc>
            </w:tr>
          </w:tbl>
          <w:p w14:paraId="2A7DA80D" w14:textId="77777777" w:rsidR="00921721" w:rsidRDefault="00921721" w:rsidP="00880D09">
            <w:pPr>
              <w:pStyle w:val="anxnormal"/>
              <w:ind w:left="0"/>
              <w:rPr>
                <w:rFonts w:asciiTheme="minorHAnsi" w:hAnsiTheme="minorHAnsi"/>
                <w:lang w:val="en-US" w:eastAsia="en-US"/>
              </w:rPr>
            </w:pPr>
            <w:r>
              <w:rPr>
                <w:rFonts w:asciiTheme="minorHAnsi" w:hAnsiTheme="minorHAnsi"/>
                <w:lang w:val="en-US" w:eastAsia="en-US"/>
              </w:rPr>
              <w:t xml:space="preserve">For the purposes of simplifying transport projects’ CBA calculations, it is proposed to consider the simplified fleet composition evolution over time presented below. It is based on the Base Scenario and consistently applies the following assumptions previously referred for current fleet composition: CNG/LPG vehicles perform similarly as petrol engines and therefore are considered in their overall share; hybrid vehicles are considered as part of electric share. It is certainly possible (and might be recommended) to consider the full detailed fleet composition when there is a particular aim to </w:t>
            </w:r>
            <w:proofErr w:type="spellStart"/>
            <w:r>
              <w:rPr>
                <w:rFonts w:asciiTheme="minorHAnsi" w:hAnsiTheme="minorHAnsi"/>
                <w:lang w:val="en-US" w:eastAsia="en-US"/>
              </w:rPr>
              <w:t>analyse</w:t>
            </w:r>
            <w:proofErr w:type="spellEnd"/>
            <w:r>
              <w:rPr>
                <w:rFonts w:asciiTheme="minorHAnsi" w:hAnsiTheme="minorHAnsi"/>
                <w:lang w:val="en-US" w:eastAsia="en-US"/>
              </w:rPr>
              <w:t xml:space="preserve"> impacts of fleet changes. </w:t>
            </w:r>
          </w:p>
          <w:p w14:paraId="31A4BE62" w14:textId="77777777" w:rsidR="00921721" w:rsidRDefault="00921721" w:rsidP="00880D09">
            <w:pPr>
              <w:pStyle w:val="anxnormal"/>
              <w:ind w:left="0"/>
              <w:rPr>
                <w:rFonts w:ascii="Calibri" w:hAnsi="Calibri" w:cs="Calibri"/>
                <w:bCs/>
                <w:color w:val="000000"/>
                <w:szCs w:val="22"/>
                <w:lang w:val="en-US"/>
              </w:rPr>
            </w:pPr>
          </w:p>
          <w:p w14:paraId="18289044" w14:textId="77777777" w:rsidR="00921721" w:rsidRPr="002C6855" w:rsidRDefault="00921721" w:rsidP="00880D09">
            <w:pPr>
              <w:pStyle w:val="anxnormal"/>
              <w:ind w:left="0"/>
              <w:rPr>
                <w:rFonts w:asciiTheme="minorHAnsi" w:hAnsiTheme="minorHAnsi"/>
                <w:sz w:val="18"/>
                <w:lang w:val="en-US" w:eastAsia="en-US"/>
              </w:rPr>
            </w:pPr>
            <w:r w:rsidRPr="002C6855">
              <w:rPr>
                <w:rFonts w:ascii="Calibri" w:hAnsi="Calibri" w:cs="Calibri"/>
                <w:bCs/>
                <w:color w:val="000000"/>
                <w:szCs w:val="22"/>
                <w:lang w:val="en-US"/>
              </w:rPr>
              <w:t>General LV fleet stru</w:t>
            </w:r>
            <w:r>
              <w:rPr>
                <w:rFonts w:ascii="Calibri" w:hAnsi="Calibri" w:cs="Calibri"/>
                <w:bCs/>
                <w:color w:val="000000"/>
                <w:szCs w:val="22"/>
                <w:lang w:val="en-US"/>
              </w:rPr>
              <w:t>c</w:t>
            </w:r>
            <w:r w:rsidRPr="002C6855">
              <w:rPr>
                <w:rFonts w:ascii="Calibri" w:hAnsi="Calibri" w:cs="Calibri"/>
                <w:bCs/>
                <w:color w:val="000000"/>
                <w:szCs w:val="22"/>
                <w:lang w:val="en-US"/>
              </w:rPr>
              <w:t xml:space="preserve">ture </w:t>
            </w:r>
            <w:r>
              <w:rPr>
                <w:rFonts w:ascii="Calibri" w:hAnsi="Calibri" w:cs="Calibri"/>
                <w:bCs/>
                <w:color w:val="000000"/>
                <w:szCs w:val="22"/>
                <w:lang w:val="en-US"/>
              </w:rPr>
              <w:t>forecast</w:t>
            </w:r>
            <w:r w:rsidRPr="002C6855">
              <w:rPr>
                <w:rFonts w:ascii="Calibri" w:hAnsi="Calibri" w:cs="Calibri"/>
                <w:bCs/>
                <w:color w:val="000000"/>
                <w:szCs w:val="22"/>
                <w:lang w:val="en-US"/>
              </w:rPr>
              <w:t xml:space="preserve"> </w:t>
            </w:r>
            <w:r>
              <w:rPr>
                <w:rFonts w:ascii="Calibri" w:hAnsi="Calibri" w:cs="Calibri"/>
                <w:bCs/>
                <w:color w:val="000000"/>
                <w:szCs w:val="22"/>
                <w:lang w:val="en-US"/>
              </w:rPr>
              <w:t>for CBA purposes</w:t>
            </w:r>
          </w:p>
          <w:tbl>
            <w:tblPr>
              <w:tblW w:w="6070" w:type="dxa"/>
              <w:tblLayout w:type="fixed"/>
              <w:tblLook w:val="04A0" w:firstRow="1" w:lastRow="0" w:firstColumn="1" w:lastColumn="0" w:noHBand="0" w:noVBand="1"/>
            </w:tblPr>
            <w:tblGrid>
              <w:gridCol w:w="2423"/>
              <w:gridCol w:w="1215"/>
              <w:gridCol w:w="1216"/>
              <w:gridCol w:w="1216"/>
            </w:tblGrid>
            <w:tr w:rsidR="00921721" w:rsidRPr="007463B9" w14:paraId="50729C97" w14:textId="77777777" w:rsidTr="00880D09">
              <w:trPr>
                <w:trHeight w:hRule="exact" w:val="434"/>
              </w:trPr>
              <w:tc>
                <w:tcPr>
                  <w:tcW w:w="2423"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733524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215"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6E9266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End 2019</w:t>
                  </w:r>
                </w:p>
              </w:tc>
              <w:tc>
                <w:tcPr>
                  <w:tcW w:w="1216"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972C30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02E2F">
                    <w:rPr>
                      <w:rFonts w:asciiTheme="minorHAnsi" w:hAnsiTheme="minorHAnsi" w:cs="Arial"/>
                      <w:b/>
                      <w:bCs/>
                      <w:color w:val="FFFFFF"/>
                      <w:sz w:val="18"/>
                      <w:szCs w:val="18"/>
                      <w:lang w:val="en-GB"/>
                    </w:rPr>
                    <w:t>20</w:t>
                  </w:r>
                  <w:r>
                    <w:rPr>
                      <w:rFonts w:asciiTheme="minorHAnsi" w:hAnsiTheme="minorHAnsi" w:cs="Arial"/>
                      <w:b/>
                      <w:bCs/>
                      <w:color w:val="FFFFFF"/>
                      <w:sz w:val="18"/>
                      <w:szCs w:val="18"/>
                      <w:lang w:val="en-GB"/>
                    </w:rPr>
                    <w:t>3</w:t>
                  </w:r>
                  <w:r w:rsidRPr="00202E2F">
                    <w:rPr>
                      <w:rFonts w:asciiTheme="minorHAnsi" w:hAnsiTheme="minorHAnsi" w:cs="Arial"/>
                      <w:b/>
                      <w:bCs/>
                      <w:color w:val="FFFFFF"/>
                      <w:sz w:val="18"/>
                      <w:szCs w:val="18"/>
                      <w:lang w:val="en-GB"/>
                    </w:rPr>
                    <w:t>0</w:t>
                  </w:r>
                </w:p>
              </w:tc>
              <w:tc>
                <w:tcPr>
                  <w:tcW w:w="1216" w:type="dxa"/>
                  <w:tcBorders>
                    <w:top w:val="single" w:sz="4" w:space="0" w:color="FFFFFF"/>
                    <w:left w:val="single" w:sz="4" w:space="0" w:color="FFFFFF"/>
                    <w:bottom w:val="single" w:sz="4" w:space="0" w:color="FFFFFF"/>
                    <w:right w:val="nil"/>
                  </w:tcBorders>
                  <w:shd w:val="clear" w:color="auto" w:fill="A6A6A6" w:themeFill="background1" w:themeFillShade="A6"/>
                </w:tcPr>
                <w:p w14:paraId="32B12203" w14:textId="77777777" w:rsidR="00921721" w:rsidRPr="00202E2F"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2050</w:t>
                  </w:r>
                </w:p>
              </w:tc>
            </w:tr>
            <w:tr w:rsidR="00921721" w:rsidRPr="007463B9" w14:paraId="66BB3653" w14:textId="77777777" w:rsidTr="00880D09">
              <w:trPr>
                <w:trHeight w:val="361"/>
              </w:trPr>
              <w:tc>
                <w:tcPr>
                  <w:tcW w:w="242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EE1BFB" w14:textId="77777777" w:rsidR="00921721" w:rsidRPr="000105CD" w:rsidRDefault="00921721" w:rsidP="00880D09">
                  <w:pPr>
                    <w:jc w:val="center"/>
                    <w:rPr>
                      <w:rFonts w:asciiTheme="minorHAnsi" w:hAnsiTheme="minorHAnsi" w:cs="Arial"/>
                      <w:color w:val="4F81BD" w:themeColor="accent1"/>
                      <w:sz w:val="18"/>
                      <w:szCs w:val="18"/>
                      <w:lang w:val="en-GB"/>
                    </w:rPr>
                  </w:pPr>
                  <w:r w:rsidRPr="00202E2F">
                    <w:rPr>
                      <w:rFonts w:asciiTheme="minorHAnsi" w:hAnsiTheme="minorHAnsi" w:cs="Arial"/>
                      <w:color w:val="4F81BD" w:themeColor="accent1"/>
                      <w:sz w:val="18"/>
                      <w:szCs w:val="18"/>
                      <w:lang w:val="en-GB"/>
                    </w:rPr>
                    <w:t>Diesel</w:t>
                  </w:r>
                  <w:r>
                    <w:rPr>
                      <w:rFonts w:asciiTheme="minorHAnsi" w:hAnsiTheme="minorHAnsi" w:cs="Arial"/>
                      <w:color w:val="4F81BD" w:themeColor="accent1"/>
                      <w:sz w:val="18"/>
                      <w:szCs w:val="18"/>
                      <w:lang w:val="en-GB"/>
                    </w:rPr>
                    <w:t>/petrol</w:t>
                  </w:r>
                </w:p>
              </w:tc>
              <w:tc>
                <w:tcPr>
                  <w:tcW w:w="12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B43ED4"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100.00%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DB3244"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92.20%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1244016" w14:textId="77777777" w:rsidR="00921721" w:rsidRPr="00202E2F"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66.90%</w:t>
                  </w:r>
                </w:p>
              </w:tc>
            </w:tr>
            <w:tr w:rsidR="00921721" w:rsidRPr="007463B9" w14:paraId="0EC1E38A" w14:textId="77777777" w:rsidTr="00880D09">
              <w:trPr>
                <w:trHeight w:val="361"/>
              </w:trPr>
              <w:tc>
                <w:tcPr>
                  <w:tcW w:w="242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720000C" w14:textId="77777777" w:rsidR="00921721" w:rsidRPr="00CA444D"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12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AE8EE5"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0.00%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ACCC6C"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7.80%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2B0DED" w14:textId="77777777" w:rsidR="00921721" w:rsidRPr="00202E2F"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33.10%</w:t>
                  </w:r>
                </w:p>
              </w:tc>
            </w:tr>
          </w:tbl>
          <w:p w14:paraId="3F42EB14" w14:textId="77777777" w:rsidR="00921721" w:rsidRPr="003A69BF" w:rsidRDefault="00921721" w:rsidP="00880D09">
            <w:pPr>
              <w:pStyle w:val="anxnormal"/>
              <w:ind w:left="0"/>
              <w:rPr>
                <w:rFonts w:asciiTheme="minorHAnsi" w:hAnsiTheme="minorHAnsi"/>
                <w:b/>
                <w:i/>
                <w:lang w:val="en-GB" w:eastAsia="en-US"/>
              </w:rPr>
            </w:pPr>
            <w:r w:rsidRPr="00F354E0">
              <w:rPr>
                <w:rFonts w:asciiTheme="minorHAnsi" w:hAnsiTheme="minorHAnsi"/>
                <w:b/>
                <w:i/>
                <w:lang w:val="en-GB" w:eastAsia="en-US"/>
              </w:rPr>
              <w:t>The above forecasts regarding electric vehicles</w:t>
            </w:r>
            <w:r>
              <w:rPr>
                <w:rFonts w:asciiTheme="minorHAnsi" w:hAnsiTheme="minorHAnsi"/>
                <w:b/>
                <w:i/>
                <w:lang w:val="en-GB" w:eastAsia="en-US"/>
              </w:rPr>
              <w:t>’</w:t>
            </w:r>
            <w:r w:rsidRPr="00F354E0">
              <w:rPr>
                <w:rFonts w:asciiTheme="minorHAnsi" w:hAnsiTheme="minorHAnsi"/>
                <w:b/>
                <w:i/>
                <w:lang w:val="en-GB" w:eastAsia="en-US"/>
              </w:rPr>
              <w:t xml:space="preserve"> shares should be reviewed along the 2021-2027 financial programming period as soon as updated and reliable forecasts for Poland are available.</w:t>
            </w:r>
          </w:p>
          <w:p w14:paraId="0541265A" w14:textId="77777777" w:rsidR="00921721" w:rsidRDefault="00921721" w:rsidP="00880D09">
            <w:pPr>
              <w:pStyle w:val="anxnormal"/>
              <w:ind w:left="0"/>
              <w:rPr>
                <w:rFonts w:asciiTheme="minorHAnsi" w:hAnsiTheme="minorHAnsi"/>
                <w:u w:val="single"/>
                <w:lang w:val="en-GB" w:eastAsia="en-US"/>
              </w:rPr>
            </w:pPr>
          </w:p>
          <w:p w14:paraId="2F68F422"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t>HGV – Fleet composition</w:t>
            </w:r>
          </w:p>
          <w:p w14:paraId="686A80FC" w14:textId="77777777" w:rsidR="00921721" w:rsidRPr="00983DF9" w:rsidRDefault="00921721" w:rsidP="00880D09">
            <w:pPr>
              <w:pStyle w:val="anxnormal"/>
              <w:ind w:left="0"/>
              <w:rPr>
                <w:rFonts w:asciiTheme="minorHAnsi" w:hAnsiTheme="minorHAnsi"/>
                <w:lang w:val="en-US" w:eastAsia="en-US"/>
              </w:rPr>
            </w:pPr>
            <w:r w:rsidRPr="00795D19">
              <w:rPr>
                <w:rFonts w:asciiTheme="minorHAnsi" w:hAnsiTheme="minorHAnsi"/>
                <w:lang w:val="en-US" w:eastAsia="en-US"/>
              </w:rPr>
              <w:t>HG</w:t>
            </w:r>
            <w:r w:rsidRPr="00983DF9">
              <w:rPr>
                <w:rFonts w:asciiTheme="minorHAnsi" w:hAnsiTheme="minorHAnsi"/>
                <w:lang w:val="en-US" w:eastAsia="en-US"/>
              </w:rPr>
              <w:t xml:space="preserve">V fleet structure is assumed to be maintained </w:t>
            </w:r>
            <w:r>
              <w:rPr>
                <w:rFonts w:asciiTheme="minorHAnsi" w:hAnsiTheme="minorHAnsi"/>
                <w:lang w:val="en-US" w:eastAsia="en-US"/>
              </w:rPr>
              <w:t>as 100% Diesel over analysis period.</w:t>
            </w:r>
          </w:p>
          <w:p w14:paraId="58E32C12" w14:textId="77777777" w:rsidR="00921721" w:rsidRDefault="00921721" w:rsidP="00880D09">
            <w:pPr>
              <w:pStyle w:val="anxnormal"/>
              <w:ind w:left="0"/>
              <w:rPr>
                <w:rFonts w:asciiTheme="minorHAnsi" w:hAnsiTheme="minorHAnsi"/>
                <w:u w:val="single"/>
                <w:lang w:val="en-GB" w:eastAsia="en-US"/>
              </w:rPr>
            </w:pPr>
          </w:p>
          <w:p w14:paraId="1E1E974B" w14:textId="77777777" w:rsidR="00921721" w:rsidRDefault="00921721" w:rsidP="00880D09">
            <w:pPr>
              <w:pStyle w:val="anxnormal"/>
              <w:ind w:left="0"/>
              <w:rPr>
                <w:rFonts w:asciiTheme="minorHAnsi" w:hAnsiTheme="minorHAnsi"/>
                <w:u w:val="single"/>
                <w:lang w:val="en-GB" w:eastAsia="en-US"/>
              </w:rPr>
            </w:pPr>
          </w:p>
          <w:p w14:paraId="169EC92D" w14:textId="77777777" w:rsidR="00921721" w:rsidRDefault="00921721" w:rsidP="00880D09">
            <w:pPr>
              <w:pStyle w:val="anxnormal"/>
              <w:ind w:left="0"/>
              <w:rPr>
                <w:rFonts w:asciiTheme="minorHAnsi" w:hAnsiTheme="minorHAnsi"/>
                <w:u w:val="single"/>
                <w:lang w:val="en-GB" w:eastAsia="en-US"/>
              </w:rPr>
            </w:pPr>
          </w:p>
          <w:p w14:paraId="64988E46"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lastRenderedPageBreak/>
              <w:t>Unit cost evolution over time</w:t>
            </w:r>
          </w:p>
          <w:p w14:paraId="4B9705D8"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It is assumed that there will be </w:t>
            </w:r>
            <w:r>
              <w:rPr>
                <w:rFonts w:asciiTheme="minorHAnsi" w:hAnsiTheme="minorHAnsi"/>
                <w:lang w:val="en-GB" w:eastAsia="en-US"/>
              </w:rPr>
              <w:t>no</w:t>
            </w:r>
            <w:r w:rsidRPr="00731E4E">
              <w:rPr>
                <w:rFonts w:asciiTheme="minorHAnsi" w:hAnsiTheme="minorHAnsi"/>
                <w:lang w:val="en-GB" w:eastAsia="en-US"/>
              </w:rPr>
              <w:t xml:space="preserve"> real increase in unit VOC over time</w:t>
            </w:r>
            <w:r w:rsidRPr="005057A8">
              <w:rPr>
                <w:rFonts w:asciiTheme="minorHAnsi" w:hAnsiTheme="minorHAnsi"/>
                <w:lang w:val="en-GB" w:eastAsia="en-US"/>
              </w:rPr>
              <w:t>.</w:t>
            </w:r>
            <w:r w:rsidRPr="002C6855">
              <w:rPr>
                <w:rFonts w:asciiTheme="minorHAnsi" w:hAnsiTheme="minorHAnsi"/>
                <w:lang w:val="en-GB" w:eastAsia="en-US"/>
              </w:rPr>
              <w:t xml:space="preserve"> Only nominal indexation to the price level appropriate for the base year, when it moves on from the </w:t>
            </w:r>
            <w:r w:rsidRPr="0097372E">
              <w:rPr>
                <w:rFonts w:asciiTheme="minorHAnsi" w:hAnsiTheme="minorHAnsi"/>
                <w:lang w:val="en-GB" w:eastAsia="en-US"/>
              </w:rPr>
              <w:t>currently adopted (202</w:t>
            </w:r>
            <w:r>
              <w:rPr>
                <w:rFonts w:asciiTheme="minorHAnsi" w:hAnsiTheme="minorHAnsi"/>
                <w:lang w:val="en-GB" w:eastAsia="en-US"/>
              </w:rPr>
              <w:t>1</w:t>
            </w:r>
            <w:r w:rsidRPr="0097372E">
              <w:rPr>
                <w:rFonts w:asciiTheme="minorHAnsi" w:hAnsiTheme="minorHAnsi"/>
                <w:lang w:val="en-GB" w:eastAsia="en-US"/>
              </w:rPr>
              <w:t>),</w:t>
            </w:r>
            <w:r w:rsidRPr="002C6855">
              <w:rPr>
                <w:rFonts w:asciiTheme="minorHAnsi" w:hAnsiTheme="minorHAnsi"/>
                <w:lang w:val="en-GB" w:eastAsia="en-US"/>
              </w:rPr>
              <w:t xml:space="preserve"> should be conducted with the use of Polish inflation (CPI).</w:t>
            </w:r>
          </w:p>
          <w:p w14:paraId="7BC81751" w14:textId="77777777" w:rsidR="00921721" w:rsidRDefault="00921721" w:rsidP="00880D09">
            <w:pPr>
              <w:pStyle w:val="anxnormal"/>
              <w:ind w:left="0"/>
              <w:rPr>
                <w:rFonts w:asciiTheme="minorHAnsi" w:hAnsiTheme="minorHAnsi"/>
                <w:lang w:val="en-GB" w:eastAsia="en-US"/>
              </w:rPr>
            </w:pPr>
          </w:p>
          <w:p w14:paraId="46337530" w14:textId="77777777" w:rsidR="00921721" w:rsidRPr="006854F1" w:rsidRDefault="00921721" w:rsidP="00880D09">
            <w:pPr>
              <w:pStyle w:val="anxnormal"/>
              <w:ind w:left="0"/>
              <w:rPr>
                <w:rFonts w:asciiTheme="minorHAnsi" w:hAnsiTheme="minorHAnsi" w:cs="Arial-Narrow,Bold"/>
                <w:b/>
                <w:bCs/>
                <w:color w:val="4F81BD" w:themeColor="accent1"/>
                <w:sz w:val="23"/>
                <w:szCs w:val="23"/>
                <w:lang w:val="en-GB" w:eastAsia="en-GB"/>
              </w:rPr>
            </w:pPr>
            <w:r w:rsidRPr="006854F1">
              <w:rPr>
                <w:rFonts w:asciiTheme="minorHAnsi" w:hAnsiTheme="minorHAnsi" w:cs="Arial-Narrow,Bold"/>
                <w:b/>
                <w:bCs/>
                <w:color w:val="4F81BD" w:themeColor="accent1"/>
                <w:sz w:val="23"/>
                <w:szCs w:val="23"/>
                <w:lang w:val="en-GB" w:eastAsia="en-GB"/>
              </w:rPr>
              <w:t xml:space="preserve">5. Costs of road accidents </w:t>
            </w:r>
          </w:p>
          <w:p w14:paraId="3F238888" w14:textId="77777777" w:rsidR="00921721" w:rsidRPr="00731E4E" w:rsidRDefault="00921721" w:rsidP="00880D09">
            <w:pPr>
              <w:pStyle w:val="anxnormal"/>
              <w:spacing w:before="0"/>
              <w:ind w:left="0"/>
              <w:rPr>
                <w:rFonts w:asciiTheme="minorHAnsi" w:hAnsiTheme="minorHAnsi"/>
                <w:lang w:val="en-GB" w:eastAsia="en-US"/>
              </w:rPr>
            </w:pPr>
            <w:r w:rsidRPr="00731E4E">
              <w:rPr>
                <w:rFonts w:asciiTheme="minorHAnsi" w:hAnsiTheme="minorHAnsi"/>
                <w:lang w:val="en-GB" w:eastAsia="en-US"/>
              </w:rPr>
              <w:t xml:space="preserve">Unit costs of road </w:t>
            </w:r>
            <w:r>
              <w:rPr>
                <w:rFonts w:asciiTheme="minorHAnsi" w:hAnsiTheme="minorHAnsi"/>
                <w:lang w:val="en-GB" w:eastAsia="en-US"/>
              </w:rPr>
              <w:t>accidents</w:t>
            </w:r>
            <w:r w:rsidRPr="00731E4E">
              <w:rPr>
                <w:rFonts w:asciiTheme="minorHAnsi" w:hAnsiTheme="minorHAnsi"/>
                <w:lang w:val="en-GB" w:eastAsia="en-US"/>
              </w:rPr>
              <w:t xml:space="preserve"> (PLN/</w:t>
            </w:r>
            <w:r>
              <w:rPr>
                <w:rFonts w:asciiTheme="minorHAnsi" w:hAnsiTheme="minorHAnsi"/>
                <w:lang w:val="en-GB" w:eastAsia="en-US"/>
              </w:rPr>
              <w:t>accident</w:t>
            </w:r>
            <w:r w:rsidRPr="00731E4E">
              <w:rPr>
                <w:rFonts w:asciiTheme="minorHAnsi" w:hAnsiTheme="minorHAnsi"/>
                <w:lang w:val="en-GB" w:eastAsia="en-US"/>
              </w:rPr>
              <w:t>), prices 20</w:t>
            </w:r>
            <w:r>
              <w:rPr>
                <w:rFonts w:asciiTheme="minorHAnsi" w:hAnsiTheme="minorHAnsi"/>
                <w:lang w:val="en-GB" w:eastAsia="en-US"/>
              </w:rPr>
              <w:t xml:space="preserve">21 </w:t>
            </w:r>
          </w:p>
          <w:tbl>
            <w:tblPr>
              <w:tblW w:w="7113" w:type="dxa"/>
              <w:tblLayout w:type="fixed"/>
              <w:tblLook w:val="04A0" w:firstRow="1" w:lastRow="0" w:firstColumn="1" w:lastColumn="0" w:noHBand="0" w:noVBand="1"/>
            </w:tblPr>
            <w:tblGrid>
              <w:gridCol w:w="929"/>
              <w:gridCol w:w="1623"/>
              <w:gridCol w:w="1624"/>
              <w:gridCol w:w="1623"/>
              <w:gridCol w:w="1314"/>
            </w:tblGrid>
            <w:tr w:rsidR="00921721" w:rsidRPr="00583B7F" w14:paraId="2513C6DA" w14:textId="77777777" w:rsidTr="00880D09">
              <w:trPr>
                <w:trHeight w:hRule="exact" w:val="270"/>
              </w:trPr>
              <w:tc>
                <w:tcPr>
                  <w:tcW w:w="929"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13997EE" w14:textId="77777777" w:rsidR="00921721" w:rsidRPr="00583B7F" w:rsidRDefault="00921721" w:rsidP="00880D09">
                  <w:pPr>
                    <w:snapToGrid w:val="0"/>
                    <w:spacing w:before="20" w:after="20"/>
                    <w:jc w:val="center"/>
                    <w:rPr>
                      <w:rFonts w:asciiTheme="minorHAnsi" w:hAnsiTheme="minorHAnsi" w:cs="Arial"/>
                      <w:b/>
                      <w:bCs/>
                      <w:color w:val="FFFFFF"/>
                      <w:sz w:val="15"/>
                      <w:szCs w:val="15"/>
                    </w:rPr>
                  </w:pPr>
                  <w:proofErr w:type="spellStart"/>
                  <w:r w:rsidRPr="00583B7F">
                    <w:rPr>
                      <w:rFonts w:asciiTheme="minorHAnsi" w:hAnsiTheme="minorHAnsi" w:cs="Arial"/>
                      <w:b/>
                      <w:bCs/>
                      <w:color w:val="FFFFFF"/>
                      <w:sz w:val="15"/>
                      <w:szCs w:val="15"/>
                    </w:rPr>
                    <w:t>Year</w:t>
                  </w:r>
                  <w:proofErr w:type="spellEnd"/>
                </w:p>
              </w:tc>
              <w:tc>
                <w:tcPr>
                  <w:tcW w:w="6184" w:type="dxa"/>
                  <w:gridSpan w:val="4"/>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9866D17" w14:textId="77777777" w:rsidR="00921721" w:rsidRPr="00583B7F" w:rsidRDefault="00921721" w:rsidP="00880D09">
                  <w:pPr>
                    <w:snapToGrid w:val="0"/>
                    <w:spacing w:before="20" w:after="20"/>
                    <w:jc w:val="center"/>
                    <w:rPr>
                      <w:rFonts w:asciiTheme="minorHAnsi" w:hAnsiTheme="minorHAnsi" w:cs="Arial"/>
                      <w:b/>
                      <w:bCs/>
                      <w:color w:val="FFFFFF"/>
                      <w:sz w:val="15"/>
                      <w:szCs w:val="15"/>
                    </w:rPr>
                  </w:pPr>
                  <w:proofErr w:type="spellStart"/>
                  <w:r w:rsidRPr="00583B7F">
                    <w:rPr>
                      <w:rFonts w:asciiTheme="minorHAnsi" w:hAnsiTheme="minorHAnsi" w:cs="Arial"/>
                      <w:b/>
                      <w:bCs/>
                      <w:color w:val="FFFFFF"/>
                      <w:sz w:val="15"/>
                      <w:szCs w:val="15"/>
                    </w:rPr>
                    <w:t>Costs</w:t>
                  </w:r>
                  <w:proofErr w:type="spellEnd"/>
                  <w:r w:rsidRPr="00583B7F">
                    <w:rPr>
                      <w:rFonts w:asciiTheme="minorHAnsi" w:hAnsiTheme="minorHAnsi" w:cs="Arial"/>
                      <w:b/>
                      <w:bCs/>
                      <w:color w:val="FFFFFF"/>
                      <w:sz w:val="15"/>
                      <w:szCs w:val="15"/>
                    </w:rPr>
                    <w:t xml:space="preserve"> (PLN)</w:t>
                  </w:r>
                </w:p>
              </w:tc>
            </w:tr>
            <w:tr w:rsidR="00921721" w:rsidRPr="00583B7F" w14:paraId="66940801" w14:textId="77777777" w:rsidTr="00880D09">
              <w:trPr>
                <w:trHeight w:hRule="exact" w:val="478"/>
              </w:trPr>
              <w:tc>
                <w:tcPr>
                  <w:tcW w:w="929"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2C05538" w14:textId="77777777" w:rsidR="00921721" w:rsidRPr="00583B7F" w:rsidRDefault="00921721" w:rsidP="00880D09">
                  <w:pPr>
                    <w:rPr>
                      <w:rFonts w:asciiTheme="minorHAnsi" w:hAnsiTheme="minorHAnsi" w:cs="Arial"/>
                      <w:b/>
                      <w:bCs/>
                      <w:color w:val="FFFFFF"/>
                      <w:sz w:val="15"/>
                      <w:szCs w:val="15"/>
                    </w:rPr>
                  </w:pPr>
                </w:p>
              </w:tc>
              <w:tc>
                <w:tcPr>
                  <w:tcW w:w="162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91E56A" w14:textId="77777777" w:rsidR="00921721" w:rsidRPr="00583B7F" w:rsidRDefault="00921721" w:rsidP="00880D09">
                  <w:pPr>
                    <w:jc w:val="center"/>
                    <w:rPr>
                      <w:rFonts w:asciiTheme="minorHAnsi" w:hAnsiTheme="minorHAnsi" w:cs="Calibri"/>
                      <w:b/>
                      <w:bCs/>
                      <w:color w:val="FFFFFF"/>
                      <w:sz w:val="15"/>
                      <w:szCs w:val="15"/>
                    </w:rPr>
                  </w:pPr>
                  <w:proofErr w:type="spellStart"/>
                  <w:r w:rsidRPr="00583B7F">
                    <w:rPr>
                      <w:rFonts w:asciiTheme="minorHAnsi" w:hAnsiTheme="minorHAnsi" w:cs="Calibri"/>
                      <w:b/>
                      <w:bCs/>
                      <w:color w:val="FFFFFF"/>
                      <w:sz w:val="15"/>
                      <w:szCs w:val="15"/>
                    </w:rPr>
                    <w:t>Fatalities</w:t>
                  </w:r>
                  <w:proofErr w:type="spellEnd"/>
                </w:p>
              </w:tc>
              <w:tc>
                <w:tcPr>
                  <w:tcW w:w="162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31AE376" w14:textId="77777777" w:rsidR="00921721" w:rsidRPr="00583B7F" w:rsidRDefault="00921721" w:rsidP="00880D09">
                  <w:pPr>
                    <w:jc w:val="center"/>
                    <w:rPr>
                      <w:rFonts w:asciiTheme="minorHAnsi" w:hAnsiTheme="minorHAnsi" w:cs="Calibri"/>
                      <w:b/>
                      <w:bCs/>
                      <w:color w:val="FFFFFF"/>
                      <w:sz w:val="15"/>
                      <w:szCs w:val="15"/>
                    </w:rPr>
                  </w:pPr>
                  <w:proofErr w:type="spellStart"/>
                  <w:r w:rsidRPr="00583B7F">
                    <w:rPr>
                      <w:rFonts w:asciiTheme="minorHAnsi" w:hAnsiTheme="minorHAnsi" w:cs="Calibri"/>
                      <w:b/>
                      <w:bCs/>
                      <w:color w:val="FFFFFF"/>
                      <w:sz w:val="15"/>
                      <w:szCs w:val="15"/>
                    </w:rPr>
                    <w:t>Heavily</w:t>
                  </w:r>
                  <w:proofErr w:type="spellEnd"/>
                  <w:r w:rsidRPr="00583B7F">
                    <w:rPr>
                      <w:rFonts w:asciiTheme="minorHAnsi" w:hAnsiTheme="minorHAnsi" w:cs="Calibri"/>
                      <w:b/>
                      <w:bCs/>
                      <w:color w:val="FFFFFF"/>
                      <w:sz w:val="15"/>
                      <w:szCs w:val="15"/>
                    </w:rPr>
                    <w:t xml:space="preserve"> </w:t>
                  </w:r>
                  <w:proofErr w:type="spellStart"/>
                  <w:r w:rsidRPr="00583B7F">
                    <w:rPr>
                      <w:rFonts w:asciiTheme="minorHAnsi" w:hAnsiTheme="minorHAnsi" w:cs="Calibri"/>
                      <w:b/>
                      <w:bCs/>
                      <w:color w:val="FFFFFF"/>
                      <w:sz w:val="15"/>
                      <w:szCs w:val="15"/>
                    </w:rPr>
                    <w:t>Injured</w:t>
                  </w:r>
                  <w:proofErr w:type="spellEnd"/>
                </w:p>
              </w:tc>
              <w:tc>
                <w:tcPr>
                  <w:tcW w:w="162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994E914" w14:textId="77777777" w:rsidR="00921721" w:rsidRPr="00583B7F" w:rsidRDefault="00921721" w:rsidP="00880D09">
                  <w:pPr>
                    <w:jc w:val="center"/>
                    <w:rPr>
                      <w:rFonts w:asciiTheme="minorHAnsi" w:hAnsiTheme="minorHAnsi" w:cs="Calibri"/>
                      <w:b/>
                      <w:bCs/>
                      <w:color w:val="FFFFFF"/>
                      <w:sz w:val="15"/>
                      <w:szCs w:val="15"/>
                    </w:rPr>
                  </w:pPr>
                  <w:proofErr w:type="spellStart"/>
                  <w:r w:rsidRPr="00583B7F">
                    <w:rPr>
                      <w:rFonts w:asciiTheme="minorHAnsi" w:hAnsiTheme="minorHAnsi" w:cs="Calibri"/>
                      <w:b/>
                      <w:bCs/>
                      <w:color w:val="FFFFFF"/>
                      <w:sz w:val="15"/>
                      <w:szCs w:val="15"/>
                    </w:rPr>
                    <w:t>Sligtly</w:t>
                  </w:r>
                  <w:proofErr w:type="spellEnd"/>
                  <w:r w:rsidRPr="00583B7F">
                    <w:rPr>
                      <w:rFonts w:asciiTheme="minorHAnsi" w:hAnsiTheme="minorHAnsi" w:cs="Calibri"/>
                      <w:b/>
                      <w:bCs/>
                      <w:color w:val="FFFFFF"/>
                      <w:sz w:val="15"/>
                      <w:szCs w:val="15"/>
                    </w:rPr>
                    <w:t xml:space="preserve"> </w:t>
                  </w:r>
                  <w:proofErr w:type="spellStart"/>
                  <w:r w:rsidRPr="00583B7F">
                    <w:rPr>
                      <w:rFonts w:asciiTheme="minorHAnsi" w:hAnsiTheme="minorHAnsi" w:cs="Calibri"/>
                      <w:b/>
                      <w:bCs/>
                      <w:color w:val="FFFFFF"/>
                      <w:sz w:val="15"/>
                      <w:szCs w:val="15"/>
                    </w:rPr>
                    <w:t>Injured</w:t>
                  </w:r>
                  <w:proofErr w:type="spellEnd"/>
                </w:p>
              </w:tc>
              <w:tc>
                <w:tcPr>
                  <w:tcW w:w="131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BE7B7C" w14:textId="77777777" w:rsidR="00921721" w:rsidRPr="00583B7F" w:rsidRDefault="00921721" w:rsidP="00880D09">
                  <w:pPr>
                    <w:jc w:val="center"/>
                    <w:rPr>
                      <w:rFonts w:asciiTheme="minorHAnsi" w:hAnsiTheme="minorHAnsi" w:cs="Calibri"/>
                      <w:b/>
                      <w:bCs/>
                      <w:color w:val="FFFFFF"/>
                      <w:sz w:val="15"/>
                      <w:szCs w:val="15"/>
                    </w:rPr>
                  </w:pPr>
                  <w:proofErr w:type="spellStart"/>
                  <w:r w:rsidRPr="00583B7F">
                    <w:rPr>
                      <w:rFonts w:asciiTheme="minorHAnsi" w:hAnsiTheme="minorHAnsi" w:cs="Calibri"/>
                      <w:b/>
                      <w:bCs/>
                      <w:color w:val="FFFFFF"/>
                      <w:sz w:val="15"/>
                      <w:szCs w:val="15"/>
                    </w:rPr>
                    <w:t>Material</w:t>
                  </w:r>
                  <w:proofErr w:type="spellEnd"/>
                  <w:r w:rsidRPr="00583B7F">
                    <w:rPr>
                      <w:rFonts w:asciiTheme="minorHAnsi" w:hAnsiTheme="minorHAnsi" w:cs="Calibri"/>
                      <w:b/>
                      <w:bCs/>
                      <w:color w:val="FFFFFF"/>
                      <w:sz w:val="15"/>
                      <w:szCs w:val="15"/>
                    </w:rPr>
                    <w:t xml:space="preserve"> </w:t>
                  </w:r>
                  <w:proofErr w:type="spellStart"/>
                  <w:r w:rsidRPr="00583B7F">
                    <w:rPr>
                      <w:rFonts w:asciiTheme="minorHAnsi" w:hAnsiTheme="minorHAnsi" w:cs="Calibri"/>
                      <w:b/>
                      <w:bCs/>
                      <w:color w:val="FFFFFF"/>
                      <w:sz w:val="15"/>
                      <w:szCs w:val="15"/>
                    </w:rPr>
                    <w:t>losses</w:t>
                  </w:r>
                  <w:proofErr w:type="spellEnd"/>
                </w:p>
              </w:tc>
            </w:tr>
            <w:tr w:rsidR="00921721" w:rsidRPr="00583B7F" w14:paraId="0FD63651"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0404E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3CD3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2,572,886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78ADD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3,559,367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B1624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51,805</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14037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16,548</w:t>
                  </w:r>
                </w:p>
              </w:tc>
            </w:tr>
            <w:tr w:rsidR="00921721" w:rsidRPr="00583B7F" w14:paraId="2989565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EE708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160DB1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2,677,571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C1E39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3,704,190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44D05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53,912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F9F06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17,221</w:t>
                  </w:r>
                </w:p>
              </w:tc>
            </w:tr>
            <w:tr w:rsidR="00921721" w:rsidRPr="00583B7F" w14:paraId="0029877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C34D0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6E1F0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2,780,404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A9B04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3,846,451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DB7D7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55,983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69F00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17,882</w:t>
                  </w:r>
                </w:p>
              </w:tc>
            </w:tr>
            <w:tr w:rsidR="00921721" w:rsidRPr="00583B7F" w14:paraId="38B1983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3FD5E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FDAC5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2,867,500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C8D73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3,966,940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F5953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57,737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69AA2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18,442</w:t>
                  </w:r>
                </w:p>
              </w:tc>
            </w:tr>
            <w:tr w:rsidR="00921721" w:rsidRPr="00583B7F" w14:paraId="3DBA63AD"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28AF6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DDB1D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2,953,141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FCAAD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4,085,417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33189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59,461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42C63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18,993</w:t>
                  </w:r>
                </w:p>
              </w:tc>
            </w:tr>
            <w:tr w:rsidR="00921721" w:rsidRPr="00583B7F" w14:paraId="1A82EB8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8EB2D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6F0D5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3,041,779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6071E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4,208,041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FF02A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61,246</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14FEE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19,563</w:t>
                  </w:r>
                </w:p>
              </w:tc>
            </w:tr>
            <w:tr w:rsidR="00921721" w:rsidRPr="00583B7F" w14:paraId="6535FEC8"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91B80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4E1AF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3,133,535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6E676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4,334,977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82A2A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63,093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3A7BE2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20,153</w:t>
                  </w:r>
                </w:p>
              </w:tc>
            </w:tr>
            <w:tr w:rsidR="00921721" w:rsidRPr="00583B7F" w14:paraId="345A0292"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37C361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33FEB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3,226,018</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BFEE6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4,462,920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629AE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64,955</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0BB63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20,748</w:t>
                  </w:r>
                </w:p>
              </w:tc>
            </w:tr>
            <w:tr w:rsidR="00921721" w:rsidRPr="00583B7F" w14:paraId="0A51D050"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21636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EFEB8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3,319,126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A2C0E1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4,591,727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252C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66,830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2DA64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21,347</w:t>
                  </w:r>
                </w:p>
              </w:tc>
            </w:tr>
            <w:tr w:rsidR="00921721" w:rsidRPr="00583B7F" w14:paraId="74B90AA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B135B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67D26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3,410,080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008B1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4,717,553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E5F0D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68,661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55340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21,932</w:t>
                  </w:r>
                </w:p>
              </w:tc>
            </w:tr>
            <w:tr w:rsidR="00921721" w:rsidRPr="00583B7F" w14:paraId="78D1C821"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DA0E3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604FB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3,498,534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DDE89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4,839,922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30673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70,442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F4363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22,501</w:t>
                  </w:r>
                </w:p>
              </w:tc>
            </w:tr>
            <w:tr w:rsidR="00921721" w:rsidRPr="00583B7F" w14:paraId="086A3698"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F7918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E95AA8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3,587,030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EBCAEE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4,962,348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8E98E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72,224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8DA11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23,070</w:t>
                  </w:r>
                </w:p>
              </w:tc>
            </w:tr>
            <w:tr w:rsidR="00921721" w:rsidRPr="00583B7F" w14:paraId="463E7FD7"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BD180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4F578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3,675,418</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DCA1B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5,084,626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33D51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74,004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E83ED9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23,639</w:t>
                  </w:r>
                </w:p>
              </w:tc>
            </w:tr>
            <w:tr w:rsidR="00921721" w:rsidRPr="00583B7F" w14:paraId="0AEF2BB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BB279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EB509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3,763,539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80285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5,206,534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98903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75,778</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E2269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24,205</w:t>
                  </w:r>
                </w:p>
              </w:tc>
            </w:tr>
            <w:tr w:rsidR="00921721" w:rsidRPr="00583B7F" w14:paraId="345D45E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6C386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BF6F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3,851,223</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FD789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5,327,837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08B23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77,544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A9D50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24,769</w:t>
                  </w:r>
                </w:p>
              </w:tc>
            </w:tr>
            <w:tr w:rsidR="00921721" w:rsidRPr="00583B7F" w14:paraId="19BADE4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5088A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96B28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3,941,372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4AB7E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5,452,550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67D3BB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79,359</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686A1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25,349</w:t>
                  </w:r>
                </w:p>
              </w:tc>
            </w:tr>
            <w:tr w:rsidR="00921721" w:rsidRPr="00583B7F" w14:paraId="4D012C69"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EF2A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2C4A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4,030,893</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37AE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5,576,395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21A3D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81,161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497C22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25,925</w:t>
                  </w:r>
                </w:p>
              </w:tc>
            </w:tr>
            <w:tr w:rsidR="00921721" w:rsidRPr="00583B7F" w14:paraId="090664D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1119FD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2E0A4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4,119,595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4DBD8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5,699,106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6BEB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82,947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2484C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26,495</w:t>
                  </w:r>
                </w:p>
              </w:tc>
            </w:tr>
            <w:tr w:rsidR="00921721" w:rsidRPr="00583B7F" w14:paraId="6C209176"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58505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0E320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4,207,281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A31BE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5,820,412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71439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84,713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3A717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27,059</w:t>
                  </w:r>
                </w:p>
              </w:tc>
            </w:tr>
            <w:tr w:rsidR="00921721" w:rsidRPr="00583B7F" w14:paraId="65306CA2"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795FE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6089C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4,293,747</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91F9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5,940,031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10E61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86,454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573F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27,615</w:t>
                  </w:r>
                </w:p>
              </w:tc>
            </w:tr>
            <w:tr w:rsidR="00921721" w:rsidRPr="00583B7F" w14:paraId="0CDB8E20"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C4815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A264B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4,378,813</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FF456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6,057,713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15863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88,167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ECA95A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28,162</w:t>
                  </w:r>
                </w:p>
              </w:tc>
            </w:tr>
            <w:tr w:rsidR="00921721" w:rsidRPr="00583B7F" w14:paraId="78E11C5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E8081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8A2E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4,462,262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2B575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6,173,158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C171D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89,847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389CB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28,699</w:t>
                  </w:r>
                </w:p>
              </w:tc>
            </w:tr>
            <w:tr w:rsidR="00921721" w:rsidRPr="00583B7F" w14:paraId="3DAD907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099CE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D565F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4,543,934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B6A8E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6,286,143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7A616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91,491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F7DB8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29,224</w:t>
                  </w:r>
                </w:p>
              </w:tc>
            </w:tr>
            <w:tr w:rsidR="00921721" w:rsidRPr="00583B7F" w14:paraId="7D5B414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8C684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lastRenderedPageBreak/>
                    <w:t>2044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88F1A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4,627,288</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AADA8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6,401,456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8D23A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93,170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19CF47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29,760</w:t>
                  </w:r>
                </w:p>
              </w:tc>
            </w:tr>
            <w:tr w:rsidR="00921721" w:rsidRPr="00583B7F" w14:paraId="0B501A87"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E569D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1B138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4,708,644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C936D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6,514,005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4A192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94,808</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B3730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30,284</w:t>
                  </w:r>
                </w:p>
              </w:tc>
            </w:tr>
            <w:tr w:rsidR="00921721" w:rsidRPr="00583B7F" w14:paraId="7104AAFC"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1657D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342EF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4,787,825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FB8AF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6,623,546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0FAEA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96,402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AD077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30,793</w:t>
                  </w:r>
                </w:p>
              </w:tc>
            </w:tr>
            <w:tr w:rsidR="00921721" w:rsidRPr="00583B7F" w14:paraId="3990340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20735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F4C85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4,868,505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B56F6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6,735,159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7F305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98,026</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6F1BF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31,312</w:t>
                  </w:r>
                </w:p>
              </w:tc>
            </w:tr>
            <w:tr w:rsidR="00921721" w:rsidRPr="00583B7F" w14:paraId="4198C9FB"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281EC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324B6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4,946,801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84943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6,843,476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364F2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99,603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886BB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31,815</w:t>
                  </w:r>
                </w:p>
              </w:tc>
            </w:tr>
            <w:tr w:rsidR="00921721" w:rsidRPr="00583B7F" w14:paraId="29E550F9"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898A1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842B8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5,026,490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871F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6,953,719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FBE3DD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101,207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5722F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32,328</w:t>
                  </w:r>
                </w:p>
              </w:tc>
            </w:tr>
            <w:tr w:rsidR="00921721" w:rsidRPr="00583B7F" w14:paraId="2C5210C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6021D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003FD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5,107,586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9D7D5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7,065,908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DF07F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102,840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425F6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32,850</w:t>
                  </w:r>
                </w:p>
              </w:tc>
            </w:tr>
            <w:tr w:rsidR="00921721" w:rsidRPr="00583B7F" w14:paraId="0F5A983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35AD53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B2BC4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5,185,972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ECED9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7,174,348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62B95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104,419</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36D9E3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33,354</w:t>
                  </w:r>
                </w:p>
              </w:tc>
            </w:tr>
            <w:tr w:rsidR="00921721" w:rsidRPr="00583B7F" w14:paraId="17BB18A6"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8F3F3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F78FFC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5,264,869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F8D36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7,283,495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D3D28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106,007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40DF1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33,861</w:t>
                  </w:r>
                </w:p>
              </w:tc>
            </w:tr>
            <w:tr w:rsidR="00921721" w:rsidRPr="00583B7F" w14:paraId="2ABA43E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AD60F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6E84B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5,344,966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E6C40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7,394,303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FB7FC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107,620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61244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34,376</w:t>
                  </w:r>
                </w:p>
              </w:tc>
            </w:tr>
            <w:tr w:rsidR="00921721" w:rsidRPr="00583B7F" w14:paraId="2858803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CB320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4A48B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5,426,282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D3C9E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7,506,797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F66D4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109,257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CB110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34,899</w:t>
                  </w:r>
                </w:p>
              </w:tc>
            </w:tr>
            <w:tr w:rsidR="00921721" w:rsidRPr="00583B7F" w14:paraId="63003D55"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3BE64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FDBD8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5,508,835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5DDE4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7,621,002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2546F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110,919</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21928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35,430</w:t>
                  </w:r>
                </w:p>
              </w:tc>
            </w:tr>
            <w:tr w:rsidR="00921721" w:rsidRPr="00583B7F" w14:paraId="4E203AC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3DC75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15FA5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5,592,644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311D3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7,736,945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39AEE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112,607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F6AB8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35,969</w:t>
                  </w:r>
                </w:p>
              </w:tc>
            </w:tr>
            <w:tr w:rsidR="00921721" w:rsidRPr="00583B7F" w14:paraId="46DE9761"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7CD0F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6995A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5,677,729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9F268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7,854,651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95AA0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114,320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A80BE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36,516</w:t>
                  </w:r>
                </w:p>
              </w:tc>
            </w:tr>
            <w:tr w:rsidR="00921721" w:rsidRPr="00583B7F" w14:paraId="4EF69429"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624FF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AA358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5,768,672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74EA7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7,980,463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52F27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116,151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2C1A3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37,101</w:t>
                  </w:r>
                </w:p>
              </w:tc>
            </w:tr>
            <w:tr w:rsidR="00921721" w:rsidRPr="00583B7F" w14:paraId="4590F5F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9EBD3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CCC18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5,861,071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29A29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8,108,290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4EBA4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118,012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4CACE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37,696</w:t>
                  </w:r>
                </w:p>
              </w:tc>
            </w:tr>
            <w:tr w:rsidR="00921721" w:rsidRPr="00583B7F" w14:paraId="5D612B1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3941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2060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862E8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5,954,951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36F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8,238,165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CDEF4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119,902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61E37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38,299</w:t>
                  </w:r>
                </w:p>
              </w:tc>
            </w:tr>
          </w:tbl>
          <w:p w14:paraId="73C00FA3" w14:textId="77777777" w:rsidR="00921721" w:rsidRPr="00583B7F" w:rsidRDefault="00921721" w:rsidP="00880D09">
            <w:pPr>
              <w:ind w:right="170"/>
              <w:jc w:val="both"/>
              <w:rPr>
                <w:rFonts w:asciiTheme="minorHAnsi" w:hAnsiTheme="minorHAnsi" w:cs="Arial"/>
                <w:b/>
                <w:i/>
                <w:sz w:val="16"/>
                <w:szCs w:val="16"/>
              </w:rPr>
            </w:pPr>
            <w:r w:rsidRPr="00583B7F">
              <w:rPr>
                <w:rFonts w:asciiTheme="minorHAnsi" w:hAnsiTheme="minorHAnsi" w:cs="Arial"/>
                <w:b/>
                <w:i/>
                <w:sz w:val="16"/>
                <w:szCs w:val="16"/>
              </w:rPr>
              <w:t xml:space="preserve">Source: CUPT-JASPERS </w:t>
            </w:r>
            <w:proofErr w:type="spellStart"/>
            <w:r w:rsidRPr="00583B7F">
              <w:rPr>
                <w:rFonts w:asciiTheme="minorHAnsi" w:hAnsiTheme="minorHAnsi" w:cs="Arial"/>
                <w:b/>
                <w:i/>
                <w:sz w:val="16"/>
                <w:szCs w:val="16"/>
              </w:rPr>
              <w:t>work</w:t>
            </w:r>
            <w:proofErr w:type="spellEnd"/>
            <w:r w:rsidRPr="00583B7F">
              <w:rPr>
                <w:rFonts w:asciiTheme="minorHAnsi" w:hAnsiTheme="minorHAnsi" w:cs="Arial"/>
                <w:b/>
                <w:i/>
                <w:sz w:val="16"/>
                <w:szCs w:val="16"/>
              </w:rPr>
              <w:t xml:space="preserve"> </w:t>
            </w:r>
            <w:proofErr w:type="spellStart"/>
            <w:r w:rsidRPr="00583B7F">
              <w:rPr>
                <w:rFonts w:asciiTheme="minorHAnsi" w:hAnsiTheme="minorHAnsi" w:cs="Arial"/>
                <w:b/>
                <w:i/>
                <w:sz w:val="16"/>
                <w:szCs w:val="16"/>
              </w:rPr>
              <w:t>based</w:t>
            </w:r>
            <w:proofErr w:type="spellEnd"/>
            <w:r>
              <w:rPr>
                <w:rFonts w:asciiTheme="minorHAnsi" w:hAnsiTheme="minorHAnsi" w:cs="Arial"/>
                <w:b/>
                <w:i/>
                <w:sz w:val="16"/>
                <w:szCs w:val="16"/>
              </w:rPr>
              <w:t xml:space="preserve"> on "Wycena kosztów wypadków i </w:t>
            </w:r>
            <w:r w:rsidRPr="00583B7F">
              <w:rPr>
                <w:rFonts w:asciiTheme="minorHAnsi" w:hAnsiTheme="minorHAnsi" w:cs="Arial"/>
                <w:b/>
                <w:i/>
                <w:sz w:val="16"/>
                <w:szCs w:val="16"/>
              </w:rPr>
              <w:t>ko</w:t>
            </w:r>
            <w:r>
              <w:rPr>
                <w:rFonts w:asciiTheme="minorHAnsi" w:hAnsiTheme="minorHAnsi" w:cs="Arial"/>
                <w:b/>
                <w:i/>
                <w:sz w:val="16"/>
                <w:szCs w:val="16"/>
              </w:rPr>
              <w:t>lizji drogowych na sieci dróg w Polsce na koniec roku 2018, z </w:t>
            </w:r>
            <w:r w:rsidRPr="00583B7F">
              <w:rPr>
                <w:rFonts w:asciiTheme="minorHAnsi" w:hAnsiTheme="minorHAnsi" w:cs="Arial"/>
                <w:b/>
                <w:i/>
                <w:sz w:val="16"/>
                <w:szCs w:val="16"/>
              </w:rPr>
              <w:t xml:space="preserve">wyodrębnieniem średnich kosztów społeczno-ekonomicznych wypadków na transeuropejskiej sieci transportowej", Krajowa Rada Bezpieczeństwa Ruchu Drogowego, </w:t>
            </w:r>
            <w:proofErr w:type="spellStart"/>
            <w:r w:rsidRPr="00583B7F">
              <w:rPr>
                <w:rFonts w:asciiTheme="minorHAnsi" w:hAnsiTheme="minorHAnsi" w:cs="Arial"/>
                <w:b/>
                <w:i/>
                <w:sz w:val="16"/>
                <w:szCs w:val="16"/>
              </w:rPr>
              <w:t>December</w:t>
            </w:r>
            <w:proofErr w:type="spellEnd"/>
            <w:r>
              <w:rPr>
                <w:rFonts w:asciiTheme="minorHAnsi" w:hAnsiTheme="minorHAnsi" w:cs="Arial"/>
                <w:b/>
                <w:i/>
                <w:sz w:val="16"/>
                <w:szCs w:val="16"/>
              </w:rPr>
              <w:t xml:space="preserve"> 2019, </w:t>
            </w:r>
            <w:proofErr w:type="spellStart"/>
            <w:r>
              <w:rPr>
                <w:rFonts w:asciiTheme="minorHAnsi" w:hAnsiTheme="minorHAnsi" w:cs="Arial"/>
                <w:b/>
                <w:i/>
                <w:sz w:val="16"/>
                <w:szCs w:val="16"/>
              </w:rPr>
              <w:t>Table</w:t>
            </w:r>
            <w:proofErr w:type="spellEnd"/>
            <w:r>
              <w:rPr>
                <w:rFonts w:asciiTheme="minorHAnsi" w:hAnsiTheme="minorHAnsi" w:cs="Arial"/>
                <w:b/>
                <w:i/>
                <w:sz w:val="16"/>
                <w:szCs w:val="16"/>
              </w:rPr>
              <w:t xml:space="preserve"> 6.2, </w:t>
            </w:r>
            <w:proofErr w:type="spellStart"/>
            <w:r>
              <w:rPr>
                <w:rFonts w:asciiTheme="minorHAnsi" w:hAnsiTheme="minorHAnsi" w:cs="Arial"/>
                <w:b/>
                <w:i/>
                <w:sz w:val="16"/>
                <w:szCs w:val="16"/>
              </w:rPr>
              <w:t>page</w:t>
            </w:r>
            <w:proofErr w:type="spellEnd"/>
            <w:r>
              <w:rPr>
                <w:rFonts w:asciiTheme="minorHAnsi" w:hAnsiTheme="minorHAnsi" w:cs="Arial"/>
                <w:b/>
                <w:i/>
                <w:sz w:val="16"/>
                <w:szCs w:val="16"/>
              </w:rPr>
              <w:t> </w:t>
            </w:r>
            <w:r w:rsidRPr="00583B7F">
              <w:rPr>
                <w:rFonts w:asciiTheme="minorHAnsi" w:hAnsiTheme="minorHAnsi" w:cs="Arial"/>
                <w:b/>
                <w:i/>
                <w:sz w:val="16"/>
                <w:szCs w:val="16"/>
              </w:rPr>
              <w:t>36.</w:t>
            </w:r>
          </w:p>
          <w:p w14:paraId="2A24D614" w14:textId="77777777" w:rsidR="00921721" w:rsidRPr="00583B7F" w:rsidRDefault="00921721" w:rsidP="00880D09">
            <w:pPr>
              <w:pStyle w:val="anxnormal"/>
              <w:ind w:left="0"/>
              <w:rPr>
                <w:rFonts w:asciiTheme="minorHAnsi" w:hAnsiTheme="minorHAnsi"/>
                <w:u w:val="single"/>
                <w:lang w:eastAsia="en-US"/>
              </w:rPr>
            </w:pPr>
          </w:p>
          <w:p w14:paraId="62358C77"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3B5A8AD8"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Unit accident cost evolution over time (forecasts in the table above) </w:t>
            </w:r>
            <w:r>
              <w:rPr>
                <w:rFonts w:asciiTheme="minorHAnsi" w:hAnsiTheme="minorHAnsi"/>
                <w:lang w:val="en-GB" w:eastAsia="en-US"/>
              </w:rPr>
              <w:t xml:space="preserve">is </w:t>
            </w:r>
            <w:r w:rsidRPr="002C6855">
              <w:rPr>
                <w:rFonts w:asciiTheme="minorHAnsi" w:hAnsiTheme="minorHAnsi"/>
                <w:lang w:val="en-GB" w:eastAsia="en-US"/>
              </w:rPr>
              <w:t>based on GDP per capita g</w:t>
            </w:r>
            <w:r>
              <w:rPr>
                <w:rFonts w:asciiTheme="minorHAnsi" w:hAnsiTheme="minorHAnsi"/>
                <w:lang w:val="en-GB" w:eastAsia="en-US"/>
              </w:rPr>
              <w:t>rowth (values provided in point </w:t>
            </w:r>
            <w:r w:rsidRPr="002C6855">
              <w:rPr>
                <w:rFonts w:asciiTheme="minorHAnsi" w:hAnsiTheme="minorHAnsi"/>
                <w:lang w:val="en-GB" w:eastAsia="en-US"/>
              </w:rPr>
              <w:t>2)</w:t>
            </w:r>
            <w:r w:rsidRPr="001C1044">
              <w:rPr>
                <w:rFonts w:asciiTheme="minorHAnsi" w:hAnsiTheme="minorHAnsi"/>
                <w:lang w:val="en-GB" w:eastAsia="en-US"/>
              </w:rPr>
              <w:t xml:space="preserve"> with an</w:t>
            </w:r>
            <w:r w:rsidRPr="00731E4E">
              <w:rPr>
                <w:rFonts w:asciiTheme="minorHAnsi" w:hAnsiTheme="minorHAnsi"/>
                <w:lang w:val="en-GB" w:eastAsia="en-US"/>
              </w:rPr>
              <w:t xml:space="preserve"> elasticity of 0</w:t>
            </w:r>
            <w:r>
              <w:rPr>
                <w:rFonts w:asciiTheme="minorHAnsi" w:hAnsiTheme="minorHAnsi"/>
                <w:lang w:val="en-GB" w:eastAsia="en-US"/>
              </w:rPr>
              <w:t>.</w:t>
            </w:r>
            <w:r w:rsidRPr="00731E4E">
              <w:rPr>
                <w:rFonts w:asciiTheme="minorHAnsi" w:hAnsiTheme="minorHAnsi"/>
                <w:lang w:val="en-GB" w:eastAsia="en-US"/>
              </w:rPr>
              <w:t>8.</w:t>
            </w:r>
          </w:p>
          <w:p w14:paraId="1B8D639A" w14:textId="77777777" w:rsidR="00921721" w:rsidRPr="00731E4E" w:rsidRDefault="00921721" w:rsidP="00880D09">
            <w:pPr>
              <w:pStyle w:val="anxnormal"/>
              <w:ind w:left="0"/>
              <w:rPr>
                <w:rFonts w:asciiTheme="minorHAnsi" w:hAnsiTheme="minorHAnsi"/>
                <w:lang w:val="en-GB" w:eastAsia="en-US"/>
              </w:rPr>
            </w:pPr>
          </w:p>
          <w:p w14:paraId="1A32CA56" w14:textId="77777777" w:rsidR="00921721" w:rsidRDefault="00921721" w:rsidP="00880D09">
            <w:pPr>
              <w:pStyle w:val="anxnormal"/>
              <w:ind w:left="0"/>
              <w:rPr>
                <w:rFonts w:asciiTheme="minorHAnsi" w:hAnsiTheme="minorHAnsi"/>
                <w:lang w:val="en-GB" w:eastAsia="en-US"/>
              </w:rPr>
            </w:pPr>
          </w:p>
          <w:p w14:paraId="29891258" w14:textId="77777777" w:rsidR="00921721" w:rsidRDefault="00921721" w:rsidP="00880D09">
            <w:pPr>
              <w:pStyle w:val="anxnormal"/>
              <w:ind w:left="0"/>
              <w:rPr>
                <w:rFonts w:asciiTheme="minorHAnsi" w:hAnsiTheme="minorHAnsi"/>
                <w:lang w:val="en-GB" w:eastAsia="en-US"/>
              </w:rPr>
            </w:pPr>
          </w:p>
          <w:p w14:paraId="0A91904A" w14:textId="77777777" w:rsidR="00921721" w:rsidRDefault="00921721" w:rsidP="00880D09">
            <w:pPr>
              <w:pStyle w:val="anxnormal"/>
              <w:ind w:left="0"/>
              <w:rPr>
                <w:rFonts w:asciiTheme="minorHAnsi" w:hAnsiTheme="minorHAnsi"/>
                <w:lang w:val="en-GB" w:eastAsia="en-US"/>
              </w:rPr>
            </w:pPr>
          </w:p>
          <w:p w14:paraId="0D5923F4" w14:textId="77777777" w:rsidR="00921721" w:rsidRDefault="00921721" w:rsidP="00880D09">
            <w:pPr>
              <w:pStyle w:val="anxnormal"/>
              <w:ind w:left="0"/>
              <w:rPr>
                <w:rFonts w:asciiTheme="minorHAnsi" w:hAnsiTheme="minorHAnsi"/>
                <w:lang w:val="en-GB" w:eastAsia="en-US"/>
              </w:rPr>
            </w:pPr>
          </w:p>
          <w:p w14:paraId="2FC4FC8B" w14:textId="77777777" w:rsidR="00921721" w:rsidRDefault="00921721" w:rsidP="00880D09">
            <w:pPr>
              <w:pStyle w:val="anxnormal"/>
              <w:ind w:left="0"/>
              <w:rPr>
                <w:rFonts w:asciiTheme="minorHAnsi" w:hAnsiTheme="minorHAnsi"/>
                <w:lang w:val="en-GB" w:eastAsia="en-US"/>
              </w:rPr>
            </w:pPr>
          </w:p>
          <w:p w14:paraId="33191D1D" w14:textId="77777777" w:rsidR="00921721" w:rsidRPr="003B7A23" w:rsidRDefault="00921721" w:rsidP="00880D09">
            <w:pPr>
              <w:pStyle w:val="anxnormal"/>
              <w:ind w:left="0"/>
              <w:rPr>
                <w:rFonts w:asciiTheme="minorHAnsi" w:hAnsiTheme="minorHAnsi"/>
                <w:lang w:val="en-GB" w:eastAsia="en-US"/>
              </w:rPr>
            </w:pPr>
          </w:p>
          <w:p w14:paraId="657EB959" w14:textId="77777777" w:rsidR="00921721" w:rsidRPr="00CA444D" w:rsidRDefault="00921721" w:rsidP="00880D09">
            <w:pPr>
              <w:pStyle w:val="anxnormal"/>
              <w:ind w:left="0"/>
              <w:rPr>
                <w:rFonts w:asciiTheme="minorHAnsi" w:hAnsiTheme="minorHAnsi" w:cs="Arial-Narrow,Bold"/>
                <w:b/>
                <w:bCs/>
                <w:color w:val="4F81BD" w:themeColor="accent1"/>
                <w:sz w:val="23"/>
                <w:szCs w:val="23"/>
                <w:lang w:val="en-GB" w:eastAsia="en-GB"/>
              </w:rPr>
            </w:pPr>
            <w:r w:rsidRPr="00CA444D">
              <w:rPr>
                <w:rFonts w:asciiTheme="minorHAnsi" w:hAnsiTheme="minorHAnsi" w:cs="Arial-Narrow,Bold"/>
                <w:b/>
                <w:bCs/>
                <w:color w:val="4F81BD" w:themeColor="accent1"/>
                <w:sz w:val="23"/>
                <w:szCs w:val="23"/>
                <w:lang w:val="en-GB" w:eastAsia="en-GB"/>
              </w:rPr>
              <w:lastRenderedPageBreak/>
              <w:t>6. Costs of air pollution</w:t>
            </w:r>
          </w:p>
          <w:p w14:paraId="4999870A"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Economic unit costs of air pollution </w:t>
            </w:r>
            <w:r>
              <w:rPr>
                <w:rFonts w:asciiTheme="minorHAnsi" w:hAnsiTheme="minorHAnsi"/>
                <w:lang w:val="en-GB" w:eastAsia="en-US"/>
              </w:rPr>
              <w:t xml:space="preserve">by road vehicles </w:t>
            </w:r>
            <w:r w:rsidRPr="00731E4E">
              <w:rPr>
                <w:rFonts w:asciiTheme="minorHAnsi" w:hAnsiTheme="minorHAnsi"/>
                <w:lang w:val="en-GB" w:eastAsia="en-US"/>
              </w:rPr>
              <w:t>[PLN/</w:t>
            </w:r>
            <w:proofErr w:type="spellStart"/>
            <w:r w:rsidRPr="00731E4E">
              <w:rPr>
                <w:rFonts w:asciiTheme="minorHAnsi" w:hAnsiTheme="minorHAnsi"/>
                <w:lang w:val="en-GB" w:eastAsia="en-US"/>
              </w:rPr>
              <w:t>veh</w:t>
            </w:r>
            <w:proofErr w:type="spellEnd"/>
            <w:r w:rsidRPr="00731E4E">
              <w:rPr>
                <w:rFonts w:asciiTheme="minorHAnsi" w:hAnsiTheme="minorHAnsi"/>
                <w:lang w:val="en-GB" w:eastAsia="en-US"/>
              </w:rPr>
              <w:t>-km], prices 20</w:t>
            </w:r>
            <w:r>
              <w:rPr>
                <w:rFonts w:asciiTheme="minorHAnsi" w:hAnsiTheme="minorHAnsi"/>
                <w:lang w:val="en-GB" w:eastAsia="en-US"/>
              </w:rPr>
              <w:t>21</w:t>
            </w:r>
          </w:p>
          <w:tbl>
            <w:tblPr>
              <w:tblW w:w="6632" w:type="dxa"/>
              <w:tblLayout w:type="fixed"/>
              <w:tblLook w:val="04A0" w:firstRow="1" w:lastRow="0" w:firstColumn="1" w:lastColumn="0" w:noHBand="0" w:noVBand="1"/>
            </w:tblPr>
            <w:tblGrid>
              <w:gridCol w:w="2648"/>
              <w:gridCol w:w="1328"/>
              <w:gridCol w:w="1328"/>
              <w:gridCol w:w="1328"/>
            </w:tblGrid>
            <w:tr w:rsidR="00921721" w:rsidRPr="007463B9" w14:paraId="63711F13" w14:textId="77777777" w:rsidTr="00880D09">
              <w:trPr>
                <w:trHeight w:hRule="exact" w:val="1178"/>
              </w:trPr>
              <w:tc>
                <w:tcPr>
                  <w:tcW w:w="264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1DE6034" w14:textId="77777777" w:rsidR="00921721" w:rsidRPr="00265281"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 xml:space="preserve">Unit costs of air pollution for a flat road after </w:t>
                  </w:r>
                </w:p>
                <w:p w14:paraId="6B1D6F00" w14:textId="77777777" w:rsidR="00921721" w:rsidRPr="00265281"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rehabilitation/</w:t>
                  </w:r>
                  <w:r>
                    <w:rPr>
                      <w:rFonts w:asciiTheme="minorHAnsi" w:hAnsiTheme="minorHAnsi" w:cs="Arial"/>
                      <w:b/>
                      <w:bCs/>
                      <w:color w:val="FFFFFF"/>
                      <w:sz w:val="18"/>
                      <w:szCs w:val="18"/>
                      <w:lang w:val="en-GB"/>
                    </w:rPr>
                    <w:t xml:space="preserve"> </w:t>
                  </w:r>
                  <w:r w:rsidRPr="00265281">
                    <w:rPr>
                      <w:rFonts w:asciiTheme="minorHAnsi" w:hAnsiTheme="minorHAnsi" w:cs="Arial"/>
                      <w:b/>
                      <w:bCs/>
                      <w:color w:val="FFFFFF"/>
                      <w:sz w:val="18"/>
                      <w:szCs w:val="18"/>
                      <w:lang w:val="en-GB"/>
                    </w:rPr>
                    <w:t xml:space="preserve">construction </w:t>
                  </w:r>
                </w:p>
                <w:p w14:paraId="6338311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(PLN/</w:t>
                  </w:r>
                  <w:proofErr w:type="spellStart"/>
                  <w:r w:rsidRPr="00265281">
                    <w:rPr>
                      <w:rFonts w:asciiTheme="minorHAnsi" w:hAnsiTheme="minorHAnsi" w:cs="Arial"/>
                      <w:b/>
                      <w:bCs/>
                      <w:color w:val="FFFFFF"/>
                      <w:sz w:val="18"/>
                      <w:szCs w:val="18"/>
                      <w:lang w:val="en-GB"/>
                    </w:rPr>
                    <w:t>vehkm</w:t>
                  </w:r>
                  <w:proofErr w:type="spellEnd"/>
                  <w:r w:rsidRPr="00265281">
                    <w:rPr>
                      <w:rFonts w:asciiTheme="minorHAnsi" w:hAnsiTheme="minorHAnsi" w:cs="Arial"/>
                      <w:b/>
                      <w:bCs/>
                      <w:color w:val="FFFFFF"/>
                      <w:sz w:val="18"/>
                      <w:szCs w:val="18"/>
                      <w:lang w:val="en-GB"/>
                    </w:rPr>
                    <w:t>)</w:t>
                  </w:r>
                </w:p>
              </w:tc>
              <w:tc>
                <w:tcPr>
                  <w:tcW w:w="1328"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7DC0DE6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A &amp; S road classes</w:t>
                  </w:r>
                </w:p>
              </w:tc>
              <w:tc>
                <w:tcPr>
                  <w:tcW w:w="13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6B211073"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Urban roads (other than A, S)</w:t>
                  </w:r>
                </w:p>
              </w:tc>
              <w:tc>
                <w:tcPr>
                  <w:tcW w:w="1328"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6E80EF8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Rural roads (other than A, S)</w:t>
                  </w:r>
                </w:p>
              </w:tc>
            </w:tr>
            <w:tr w:rsidR="00921721" w:rsidRPr="007463B9" w14:paraId="29CCE336"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C1F572"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 xml:space="preserve">LV </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F1CC36"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w:t>
                  </w:r>
                  <w:r>
                    <w:rPr>
                      <w:rFonts w:asciiTheme="minorHAnsi" w:hAnsiTheme="minorHAnsi" w:cs="Arial"/>
                      <w:color w:val="4F81BD" w:themeColor="accent1"/>
                      <w:sz w:val="18"/>
                      <w:szCs w:val="18"/>
                      <w:lang w:val="en-GB"/>
                    </w:rPr>
                    <w:t>29</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3341D7D"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w:t>
                  </w:r>
                  <w:r>
                    <w:rPr>
                      <w:rFonts w:asciiTheme="minorHAnsi" w:hAnsiTheme="minorHAnsi" w:cs="Arial"/>
                      <w:color w:val="4F81BD" w:themeColor="accent1"/>
                      <w:sz w:val="18"/>
                      <w:szCs w:val="18"/>
                      <w:lang w:val="en-GB"/>
                    </w:rPr>
                    <w:t>38</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5C3793"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0.02</w:t>
                  </w:r>
                  <w:r>
                    <w:rPr>
                      <w:rFonts w:asciiTheme="minorHAnsi" w:hAnsiTheme="minorHAnsi" w:cs="Arial"/>
                      <w:color w:val="4F81BD" w:themeColor="accent1"/>
                      <w:sz w:val="18"/>
                      <w:szCs w:val="18"/>
                      <w:lang w:val="en-GB"/>
                    </w:rPr>
                    <w:t>0</w:t>
                  </w:r>
                </w:p>
              </w:tc>
            </w:tr>
            <w:tr w:rsidR="00921721" w:rsidRPr="007463B9" w14:paraId="3F0E9093"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355C2B"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 xml:space="preserve">HGV </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1DB762"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0.2</w:t>
                  </w:r>
                  <w:r>
                    <w:rPr>
                      <w:rFonts w:asciiTheme="minorHAnsi" w:hAnsiTheme="minorHAnsi" w:cs="Arial"/>
                      <w:color w:val="4F81BD" w:themeColor="accent1"/>
                      <w:sz w:val="18"/>
                      <w:szCs w:val="18"/>
                      <w:lang w:val="en-GB"/>
                    </w:rPr>
                    <w:t>03</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5111BAB"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499</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C5F4CB6"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198</w:t>
                  </w:r>
                </w:p>
              </w:tc>
            </w:tr>
            <w:tr w:rsidR="00921721" w:rsidRPr="007463B9" w14:paraId="46448FFE"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CD228F"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roofErr w:type="spellStart"/>
                  <w:r w:rsidRPr="00265281">
                    <w:rPr>
                      <w:rFonts w:asciiTheme="minorHAnsi" w:hAnsiTheme="minorHAnsi" w:cs="Arial"/>
                      <w:color w:val="4F81BD" w:themeColor="accent1"/>
                      <w:sz w:val="18"/>
                      <w:szCs w:val="18"/>
                      <w:lang w:val="en-GB"/>
                    </w:rPr>
                    <w:t>Eletric</w:t>
                  </w:r>
                  <w:proofErr w:type="spellEnd"/>
                  <w:r w:rsidRPr="00265281">
                    <w:rPr>
                      <w:rFonts w:asciiTheme="minorHAnsi" w:hAnsiTheme="minorHAnsi" w:cs="Arial"/>
                      <w:color w:val="4F81BD" w:themeColor="accent1"/>
                      <w:sz w:val="18"/>
                      <w:szCs w:val="18"/>
                      <w:lang w:val="en-GB"/>
                    </w:rPr>
                    <w:t xml:space="preserve"> LV </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4B3828B"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w:t>
                  </w:r>
                  <w:r>
                    <w:rPr>
                      <w:rFonts w:asciiTheme="minorHAnsi" w:hAnsiTheme="minorHAnsi" w:cs="Arial"/>
                      <w:color w:val="4F81BD" w:themeColor="accent1"/>
                      <w:sz w:val="18"/>
                      <w:szCs w:val="18"/>
                      <w:lang w:val="en-GB"/>
                    </w:rPr>
                    <w:t>4</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5A3E9FD"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w:t>
                  </w:r>
                  <w:r>
                    <w:rPr>
                      <w:rFonts w:asciiTheme="minorHAnsi" w:hAnsiTheme="minorHAnsi" w:cs="Arial"/>
                      <w:color w:val="4F81BD" w:themeColor="accent1"/>
                      <w:sz w:val="18"/>
                      <w:szCs w:val="18"/>
                      <w:lang w:val="en-GB"/>
                    </w:rPr>
                    <w:t>3</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C543A11"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0.003</w:t>
                  </w:r>
                </w:p>
              </w:tc>
            </w:tr>
            <w:tr w:rsidR="00921721" w:rsidRPr="007463B9" w14:paraId="500E7A23"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54D9D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Electric Buses</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34F8E7"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w:t>
                  </w:r>
                  <w:r>
                    <w:rPr>
                      <w:rFonts w:asciiTheme="minorHAnsi" w:hAnsiTheme="minorHAnsi" w:cs="Arial"/>
                      <w:color w:val="4F81BD" w:themeColor="accent1"/>
                      <w:sz w:val="18"/>
                      <w:szCs w:val="18"/>
                      <w:lang w:val="en-GB"/>
                    </w:rPr>
                    <w:t>7</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C3D5E74"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0.02</w:t>
                  </w:r>
                  <w:r>
                    <w:rPr>
                      <w:rFonts w:asciiTheme="minorHAnsi" w:hAnsiTheme="minorHAnsi" w:cs="Arial"/>
                      <w:color w:val="4F81BD" w:themeColor="accent1"/>
                      <w:sz w:val="18"/>
                      <w:szCs w:val="18"/>
                      <w:lang w:val="en-GB"/>
                    </w:rPr>
                    <w:t>2</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95D6C3F"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w:t>
                  </w:r>
                  <w:r>
                    <w:rPr>
                      <w:rFonts w:asciiTheme="minorHAnsi" w:hAnsiTheme="minorHAnsi" w:cs="Arial"/>
                      <w:color w:val="4F81BD" w:themeColor="accent1"/>
                      <w:sz w:val="18"/>
                      <w:szCs w:val="18"/>
                      <w:lang w:val="en-GB"/>
                    </w:rPr>
                    <w:t>09</w:t>
                  </w:r>
                </w:p>
              </w:tc>
            </w:tr>
          </w:tbl>
          <w:p w14:paraId="567074F8" w14:textId="77777777" w:rsidR="00921721" w:rsidRPr="00983DF9" w:rsidRDefault="00921721" w:rsidP="00880D09">
            <w:pPr>
              <w:ind w:right="170"/>
              <w:jc w:val="both"/>
              <w:rPr>
                <w:rFonts w:asciiTheme="minorHAnsi" w:hAnsiTheme="minorHAnsi"/>
                <w:b/>
                <w:i/>
                <w:sz w:val="16"/>
                <w:szCs w:val="16"/>
                <w:lang w:val="en-US"/>
              </w:rPr>
            </w:pPr>
            <w:r w:rsidRPr="00983DF9">
              <w:rPr>
                <w:rFonts w:asciiTheme="minorHAnsi" w:hAnsiTheme="minorHAnsi" w:cs="Arial"/>
                <w:b/>
                <w:i/>
                <w:sz w:val="16"/>
                <w:szCs w:val="16"/>
                <w:lang w:val="en-US"/>
              </w:rPr>
              <w:t xml:space="preserve">Source: CUPT-JASPERS work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w:t>
            </w:r>
          </w:p>
          <w:p w14:paraId="33442948"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Assumptions on road vehicle fleet composition and its evolution in time regarding type of fuel consumption are the same as applied and to be considered in VOC category. Therefore, the same considerations on LV fleet composition evolution (regarding fuel type consumption) along analysis period are to be applied for air pollution costs calculations.</w:t>
            </w:r>
          </w:p>
          <w:p w14:paraId="58F08B2B" w14:textId="77777777" w:rsidR="00921721" w:rsidRDefault="00921721" w:rsidP="00880D09">
            <w:pPr>
              <w:pStyle w:val="anxnormal"/>
              <w:spacing w:after="120"/>
              <w:ind w:left="0"/>
              <w:rPr>
                <w:rFonts w:asciiTheme="minorHAnsi" w:hAnsiTheme="minorHAnsi"/>
                <w:bCs/>
                <w:lang w:val="en-GB" w:eastAsia="en-US"/>
              </w:rPr>
            </w:pPr>
            <w:r>
              <w:rPr>
                <w:rFonts w:asciiTheme="minorHAnsi" w:hAnsiTheme="minorHAnsi"/>
                <w:bCs/>
                <w:lang w:val="en-GB" w:eastAsia="en-US"/>
              </w:rPr>
              <w:t>The influence of road gradient on air pollution emissions by road vehicles is assumed the same as on fuel consumption. It</w:t>
            </w:r>
            <w:r w:rsidRPr="00016AAD">
              <w:rPr>
                <w:rFonts w:asciiTheme="minorHAnsi" w:hAnsiTheme="minorHAnsi"/>
                <w:bCs/>
                <w:lang w:val="en-GB" w:eastAsia="en-US"/>
              </w:rPr>
              <w:t xml:space="preserve"> is considered that a hilly terrain </w:t>
            </w:r>
            <w:r>
              <w:rPr>
                <w:rFonts w:asciiTheme="minorHAnsi" w:hAnsiTheme="minorHAnsi"/>
                <w:bCs/>
                <w:lang w:val="en-GB" w:eastAsia="en-US"/>
              </w:rPr>
              <w:t>increases</w:t>
            </w:r>
            <w:r w:rsidRPr="00016AAD">
              <w:rPr>
                <w:rFonts w:asciiTheme="minorHAnsi" w:hAnsiTheme="minorHAnsi"/>
                <w:bCs/>
                <w:lang w:val="en-GB" w:eastAsia="en-US"/>
              </w:rPr>
              <w:t xml:space="preserve"> fuel consumption by </w:t>
            </w:r>
            <w:r>
              <w:rPr>
                <w:rFonts w:asciiTheme="minorHAnsi" w:hAnsiTheme="minorHAnsi"/>
                <w:bCs/>
                <w:lang w:val="en-GB" w:eastAsia="en-US"/>
              </w:rPr>
              <w:t xml:space="preserve">15% for LV. For HGV, the related factor was obtained based on the fuel consumption equations. </w:t>
            </w:r>
          </w:p>
          <w:p w14:paraId="1F17CC8F" w14:textId="77777777" w:rsidR="00921721" w:rsidRDefault="00921721" w:rsidP="00880D09">
            <w:pPr>
              <w:pStyle w:val="anxnormal"/>
              <w:spacing w:after="120"/>
              <w:ind w:left="0"/>
              <w:rPr>
                <w:rFonts w:asciiTheme="minorHAnsi" w:hAnsiTheme="minorHAnsi"/>
                <w:bCs/>
                <w:lang w:val="en-GB" w:eastAsia="en-US"/>
              </w:rPr>
            </w:pPr>
          </w:p>
          <w:p w14:paraId="6F0F5EEA" w14:textId="77777777" w:rsidR="00921721" w:rsidRDefault="00921721" w:rsidP="00880D09">
            <w:pPr>
              <w:pStyle w:val="anxnormal"/>
              <w:spacing w:after="120"/>
              <w:ind w:left="0"/>
              <w:rPr>
                <w:rFonts w:asciiTheme="minorHAnsi" w:hAnsiTheme="minorHAnsi"/>
                <w:bCs/>
                <w:lang w:val="en-GB" w:eastAsia="en-US"/>
              </w:rPr>
            </w:pPr>
          </w:p>
          <w:p w14:paraId="3BB93676" w14:textId="77777777" w:rsidR="00921721" w:rsidRDefault="00921721" w:rsidP="00880D09">
            <w:pPr>
              <w:pStyle w:val="anxnormal"/>
              <w:spacing w:after="120"/>
              <w:ind w:left="0"/>
              <w:rPr>
                <w:rFonts w:asciiTheme="minorHAnsi" w:hAnsiTheme="minorHAnsi"/>
                <w:lang w:val="en-GB" w:eastAsia="en-US"/>
              </w:rPr>
            </w:pPr>
          </w:p>
          <w:p w14:paraId="4B6B25A8"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w:t>
            </w:r>
          </w:p>
          <w:tbl>
            <w:tblPr>
              <w:tblW w:w="3395" w:type="dxa"/>
              <w:tblLayout w:type="fixed"/>
              <w:tblLook w:val="04A0" w:firstRow="1" w:lastRow="0" w:firstColumn="1" w:lastColumn="0" w:noHBand="0" w:noVBand="1"/>
            </w:tblPr>
            <w:tblGrid>
              <w:gridCol w:w="1694"/>
              <w:gridCol w:w="850"/>
              <w:gridCol w:w="851"/>
            </w:tblGrid>
            <w:tr w:rsidR="00921721" w:rsidRPr="007463B9" w14:paraId="1BB5F44E"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890813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ABAC78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A85024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4FEF4316"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6A0DE2"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5A35DC3"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50C054"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5901B83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ED8467"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FD1BFD"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1.150 </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B279812"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1.697 </w:t>
                  </w:r>
                </w:p>
              </w:tc>
            </w:tr>
          </w:tbl>
          <w:p w14:paraId="3205E3DD" w14:textId="77777777" w:rsidR="00921721" w:rsidRDefault="00921721" w:rsidP="00880D09">
            <w:pPr>
              <w:spacing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CUPT-JASPERS work.</w:t>
            </w:r>
          </w:p>
          <w:p w14:paraId="270357C0" w14:textId="77777777" w:rsidR="00921721" w:rsidRDefault="00921721" w:rsidP="00880D09">
            <w:pPr>
              <w:spacing w:after="120"/>
              <w:ind w:right="170"/>
              <w:jc w:val="both"/>
              <w:rPr>
                <w:rFonts w:asciiTheme="minorHAnsi" w:hAnsiTheme="minorHAnsi" w:cs="Arial"/>
                <w:b/>
                <w:i/>
                <w:sz w:val="16"/>
                <w:szCs w:val="16"/>
                <w:lang w:val="en-GB"/>
              </w:rPr>
            </w:pPr>
          </w:p>
          <w:p w14:paraId="464A18A5" w14:textId="77777777" w:rsidR="00921721" w:rsidRDefault="00921721" w:rsidP="00880D09">
            <w:pPr>
              <w:spacing w:after="120"/>
              <w:ind w:right="170"/>
              <w:jc w:val="both"/>
              <w:rPr>
                <w:rFonts w:asciiTheme="minorHAnsi" w:hAnsiTheme="minorHAnsi" w:cs="Arial"/>
                <w:b/>
                <w:i/>
                <w:sz w:val="16"/>
                <w:szCs w:val="16"/>
                <w:lang w:val="en-GB"/>
              </w:rPr>
            </w:pPr>
          </w:p>
          <w:p w14:paraId="23A05F1D" w14:textId="77777777" w:rsidR="00921721" w:rsidRDefault="00921721" w:rsidP="00880D09">
            <w:pPr>
              <w:spacing w:after="120"/>
              <w:ind w:right="170"/>
              <w:jc w:val="both"/>
              <w:rPr>
                <w:rFonts w:asciiTheme="minorHAnsi" w:hAnsiTheme="minorHAnsi" w:cs="Arial"/>
                <w:b/>
                <w:i/>
                <w:sz w:val="16"/>
                <w:szCs w:val="16"/>
                <w:lang w:val="en-GB"/>
              </w:rPr>
            </w:pPr>
          </w:p>
          <w:p w14:paraId="5A6DA7F6"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lastRenderedPageBreak/>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w:t>
            </w:r>
            <w:r>
              <w:rPr>
                <w:rFonts w:asciiTheme="minorHAnsi" w:hAnsiTheme="minorHAnsi"/>
                <w:lang w:val="en-GB" w:eastAsia="en-US"/>
              </w:rPr>
              <w:t>pavement condition</w:t>
            </w:r>
          </w:p>
          <w:tbl>
            <w:tblPr>
              <w:tblW w:w="5955" w:type="dxa"/>
              <w:tblLayout w:type="fixed"/>
              <w:tblLook w:val="04A0" w:firstRow="1" w:lastRow="0" w:firstColumn="1" w:lastColumn="0" w:noHBand="0" w:noVBand="1"/>
            </w:tblPr>
            <w:tblGrid>
              <w:gridCol w:w="2972"/>
              <w:gridCol w:w="1491"/>
              <w:gridCol w:w="1492"/>
            </w:tblGrid>
            <w:tr w:rsidR="00921721" w:rsidRPr="007463B9" w14:paraId="51686B19" w14:textId="77777777" w:rsidTr="00880D09">
              <w:trPr>
                <w:trHeight w:hRule="exact" w:val="576"/>
              </w:trPr>
              <w:tc>
                <w:tcPr>
                  <w:tcW w:w="297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BD16CB2"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Pavement condition</w:t>
                  </w:r>
                </w:p>
              </w:tc>
              <w:tc>
                <w:tcPr>
                  <w:tcW w:w="149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C43CAD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49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FC8B22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0D6B4F90" w14:textId="77777777" w:rsidTr="00880D09">
              <w:trPr>
                <w:trHeight w:val="283"/>
              </w:trPr>
              <w:tc>
                <w:tcPr>
                  <w:tcW w:w="297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E17693"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Good (rehabilitated/ reconstructed)</w:t>
                  </w:r>
                </w:p>
              </w:tc>
              <w:tc>
                <w:tcPr>
                  <w:tcW w:w="149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D8EACBC"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14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857F24"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2C56AF27" w14:textId="77777777" w:rsidTr="00880D09">
              <w:trPr>
                <w:trHeight w:val="283"/>
              </w:trPr>
              <w:tc>
                <w:tcPr>
                  <w:tcW w:w="297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D805BA"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Degraded</w:t>
                  </w:r>
                </w:p>
              </w:tc>
              <w:tc>
                <w:tcPr>
                  <w:tcW w:w="149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60962C"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1.169</w:t>
                  </w:r>
                </w:p>
              </w:tc>
              <w:tc>
                <w:tcPr>
                  <w:tcW w:w="14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6DFB84"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1.188</w:t>
                  </w:r>
                </w:p>
              </w:tc>
            </w:tr>
          </w:tbl>
          <w:p w14:paraId="148A277D" w14:textId="77777777" w:rsidR="00921721" w:rsidRDefault="00921721" w:rsidP="00880D09">
            <w:pPr>
              <w:spacing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w:t>
            </w:r>
            <w:r w:rsidRPr="00B90582">
              <w:rPr>
                <w:rFonts w:asciiTheme="minorHAnsi" w:hAnsiTheme="minorHAnsi" w:cs="Arial"/>
                <w:b/>
                <w:i/>
                <w:sz w:val="16"/>
                <w:szCs w:val="16"/>
                <w:lang w:val="en-GB"/>
              </w:rPr>
              <w:t>"Optimisation of Maintenance", OECD/ITF 2012</w:t>
            </w:r>
            <w:r>
              <w:rPr>
                <w:rFonts w:asciiTheme="minorHAnsi" w:hAnsiTheme="minorHAnsi" w:cs="Arial"/>
                <w:b/>
                <w:i/>
                <w:sz w:val="16"/>
                <w:szCs w:val="16"/>
                <w:lang w:val="en-GB"/>
              </w:rPr>
              <w:t>.</w:t>
            </w:r>
          </w:p>
          <w:p w14:paraId="1319A25B" w14:textId="77777777" w:rsidR="00921721" w:rsidRDefault="00921721" w:rsidP="00880D09">
            <w:pPr>
              <w:spacing w:before="120" w:after="120"/>
              <w:ind w:right="170"/>
              <w:jc w:val="both"/>
              <w:rPr>
                <w:rFonts w:asciiTheme="minorHAnsi" w:hAnsiTheme="minorHAnsi" w:cs="Arial"/>
                <w:snapToGrid w:val="0"/>
                <w:sz w:val="20"/>
                <w:szCs w:val="20"/>
                <w:u w:val="single"/>
                <w:lang w:val="en-GB" w:eastAsia="en-US"/>
              </w:rPr>
            </w:pPr>
          </w:p>
          <w:p w14:paraId="59763C86" w14:textId="77777777" w:rsidR="00921721" w:rsidRDefault="00921721" w:rsidP="00880D09">
            <w:pPr>
              <w:spacing w:before="120" w:after="120"/>
              <w:ind w:right="170"/>
              <w:jc w:val="both"/>
              <w:rPr>
                <w:rFonts w:asciiTheme="minorHAnsi" w:hAnsiTheme="minorHAnsi" w:cs="Arial"/>
                <w:snapToGrid w:val="0"/>
                <w:sz w:val="20"/>
                <w:szCs w:val="20"/>
                <w:u w:val="single"/>
                <w:lang w:val="en-GB" w:eastAsia="en-US"/>
              </w:rPr>
            </w:pPr>
          </w:p>
          <w:p w14:paraId="27FCB4C0" w14:textId="77777777" w:rsidR="00921721" w:rsidRDefault="00921721" w:rsidP="00880D09">
            <w:pPr>
              <w:spacing w:before="120" w:after="120"/>
              <w:ind w:right="170"/>
              <w:jc w:val="both"/>
              <w:rPr>
                <w:rFonts w:asciiTheme="minorHAnsi" w:hAnsiTheme="minorHAnsi" w:cs="Arial"/>
                <w:snapToGrid w:val="0"/>
                <w:sz w:val="20"/>
                <w:szCs w:val="20"/>
                <w:u w:val="single"/>
                <w:lang w:val="en-GB" w:eastAsia="en-US"/>
              </w:rPr>
            </w:pPr>
            <w:r w:rsidRPr="002C6855">
              <w:rPr>
                <w:rFonts w:asciiTheme="minorHAnsi" w:hAnsiTheme="minorHAnsi" w:cs="Arial"/>
                <w:snapToGrid w:val="0"/>
                <w:sz w:val="20"/>
                <w:szCs w:val="20"/>
                <w:u w:val="single"/>
                <w:lang w:val="en-GB" w:eastAsia="en-US"/>
              </w:rPr>
              <w:t>Rail modes</w:t>
            </w:r>
          </w:p>
          <w:p w14:paraId="24AEFBF3" w14:textId="77777777" w:rsidR="00921721" w:rsidRPr="002C6855" w:rsidRDefault="00921721" w:rsidP="00880D09">
            <w:pPr>
              <w:spacing w:before="120" w:after="120"/>
              <w:ind w:right="170"/>
              <w:jc w:val="both"/>
              <w:rPr>
                <w:rFonts w:asciiTheme="minorHAnsi" w:hAnsiTheme="minorHAnsi" w:cs="Arial"/>
                <w:snapToGrid w:val="0"/>
                <w:sz w:val="20"/>
                <w:szCs w:val="20"/>
                <w:lang w:val="en-GB" w:eastAsia="en-US"/>
              </w:rPr>
            </w:pPr>
            <w:r w:rsidRPr="002C6855">
              <w:rPr>
                <w:rFonts w:asciiTheme="minorHAnsi" w:hAnsiTheme="minorHAnsi" w:cs="Arial"/>
                <w:snapToGrid w:val="0"/>
                <w:sz w:val="20"/>
                <w:szCs w:val="20"/>
                <w:lang w:val="en-GB" w:eastAsia="en-US"/>
              </w:rPr>
              <w:t>Marginal co</w:t>
            </w:r>
            <w:r>
              <w:rPr>
                <w:rFonts w:asciiTheme="minorHAnsi" w:hAnsiTheme="minorHAnsi" w:cs="Arial"/>
                <w:snapToGrid w:val="0"/>
                <w:sz w:val="20"/>
                <w:szCs w:val="20"/>
                <w:lang w:val="en-GB" w:eastAsia="en-US"/>
              </w:rPr>
              <w:t>sts</w:t>
            </w:r>
            <w:r w:rsidRPr="002C6855">
              <w:rPr>
                <w:rFonts w:asciiTheme="minorHAnsi" w:hAnsiTheme="minorHAnsi" w:cs="Arial"/>
                <w:snapToGrid w:val="0"/>
                <w:sz w:val="20"/>
                <w:szCs w:val="20"/>
                <w:lang w:val="en-GB" w:eastAsia="en-US"/>
              </w:rPr>
              <w:t xml:space="preserve"> for air </w:t>
            </w:r>
            <w:r>
              <w:rPr>
                <w:rFonts w:asciiTheme="minorHAnsi" w:hAnsiTheme="minorHAnsi" w:cs="Arial"/>
                <w:snapToGrid w:val="0"/>
                <w:sz w:val="20"/>
                <w:szCs w:val="20"/>
                <w:lang w:val="en-GB" w:eastAsia="en-US"/>
              </w:rPr>
              <w:t>pollution in PLN/train-</w:t>
            </w:r>
            <w:r w:rsidRPr="002C6855">
              <w:rPr>
                <w:rFonts w:asciiTheme="minorHAnsi" w:hAnsiTheme="minorHAnsi" w:cs="Arial"/>
                <w:snapToGrid w:val="0"/>
                <w:sz w:val="20"/>
                <w:szCs w:val="20"/>
                <w:lang w:val="en-GB" w:eastAsia="en-US"/>
              </w:rPr>
              <w:t>km, prices 202</w:t>
            </w:r>
            <w:r>
              <w:rPr>
                <w:rFonts w:asciiTheme="minorHAnsi" w:hAnsiTheme="minorHAnsi" w:cs="Arial"/>
                <w:snapToGrid w:val="0"/>
                <w:sz w:val="20"/>
                <w:szCs w:val="20"/>
                <w:lang w:val="en-GB" w:eastAsia="en-US"/>
              </w:rPr>
              <w:t>1</w:t>
            </w:r>
          </w:p>
          <w:tbl>
            <w:tblPr>
              <w:tblW w:w="6841" w:type="dxa"/>
              <w:tblLayout w:type="fixed"/>
              <w:tblLook w:val="04A0" w:firstRow="1" w:lastRow="0" w:firstColumn="1" w:lastColumn="0" w:noHBand="0" w:noVBand="1"/>
            </w:tblPr>
            <w:tblGrid>
              <w:gridCol w:w="1405"/>
              <w:gridCol w:w="2013"/>
              <w:gridCol w:w="1141"/>
              <w:gridCol w:w="1141"/>
              <w:gridCol w:w="1141"/>
            </w:tblGrid>
            <w:tr w:rsidR="00921721" w:rsidRPr="00B127F9" w14:paraId="725FF7D9" w14:textId="77777777" w:rsidTr="00880D09">
              <w:trPr>
                <w:trHeight w:hRule="exact" w:val="1188"/>
              </w:trPr>
              <w:tc>
                <w:tcPr>
                  <w:tcW w:w="14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80456B7"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Passenger</w:t>
                  </w:r>
                </w:p>
                <w:p w14:paraId="097FA89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B7802">
                    <w:rPr>
                      <w:rFonts w:asciiTheme="minorHAnsi" w:hAnsiTheme="minorHAnsi" w:cs="Arial"/>
                      <w:b/>
                      <w:bCs/>
                      <w:color w:val="FFFFFF"/>
                      <w:sz w:val="18"/>
                      <w:szCs w:val="18"/>
                      <w:lang w:val="en-GB"/>
                    </w:rPr>
                    <w:t xml:space="preserve">PLN/ </w:t>
                  </w:r>
                  <w:r>
                    <w:rPr>
                      <w:rFonts w:asciiTheme="minorHAnsi" w:hAnsiTheme="minorHAnsi" w:cs="Arial"/>
                      <w:b/>
                      <w:bCs/>
                      <w:color w:val="FFFFFF"/>
                      <w:sz w:val="18"/>
                      <w:szCs w:val="18"/>
                      <w:lang w:val="en-GB"/>
                    </w:rPr>
                    <w:t>train</w:t>
                  </w:r>
                  <w:r w:rsidRPr="002B7802">
                    <w:rPr>
                      <w:rFonts w:asciiTheme="minorHAnsi" w:hAnsiTheme="minorHAnsi" w:cs="Arial"/>
                      <w:b/>
                      <w:bCs/>
                      <w:color w:val="FFFFFF"/>
                      <w:sz w:val="18"/>
                      <w:szCs w:val="18"/>
                      <w:lang w:val="en-GB"/>
                    </w:rPr>
                    <w:t>-km</w:t>
                  </w:r>
                </w:p>
              </w:tc>
              <w:tc>
                <w:tcPr>
                  <w:tcW w:w="201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7350D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141"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3FF22E5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14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8E8835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141"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1B038DB4"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B127F9" w14:paraId="07038E9B" w14:textId="77777777" w:rsidTr="00880D09">
              <w:trPr>
                <w:trHeight w:val="266"/>
              </w:trPr>
              <w:tc>
                <w:tcPr>
                  <w:tcW w:w="1405" w:type="dxa"/>
                  <w:vMerge w:val="restart"/>
                  <w:tcBorders>
                    <w:top w:val="single" w:sz="4" w:space="0" w:color="FFFFFF"/>
                    <w:left w:val="single" w:sz="4" w:space="0" w:color="FFFFFF"/>
                    <w:right w:val="nil"/>
                  </w:tcBorders>
                  <w:shd w:val="clear" w:color="auto" w:fill="DBE5F1" w:themeFill="accent1" w:themeFillTint="33"/>
                  <w:vAlign w:val="center"/>
                </w:tcPr>
                <w:p w14:paraId="66B42848"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87A3417"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Highspeed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32D1957"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4320748"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2E4E258E"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p>
              </w:tc>
            </w:tr>
            <w:tr w:rsidR="00921721" w:rsidRPr="00B127F9" w14:paraId="2BA39D04" w14:textId="77777777" w:rsidTr="00880D09">
              <w:trPr>
                <w:trHeight w:val="266"/>
              </w:trPr>
              <w:tc>
                <w:tcPr>
                  <w:tcW w:w="1405" w:type="dxa"/>
                  <w:vMerge/>
                  <w:tcBorders>
                    <w:left w:val="single" w:sz="4" w:space="0" w:color="FFFFFF"/>
                    <w:right w:val="nil"/>
                  </w:tcBorders>
                  <w:shd w:val="clear" w:color="auto" w:fill="DBE5F1" w:themeFill="accent1" w:themeFillTint="33"/>
                  <w:vAlign w:val="center"/>
                </w:tcPr>
                <w:p w14:paraId="2E8297DE"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308E508"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Intercity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747456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0.010</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343DCCDE"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0.010</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41E93BB0"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0.010</w:t>
                  </w:r>
                </w:p>
              </w:tc>
            </w:tr>
            <w:tr w:rsidR="00921721" w:rsidRPr="00B127F9" w14:paraId="2F9F1B2C" w14:textId="77777777" w:rsidTr="00880D09">
              <w:trPr>
                <w:trHeight w:val="266"/>
              </w:trPr>
              <w:tc>
                <w:tcPr>
                  <w:tcW w:w="1405" w:type="dxa"/>
                  <w:vMerge/>
                  <w:tcBorders>
                    <w:left w:val="single" w:sz="4" w:space="0" w:color="FFFFFF"/>
                    <w:right w:val="nil"/>
                  </w:tcBorders>
                  <w:shd w:val="clear" w:color="auto" w:fill="DBE5F1" w:themeFill="accent1" w:themeFillTint="33"/>
                  <w:vAlign w:val="center"/>
                </w:tcPr>
                <w:p w14:paraId="3ECB6045"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B390B4A"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Regional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7672CFA6"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117A79">
                    <w:rPr>
                      <w:rFonts w:asciiTheme="minorHAnsi" w:hAnsiTheme="minorHAnsi" w:cs="Arial"/>
                      <w:color w:val="4F81BD" w:themeColor="accent1"/>
                      <w:sz w:val="18"/>
                      <w:szCs w:val="18"/>
                      <w:lang w:val="en-GB"/>
                    </w:rPr>
                    <w:t>0.016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2D95153B"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117A79">
                    <w:rPr>
                      <w:rFonts w:asciiTheme="minorHAnsi" w:hAnsiTheme="minorHAnsi" w:cs="Arial"/>
                      <w:color w:val="4F81BD" w:themeColor="accent1"/>
                      <w:sz w:val="18"/>
                      <w:szCs w:val="18"/>
                      <w:lang w:val="en-GB"/>
                    </w:rPr>
                    <w:t>0.016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4B5C511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117A79">
                    <w:rPr>
                      <w:rFonts w:asciiTheme="minorHAnsi" w:hAnsiTheme="minorHAnsi" w:cs="Arial"/>
                      <w:color w:val="4F81BD" w:themeColor="accent1"/>
                      <w:sz w:val="18"/>
                      <w:szCs w:val="18"/>
                      <w:lang w:val="en-GB"/>
                    </w:rPr>
                    <w:t>0.016</w:t>
                  </w:r>
                </w:p>
              </w:tc>
            </w:tr>
            <w:tr w:rsidR="00921721" w:rsidRPr="003E7EB2" w14:paraId="470D35AF" w14:textId="77777777" w:rsidTr="00880D09">
              <w:trPr>
                <w:trHeight w:val="266"/>
              </w:trPr>
              <w:tc>
                <w:tcPr>
                  <w:tcW w:w="1405" w:type="dxa"/>
                  <w:vMerge w:val="restart"/>
                  <w:tcBorders>
                    <w:top w:val="single" w:sz="4" w:space="0" w:color="FFFFFF"/>
                    <w:left w:val="single" w:sz="4" w:space="0" w:color="FFFFFF"/>
                    <w:right w:val="nil"/>
                  </w:tcBorders>
                  <w:shd w:val="clear" w:color="auto" w:fill="DBE5F1" w:themeFill="accent1" w:themeFillTint="33"/>
                  <w:vAlign w:val="center"/>
                </w:tcPr>
                <w:p w14:paraId="05E23597"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Diesel</w:t>
                  </w: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22E83B9"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Intercity train</w:t>
                  </w:r>
                </w:p>
                <w:p w14:paraId="5D802DF1"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 xml:space="preserve"> (with EGR/SRC)</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196F594F"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1.3</w:t>
                  </w:r>
                  <w:r>
                    <w:rPr>
                      <w:rFonts w:asciiTheme="minorHAnsi" w:hAnsiTheme="minorHAnsi" w:cs="Arial"/>
                      <w:color w:val="4F81BD" w:themeColor="accent1"/>
                      <w:sz w:val="18"/>
                      <w:szCs w:val="18"/>
                      <w:lang w:val="en-GB"/>
                    </w:rPr>
                    <w:t>42</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5FC1EE9C"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1.0</w:t>
                  </w:r>
                  <w:r>
                    <w:rPr>
                      <w:rFonts w:asciiTheme="minorHAnsi" w:hAnsiTheme="minorHAnsi" w:cs="Arial"/>
                      <w:color w:val="4F81BD" w:themeColor="accent1"/>
                      <w:sz w:val="18"/>
                      <w:szCs w:val="18"/>
                      <w:lang w:val="en-GB"/>
                    </w:rPr>
                    <w:t>89</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2DEBB861"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0.6</w:t>
                  </w:r>
                  <w:r>
                    <w:rPr>
                      <w:rFonts w:asciiTheme="minorHAnsi" w:hAnsiTheme="minorHAnsi" w:cs="Arial"/>
                      <w:color w:val="4F81BD" w:themeColor="accent1"/>
                      <w:sz w:val="18"/>
                      <w:szCs w:val="18"/>
                      <w:lang w:val="en-GB"/>
                    </w:rPr>
                    <w:t>59</w:t>
                  </w:r>
                </w:p>
              </w:tc>
            </w:tr>
            <w:tr w:rsidR="00921721" w:rsidRPr="003E7EB2" w14:paraId="5FAC0213" w14:textId="77777777" w:rsidTr="00880D09">
              <w:trPr>
                <w:trHeight w:val="266"/>
              </w:trPr>
              <w:tc>
                <w:tcPr>
                  <w:tcW w:w="1405" w:type="dxa"/>
                  <w:vMerge/>
                  <w:tcBorders>
                    <w:left w:val="single" w:sz="4" w:space="0" w:color="FFFFFF"/>
                    <w:right w:val="nil"/>
                  </w:tcBorders>
                  <w:shd w:val="clear" w:color="auto" w:fill="DBE5F1" w:themeFill="accent1" w:themeFillTint="33"/>
                  <w:vAlign w:val="center"/>
                </w:tcPr>
                <w:p w14:paraId="60D1493F"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7F3EB7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Intercity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439C7464"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19</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42A0375"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1.9</w:t>
                  </w:r>
                  <w:r>
                    <w:rPr>
                      <w:rFonts w:asciiTheme="minorHAnsi" w:hAnsiTheme="minorHAnsi" w:cs="Arial"/>
                      <w:color w:val="4F81BD" w:themeColor="accent1"/>
                      <w:sz w:val="18"/>
                      <w:szCs w:val="18"/>
                      <w:lang w:val="en-GB"/>
                    </w:rPr>
                    <w:t>36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AD38542"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1.16</w:t>
                  </w:r>
                  <w:r>
                    <w:rPr>
                      <w:rFonts w:asciiTheme="minorHAnsi" w:hAnsiTheme="minorHAnsi" w:cs="Arial"/>
                      <w:color w:val="4F81BD" w:themeColor="accent1"/>
                      <w:sz w:val="18"/>
                      <w:szCs w:val="18"/>
                      <w:lang w:val="en-GB"/>
                    </w:rPr>
                    <w:t>1</w:t>
                  </w:r>
                </w:p>
              </w:tc>
            </w:tr>
            <w:tr w:rsidR="00921721" w:rsidRPr="003E7EB2" w14:paraId="42FD7883" w14:textId="77777777" w:rsidTr="00880D09">
              <w:trPr>
                <w:trHeight w:val="54"/>
              </w:trPr>
              <w:tc>
                <w:tcPr>
                  <w:tcW w:w="1405" w:type="dxa"/>
                  <w:vMerge/>
                  <w:tcBorders>
                    <w:left w:val="single" w:sz="4" w:space="0" w:color="FFFFFF"/>
                    <w:right w:val="nil"/>
                  </w:tcBorders>
                  <w:shd w:val="clear" w:color="auto" w:fill="DBE5F1" w:themeFill="accent1" w:themeFillTint="33"/>
                  <w:vAlign w:val="center"/>
                </w:tcPr>
                <w:p w14:paraId="64D88F95"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3092A8F"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Regional train</w:t>
                  </w:r>
                </w:p>
                <w:p w14:paraId="71B28B36"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(with EGR/SRC)</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9937998"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1.5</w:t>
                  </w:r>
                  <w:r>
                    <w:rPr>
                      <w:rFonts w:asciiTheme="minorHAnsi" w:hAnsiTheme="minorHAnsi" w:cs="Arial"/>
                      <w:color w:val="4F81BD" w:themeColor="accent1"/>
                      <w:sz w:val="18"/>
                      <w:szCs w:val="18"/>
                      <w:lang w:val="en-GB"/>
                    </w:rPr>
                    <w:t>57</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9ACBA79"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194</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27A9045"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0.7</w:t>
                  </w:r>
                  <w:r>
                    <w:rPr>
                      <w:rFonts w:asciiTheme="minorHAnsi" w:hAnsiTheme="minorHAnsi" w:cs="Arial"/>
                      <w:color w:val="4F81BD" w:themeColor="accent1"/>
                      <w:sz w:val="18"/>
                      <w:szCs w:val="18"/>
                      <w:lang w:val="en-GB"/>
                    </w:rPr>
                    <w:t>28</w:t>
                  </w:r>
                </w:p>
              </w:tc>
            </w:tr>
            <w:tr w:rsidR="00921721" w:rsidRPr="003E7EB2" w14:paraId="2EC50D9B" w14:textId="77777777" w:rsidTr="00880D09">
              <w:trPr>
                <w:trHeight w:val="266"/>
              </w:trPr>
              <w:tc>
                <w:tcPr>
                  <w:tcW w:w="1405" w:type="dxa"/>
                  <w:vMerge/>
                  <w:tcBorders>
                    <w:left w:val="single" w:sz="4" w:space="0" w:color="FFFFFF"/>
                    <w:bottom w:val="single" w:sz="4" w:space="0" w:color="FFFFFF"/>
                    <w:right w:val="nil"/>
                  </w:tcBorders>
                  <w:shd w:val="clear" w:color="auto" w:fill="DBE5F1" w:themeFill="accent1" w:themeFillTint="33"/>
                  <w:vAlign w:val="center"/>
                </w:tcPr>
                <w:p w14:paraId="11052471"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D53B747"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Regional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5FAAE96C"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2.1</w:t>
                  </w:r>
                  <w:r>
                    <w:rPr>
                      <w:rFonts w:asciiTheme="minorHAnsi" w:hAnsiTheme="minorHAnsi" w:cs="Arial"/>
                      <w:color w:val="4F81BD" w:themeColor="accent1"/>
                      <w:sz w:val="18"/>
                      <w:szCs w:val="18"/>
                      <w:lang w:val="en-GB"/>
                    </w:rPr>
                    <w:t>55</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3AC9AAC7"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36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65A9664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1.2</w:t>
                  </w:r>
                  <w:r>
                    <w:rPr>
                      <w:rFonts w:asciiTheme="minorHAnsi" w:hAnsiTheme="minorHAnsi" w:cs="Arial"/>
                      <w:color w:val="4F81BD" w:themeColor="accent1"/>
                      <w:sz w:val="18"/>
                      <w:szCs w:val="18"/>
                      <w:lang w:val="en-GB"/>
                    </w:rPr>
                    <w:t>28</w:t>
                  </w:r>
                </w:p>
              </w:tc>
            </w:tr>
          </w:tbl>
          <w:p w14:paraId="58A7B10C" w14:textId="77777777" w:rsidR="00921721" w:rsidRDefault="00921721" w:rsidP="00880D09">
            <w:pPr>
              <w:spacing w:before="120" w:after="120"/>
              <w:ind w:right="170"/>
              <w:jc w:val="both"/>
              <w:rPr>
                <w:rFonts w:asciiTheme="minorHAnsi" w:hAnsiTheme="minorHAnsi" w:cs="Arial"/>
                <w:b/>
                <w:i/>
                <w:sz w:val="16"/>
                <w:szCs w:val="16"/>
                <w:lang w:val="en-GB"/>
              </w:rPr>
            </w:pPr>
          </w:p>
          <w:p w14:paraId="34400CFA" w14:textId="77777777" w:rsidR="00921721" w:rsidRDefault="00921721" w:rsidP="00880D09">
            <w:pPr>
              <w:spacing w:before="120" w:after="120"/>
              <w:ind w:right="170"/>
              <w:jc w:val="both"/>
              <w:rPr>
                <w:rFonts w:asciiTheme="minorHAnsi" w:hAnsiTheme="minorHAnsi" w:cs="Arial"/>
                <w:b/>
                <w:i/>
                <w:sz w:val="16"/>
                <w:szCs w:val="16"/>
                <w:lang w:val="en-GB"/>
              </w:rPr>
            </w:pPr>
          </w:p>
          <w:p w14:paraId="183E90B7" w14:textId="77777777" w:rsidR="00921721" w:rsidRDefault="00921721" w:rsidP="00880D09">
            <w:pPr>
              <w:spacing w:before="120" w:after="120"/>
              <w:ind w:right="170"/>
              <w:jc w:val="both"/>
              <w:rPr>
                <w:rFonts w:asciiTheme="minorHAnsi" w:hAnsiTheme="minorHAnsi" w:cs="Arial"/>
                <w:b/>
                <w:i/>
                <w:sz w:val="16"/>
                <w:szCs w:val="16"/>
                <w:lang w:val="en-GB"/>
              </w:rPr>
            </w:pPr>
          </w:p>
          <w:p w14:paraId="3342714E" w14:textId="77777777" w:rsidR="00921721" w:rsidRDefault="00921721" w:rsidP="00880D09">
            <w:pPr>
              <w:spacing w:before="120" w:after="120"/>
              <w:ind w:right="170"/>
              <w:jc w:val="both"/>
              <w:rPr>
                <w:rFonts w:asciiTheme="minorHAnsi" w:hAnsiTheme="minorHAnsi" w:cs="Arial"/>
                <w:b/>
                <w:i/>
                <w:sz w:val="16"/>
                <w:szCs w:val="16"/>
                <w:lang w:val="en-GB"/>
              </w:rPr>
            </w:pPr>
          </w:p>
          <w:p w14:paraId="1701995A" w14:textId="77777777" w:rsidR="00921721" w:rsidRDefault="00921721" w:rsidP="00880D09">
            <w:pPr>
              <w:spacing w:before="120" w:after="120"/>
              <w:ind w:right="170"/>
              <w:jc w:val="both"/>
              <w:rPr>
                <w:rFonts w:asciiTheme="minorHAnsi" w:hAnsiTheme="minorHAnsi" w:cs="Arial"/>
                <w:b/>
                <w:i/>
                <w:sz w:val="16"/>
                <w:szCs w:val="16"/>
                <w:lang w:val="en-GB"/>
              </w:rPr>
            </w:pPr>
          </w:p>
          <w:p w14:paraId="3364C745" w14:textId="77777777" w:rsidR="00921721" w:rsidRDefault="00921721" w:rsidP="00880D09">
            <w:pPr>
              <w:spacing w:before="120" w:after="120"/>
              <w:ind w:right="170"/>
              <w:jc w:val="both"/>
              <w:rPr>
                <w:rFonts w:asciiTheme="minorHAnsi" w:hAnsiTheme="minorHAnsi" w:cs="Arial"/>
                <w:b/>
                <w:i/>
                <w:sz w:val="16"/>
                <w:szCs w:val="16"/>
                <w:lang w:val="en-GB"/>
              </w:rPr>
            </w:pPr>
          </w:p>
          <w:tbl>
            <w:tblPr>
              <w:tblW w:w="6846" w:type="dxa"/>
              <w:tblLayout w:type="fixed"/>
              <w:tblLook w:val="04A0" w:firstRow="1" w:lastRow="0" w:firstColumn="1" w:lastColumn="0" w:noHBand="0" w:noVBand="1"/>
            </w:tblPr>
            <w:tblGrid>
              <w:gridCol w:w="1406"/>
              <w:gridCol w:w="2014"/>
              <w:gridCol w:w="1142"/>
              <w:gridCol w:w="1142"/>
              <w:gridCol w:w="1142"/>
            </w:tblGrid>
            <w:tr w:rsidR="00921721" w:rsidRPr="003E7EB2" w14:paraId="037BA414" w14:textId="77777777" w:rsidTr="00880D09">
              <w:trPr>
                <w:trHeight w:hRule="exact" w:val="852"/>
              </w:trPr>
              <w:tc>
                <w:tcPr>
                  <w:tcW w:w="140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3D7709"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lastRenderedPageBreak/>
                    <w:t>Freight</w:t>
                  </w:r>
                </w:p>
                <w:p w14:paraId="1D0C6D5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B7802">
                    <w:rPr>
                      <w:rFonts w:asciiTheme="minorHAnsi" w:hAnsiTheme="minorHAnsi" w:cs="Arial"/>
                      <w:b/>
                      <w:bCs/>
                      <w:color w:val="FFFFFF"/>
                      <w:sz w:val="18"/>
                      <w:szCs w:val="18"/>
                      <w:lang w:val="en-GB"/>
                    </w:rPr>
                    <w:t xml:space="preserve">PLN/ </w:t>
                  </w:r>
                  <w:r>
                    <w:rPr>
                      <w:rFonts w:asciiTheme="minorHAnsi" w:hAnsiTheme="minorHAnsi" w:cs="Arial"/>
                      <w:b/>
                      <w:bCs/>
                      <w:color w:val="FFFFFF"/>
                      <w:sz w:val="18"/>
                      <w:szCs w:val="18"/>
                      <w:lang w:val="en-GB"/>
                    </w:rPr>
                    <w:t>train</w:t>
                  </w:r>
                  <w:r w:rsidRPr="002B7802">
                    <w:rPr>
                      <w:rFonts w:asciiTheme="minorHAnsi" w:hAnsiTheme="minorHAnsi" w:cs="Arial"/>
                      <w:b/>
                      <w:bCs/>
                      <w:color w:val="FFFFFF"/>
                      <w:sz w:val="18"/>
                      <w:szCs w:val="18"/>
                      <w:lang w:val="en-GB"/>
                    </w:rPr>
                    <w:t>-km</w:t>
                  </w:r>
                </w:p>
              </w:tc>
              <w:tc>
                <w:tcPr>
                  <w:tcW w:w="201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0CC3B24"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14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360589F4"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14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D8A202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14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06FF1956"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6856C6" w14:paraId="4ABFBD76" w14:textId="77777777" w:rsidTr="00880D09">
              <w:trPr>
                <w:trHeight w:val="191"/>
              </w:trPr>
              <w:tc>
                <w:tcPr>
                  <w:tcW w:w="1406" w:type="dxa"/>
                  <w:vMerge w:val="restart"/>
                  <w:tcBorders>
                    <w:top w:val="single" w:sz="4" w:space="0" w:color="FFFFFF"/>
                    <w:left w:val="single" w:sz="4" w:space="0" w:color="FFFFFF"/>
                    <w:right w:val="nil"/>
                  </w:tcBorders>
                  <w:shd w:val="clear" w:color="auto" w:fill="DBE5F1" w:themeFill="accent1" w:themeFillTint="33"/>
                  <w:vAlign w:val="center"/>
                </w:tcPr>
                <w:p w14:paraId="395250B5"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Electric</w:t>
                  </w:r>
                  <w:proofErr w:type="spellEnd"/>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5EF077F" w14:textId="77777777" w:rsidR="00921721" w:rsidRPr="005C29AF" w:rsidRDefault="00921721" w:rsidP="00880D09">
                  <w:pPr>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Short</w:t>
                  </w:r>
                  <w:proofErr w:type="spellEnd"/>
                  <w:r w:rsidRPr="005C29AF">
                    <w:rPr>
                      <w:rFonts w:asciiTheme="minorHAnsi" w:hAnsiTheme="minorHAnsi" w:cs="Arial"/>
                      <w:color w:val="4F81BD" w:themeColor="accent1"/>
                      <w:sz w:val="18"/>
                      <w:szCs w:val="18"/>
                    </w:rPr>
                    <w:t xml:space="preserve"> </w:t>
                  </w:r>
                  <w:proofErr w:type="spellStart"/>
                  <w:r w:rsidRPr="005C29AF">
                    <w:rPr>
                      <w:rFonts w:asciiTheme="minorHAnsi" w:hAnsiTheme="minorHAnsi" w:cs="Arial"/>
                      <w:color w:val="4F81BD" w:themeColor="accent1"/>
                      <w:sz w:val="18"/>
                      <w:szCs w:val="18"/>
                    </w:rPr>
                    <w:t>container</w:t>
                  </w:r>
                  <w:proofErr w:type="spellEnd"/>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DFF6183" w14:textId="77777777" w:rsidR="00921721" w:rsidRPr="005C29AF" w:rsidRDefault="00921721" w:rsidP="00880D09">
                  <w:pPr>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0.019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4CB848" w14:textId="77777777" w:rsidR="00921721" w:rsidRPr="005C29AF" w:rsidRDefault="00921721" w:rsidP="00880D09">
                  <w:pPr>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0.019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F4665E3" w14:textId="77777777" w:rsidR="00921721" w:rsidRPr="005C29AF" w:rsidRDefault="00921721" w:rsidP="00880D09">
                  <w:pPr>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0.019</w:t>
                  </w:r>
                </w:p>
              </w:tc>
            </w:tr>
            <w:tr w:rsidR="00921721" w:rsidRPr="006856C6" w14:paraId="2AD208EB"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38D4256B"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AC53A3"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Short</w:t>
                  </w:r>
                  <w:proofErr w:type="spellEnd"/>
                  <w:r w:rsidRPr="005C29AF">
                    <w:rPr>
                      <w:rFonts w:asciiTheme="minorHAnsi" w:hAnsiTheme="minorHAnsi" w:cs="Arial"/>
                      <w:color w:val="4F81BD" w:themeColor="accent1"/>
                      <w:sz w:val="18"/>
                      <w:szCs w:val="18"/>
                    </w:rPr>
                    <w:t xml:space="preserve"> </w:t>
                  </w:r>
                  <w:proofErr w:type="spellStart"/>
                  <w:r w:rsidRPr="005C29AF">
                    <w:rPr>
                      <w:rFonts w:asciiTheme="minorHAnsi" w:hAnsiTheme="minorHAnsi" w:cs="Arial"/>
                      <w:color w:val="4F81BD" w:themeColor="accent1"/>
                      <w:sz w:val="18"/>
                      <w:szCs w:val="18"/>
                    </w:rPr>
                    <w:t>bulk</w:t>
                  </w:r>
                  <w:proofErr w:type="spellEnd"/>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7115EEC"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0.02</w:t>
                  </w:r>
                  <w:r>
                    <w:rPr>
                      <w:rFonts w:asciiTheme="minorHAnsi" w:hAnsiTheme="minorHAnsi" w:cs="Arial"/>
                      <w:color w:val="4F81BD" w:themeColor="accent1"/>
                      <w:sz w:val="18"/>
                      <w:szCs w:val="18"/>
                    </w:rPr>
                    <w:t>8</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733AE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0.02</w:t>
                  </w:r>
                  <w:r>
                    <w:rPr>
                      <w:rFonts w:asciiTheme="minorHAnsi" w:hAnsiTheme="minorHAnsi" w:cs="Arial"/>
                      <w:color w:val="4F81BD" w:themeColor="accent1"/>
                      <w:sz w:val="18"/>
                      <w:szCs w:val="18"/>
                    </w:rPr>
                    <w:t>8</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FA6BDF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0.02</w:t>
                  </w:r>
                  <w:r>
                    <w:rPr>
                      <w:rFonts w:asciiTheme="minorHAnsi" w:hAnsiTheme="minorHAnsi" w:cs="Arial"/>
                      <w:color w:val="4F81BD" w:themeColor="accent1"/>
                      <w:sz w:val="18"/>
                      <w:szCs w:val="18"/>
                    </w:rPr>
                    <w:t>8</w:t>
                  </w:r>
                </w:p>
              </w:tc>
            </w:tr>
            <w:tr w:rsidR="00921721" w:rsidRPr="006856C6" w14:paraId="62A4097A"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56ACD997"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02454DD"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Long</w:t>
                  </w:r>
                  <w:proofErr w:type="spellEnd"/>
                  <w:r w:rsidRPr="005C29AF">
                    <w:rPr>
                      <w:rFonts w:asciiTheme="minorHAnsi" w:hAnsiTheme="minorHAnsi" w:cs="Arial"/>
                      <w:color w:val="4F81BD" w:themeColor="accent1"/>
                      <w:sz w:val="18"/>
                      <w:szCs w:val="18"/>
                    </w:rPr>
                    <w:t xml:space="preserve"> </w:t>
                  </w:r>
                  <w:proofErr w:type="spellStart"/>
                  <w:r w:rsidRPr="005C29AF">
                    <w:rPr>
                      <w:rFonts w:asciiTheme="minorHAnsi" w:hAnsiTheme="minorHAnsi" w:cs="Arial"/>
                      <w:color w:val="4F81BD" w:themeColor="accent1"/>
                      <w:sz w:val="18"/>
                      <w:szCs w:val="18"/>
                    </w:rPr>
                    <w:t>container</w:t>
                  </w:r>
                  <w:proofErr w:type="spellEnd"/>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4CD88869"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0.053</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F6141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0.053</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06D7811"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0.053</w:t>
                  </w:r>
                </w:p>
              </w:tc>
            </w:tr>
            <w:tr w:rsidR="00921721" w:rsidRPr="006856C6" w14:paraId="43B4EE45"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4A0C7D56"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C313B49"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Long</w:t>
                  </w:r>
                  <w:proofErr w:type="spellEnd"/>
                  <w:r w:rsidRPr="005C29AF">
                    <w:rPr>
                      <w:rFonts w:asciiTheme="minorHAnsi" w:hAnsiTheme="minorHAnsi" w:cs="Arial"/>
                      <w:color w:val="4F81BD" w:themeColor="accent1"/>
                      <w:sz w:val="18"/>
                      <w:szCs w:val="18"/>
                    </w:rPr>
                    <w:t xml:space="preserve"> </w:t>
                  </w:r>
                  <w:proofErr w:type="spellStart"/>
                  <w:r w:rsidRPr="005C29AF">
                    <w:rPr>
                      <w:rFonts w:asciiTheme="minorHAnsi" w:hAnsiTheme="minorHAnsi" w:cs="Arial"/>
                      <w:color w:val="4F81BD" w:themeColor="accent1"/>
                      <w:sz w:val="18"/>
                      <w:szCs w:val="18"/>
                    </w:rPr>
                    <w:t>bulk</w:t>
                  </w:r>
                  <w:proofErr w:type="spellEnd"/>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7BC40B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0.06</w:t>
                  </w:r>
                  <w:r>
                    <w:rPr>
                      <w:rFonts w:asciiTheme="minorHAnsi" w:hAnsiTheme="minorHAnsi" w:cs="Arial"/>
                      <w:color w:val="4F81BD" w:themeColor="accent1"/>
                      <w:sz w:val="18"/>
                      <w:szCs w:val="18"/>
                    </w:rPr>
                    <w:t>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C0B036C"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0.06</w:t>
                  </w:r>
                  <w:r>
                    <w:rPr>
                      <w:rFonts w:asciiTheme="minorHAnsi" w:hAnsiTheme="minorHAnsi" w:cs="Arial"/>
                      <w:color w:val="4F81BD" w:themeColor="accent1"/>
                      <w:sz w:val="18"/>
                      <w:szCs w:val="18"/>
                    </w:rPr>
                    <w:t>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D8F0B6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0.06</w:t>
                  </w:r>
                  <w:r>
                    <w:rPr>
                      <w:rFonts w:asciiTheme="minorHAnsi" w:hAnsiTheme="minorHAnsi" w:cs="Arial"/>
                      <w:color w:val="4F81BD" w:themeColor="accent1"/>
                      <w:sz w:val="18"/>
                      <w:szCs w:val="18"/>
                    </w:rPr>
                    <w:t>0</w:t>
                  </w:r>
                </w:p>
              </w:tc>
            </w:tr>
            <w:tr w:rsidR="00921721" w:rsidRPr="003E7EB2" w14:paraId="4932FCEE" w14:textId="77777777" w:rsidTr="00880D09">
              <w:trPr>
                <w:trHeight w:val="191"/>
              </w:trPr>
              <w:tc>
                <w:tcPr>
                  <w:tcW w:w="1406" w:type="dxa"/>
                  <w:vMerge w:val="restart"/>
                  <w:tcBorders>
                    <w:top w:val="single" w:sz="4" w:space="0" w:color="FFFFFF"/>
                    <w:left w:val="single" w:sz="4" w:space="0" w:color="FFFFFF"/>
                    <w:right w:val="nil"/>
                  </w:tcBorders>
                  <w:shd w:val="clear" w:color="auto" w:fill="DBE5F1" w:themeFill="accent1" w:themeFillTint="33"/>
                  <w:vAlign w:val="center"/>
                </w:tcPr>
                <w:p w14:paraId="0F2598F9"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Diesel</w:t>
                  </w: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06A3C02"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Short container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68CF15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6.8</w:t>
                  </w:r>
                  <w:r>
                    <w:rPr>
                      <w:rFonts w:asciiTheme="minorHAnsi" w:hAnsiTheme="minorHAnsi" w:cs="Arial"/>
                      <w:color w:val="4F81BD" w:themeColor="accent1"/>
                      <w:sz w:val="18"/>
                      <w:szCs w:val="18"/>
                    </w:rPr>
                    <w:t>29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814786B"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5.9</w:t>
                  </w:r>
                  <w:r>
                    <w:rPr>
                      <w:rFonts w:asciiTheme="minorHAnsi" w:hAnsiTheme="minorHAnsi" w:cs="Arial"/>
                      <w:color w:val="4F81BD" w:themeColor="accent1"/>
                      <w:sz w:val="18"/>
                      <w:szCs w:val="18"/>
                    </w:rPr>
                    <w:t>25</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45C6F9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3.5</w:t>
                  </w:r>
                  <w:r>
                    <w:rPr>
                      <w:rFonts w:asciiTheme="minorHAnsi" w:hAnsiTheme="minorHAnsi" w:cs="Arial"/>
                      <w:color w:val="4F81BD" w:themeColor="accent1"/>
                      <w:sz w:val="18"/>
                      <w:szCs w:val="18"/>
                    </w:rPr>
                    <w:t>24</w:t>
                  </w:r>
                </w:p>
              </w:tc>
            </w:tr>
            <w:tr w:rsidR="00921721" w:rsidRPr="003E7EB2" w14:paraId="3B546FCB"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441E0BF4"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BD7325"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Short</w:t>
                  </w:r>
                  <w:proofErr w:type="spellEnd"/>
                  <w:r w:rsidRPr="005C29AF">
                    <w:rPr>
                      <w:rFonts w:asciiTheme="minorHAnsi" w:hAnsiTheme="minorHAnsi" w:cs="Arial"/>
                      <w:color w:val="4F81BD" w:themeColor="accent1"/>
                      <w:sz w:val="18"/>
                      <w:szCs w:val="18"/>
                    </w:rPr>
                    <w:t xml:space="preserve"> </w:t>
                  </w:r>
                  <w:proofErr w:type="spellStart"/>
                  <w:r w:rsidRPr="005C29AF">
                    <w:rPr>
                      <w:rFonts w:asciiTheme="minorHAnsi" w:hAnsiTheme="minorHAnsi" w:cs="Arial"/>
                      <w:color w:val="4F81BD" w:themeColor="accent1"/>
                      <w:sz w:val="18"/>
                      <w:szCs w:val="18"/>
                    </w:rPr>
                    <w:t>container</w:t>
                  </w:r>
                  <w:proofErr w:type="spellEnd"/>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1F734AC"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14.964</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AC895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12.2</w:t>
                  </w:r>
                  <w:r>
                    <w:rPr>
                      <w:rFonts w:asciiTheme="minorHAnsi" w:hAnsiTheme="minorHAnsi" w:cs="Arial"/>
                      <w:color w:val="4F81BD" w:themeColor="accent1"/>
                      <w:sz w:val="18"/>
                      <w:szCs w:val="18"/>
                    </w:rPr>
                    <w:t>24</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1DCD29"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7.2</w:t>
                  </w:r>
                  <w:r>
                    <w:rPr>
                      <w:rFonts w:asciiTheme="minorHAnsi" w:hAnsiTheme="minorHAnsi" w:cs="Arial"/>
                      <w:color w:val="4F81BD" w:themeColor="accent1"/>
                      <w:sz w:val="18"/>
                      <w:szCs w:val="18"/>
                    </w:rPr>
                    <w:t>30</w:t>
                  </w:r>
                </w:p>
              </w:tc>
            </w:tr>
            <w:tr w:rsidR="00921721" w:rsidRPr="003E7EB2" w14:paraId="266FE93C"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315186AE"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A88313"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Short bulk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EB93CC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6.8</w:t>
                  </w:r>
                  <w:r>
                    <w:rPr>
                      <w:rFonts w:asciiTheme="minorHAnsi" w:hAnsiTheme="minorHAnsi" w:cs="Arial"/>
                      <w:color w:val="4F81BD" w:themeColor="accent1"/>
                      <w:sz w:val="18"/>
                      <w:szCs w:val="18"/>
                    </w:rPr>
                    <w:t>45</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35D861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5.9</w:t>
                  </w:r>
                  <w:r>
                    <w:rPr>
                      <w:rFonts w:asciiTheme="minorHAnsi" w:hAnsiTheme="minorHAnsi" w:cs="Arial"/>
                      <w:color w:val="4F81BD" w:themeColor="accent1"/>
                      <w:sz w:val="18"/>
                      <w:szCs w:val="18"/>
                    </w:rPr>
                    <w:t>41</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ED29F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3.5</w:t>
                  </w:r>
                  <w:r>
                    <w:rPr>
                      <w:rFonts w:asciiTheme="minorHAnsi" w:hAnsiTheme="minorHAnsi" w:cs="Arial"/>
                      <w:color w:val="4F81BD" w:themeColor="accent1"/>
                      <w:sz w:val="18"/>
                      <w:szCs w:val="18"/>
                    </w:rPr>
                    <w:t>39</w:t>
                  </w:r>
                </w:p>
              </w:tc>
            </w:tr>
            <w:tr w:rsidR="00921721" w:rsidRPr="003E7EB2" w14:paraId="06E73B1D"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2E536A0E"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186AF5"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Short</w:t>
                  </w:r>
                  <w:proofErr w:type="spellEnd"/>
                  <w:r w:rsidRPr="005C29AF">
                    <w:rPr>
                      <w:rFonts w:asciiTheme="minorHAnsi" w:hAnsiTheme="minorHAnsi" w:cs="Arial"/>
                      <w:color w:val="4F81BD" w:themeColor="accent1"/>
                      <w:sz w:val="18"/>
                      <w:szCs w:val="18"/>
                    </w:rPr>
                    <w:t xml:space="preserve"> </w:t>
                  </w:r>
                  <w:proofErr w:type="spellStart"/>
                  <w:r w:rsidRPr="005C29AF">
                    <w:rPr>
                      <w:rFonts w:asciiTheme="minorHAnsi" w:hAnsiTheme="minorHAnsi" w:cs="Arial"/>
                      <w:color w:val="4F81BD" w:themeColor="accent1"/>
                      <w:sz w:val="18"/>
                      <w:szCs w:val="18"/>
                    </w:rPr>
                    <w:t>bulk</w:t>
                  </w:r>
                  <w:proofErr w:type="spellEnd"/>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0CC2AF9"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14.980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3995080"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240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BB2014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7.2</w:t>
                  </w:r>
                  <w:r>
                    <w:rPr>
                      <w:rFonts w:asciiTheme="minorHAnsi" w:hAnsiTheme="minorHAnsi" w:cs="Arial"/>
                      <w:color w:val="4F81BD" w:themeColor="accent1"/>
                      <w:sz w:val="18"/>
                      <w:szCs w:val="18"/>
                    </w:rPr>
                    <w:t>46</w:t>
                  </w:r>
                </w:p>
              </w:tc>
            </w:tr>
            <w:tr w:rsidR="00921721" w:rsidRPr="003E7EB2" w14:paraId="50B8B8F8"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6FD37DDB"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902ED9"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Long container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962111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886</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235E25D"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5.982</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839E95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581</w:t>
                  </w:r>
                </w:p>
              </w:tc>
            </w:tr>
            <w:tr w:rsidR="00921721" w:rsidRPr="003E7EB2" w14:paraId="2ADED986"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599CD530"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0AB7D22" w14:textId="77777777" w:rsidR="00921721" w:rsidRPr="005C29AF" w:rsidRDefault="00921721" w:rsidP="00880D09">
                  <w:pPr>
                    <w:spacing w:before="20"/>
                    <w:jc w:val="center"/>
                    <w:rPr>
                      <w:rFonts w:asciiTheme="minorHAnsi" w:hAnsiTheme="minorHAnsi" w:cs="Arial"/>
                      <w:color w:val="4F81BD" w:themeColor="accent1"/>
                      <w:sz w:val="18"/>
                      <w:szCs w:val="18"/>
                    </w:rPr>
                  </w:pPr>
                  <w:proofErr w:type="spellStart"/>
                  <w:r w:rsidRPr="005C29AF">
                    <w:rPr>
                      <w:rFonts w:asciiTheme="minorHAnsi" w:hAnsiTheme="minorHAnsi" w:cs="Arial"/>
                      <w:color w:val="4F81BD" w:themeColor="accent1"/>
                      <w:sz w:val="18"/>
                      <w:szCs w:val="18"/>
                    </w:rPr>
                    <w:t>Long</w:t>
                  </w:r>
                  <w:proofErr w:type="spellEnd"/>
                  <w:r w:rsidRPr="005C29AF">
                    <w:rPr>
                      <w:rFonts w:asciiTheme="minorHAnsi" w:hAnsiTheme="minorHAnsi" w:cs="Arial"/>
                      <w:color w:val="4F81BD" w:themeColor="accent1"/>
                      <w:sz w:val="18"/>
                      <w:szCs w:val="18"/>
                    </w:rPr>
                    <w:t xml:space="preserve"> </w:t>
                  </w:r>
                  <w:proofErr w:type="spellStart"/>
                  <w:r w:rsidRPr="005C29AF">
                    <w:rPr>
                      <w:rFonts w:asciiTheme="minorHAnsi" w:hAnsiTheme="minorHAnsi" w:cs="Arial"/>
                      <w:color w:val="4F81BD" w:themeColor="accent1"/>
                      <w:sz w:val="18"/>
                      <w:szCs w:val="18"/>
                    </w:rPr>
                    <w:t>container</w:t>
                  </w:r>
                  <w:proofErr w:type="spellEnd"/>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DEC745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15.</w:t>
                  </w:r>
                  <w:r>
                    <w:rPr>
                      <w:rFonts w:asciiTheme="minorHAnsi" w:hAnsiTheme="minorHAnsi" w:cs="Arial"/>
                      <w:color w:val="4F81BD" w:themeColor="accent1"/>
                      <w:sz w:val="18"/>
                      <w:szCs w:val="18"/>
                    </w:rPr>
                    <w:t>021</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390D1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281</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EB82E8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287</w:t>
                  </w:r>
                </w:p>
              </w:tc>
            </w:tr>
            <w:tr w:rsidR="00921721" w:rsidRPr="007463B9" w14:paraId="5F315303"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424BBEB9"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EE09F43"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Long bulk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A4AC84C"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6.</w:t>
                  </w:r>
                  <w:r>
                    <w:rPr>
                      <w:rFonts w:asciiTheme="minorHAnsi" w:hAnsiTheme="minorHAnsi" w:cs="Arial"/>
                      <w:color w:val="4F81BD" w:themeColor="accent1"/>
                      <w:sz w:val="18"/>
                      <w:szCs w:val="18"/>
                      <w:lang w:val="en-US"/>
                    </w:rPr>
                    <w:t>899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F2E84B"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Pr>
                      <w:rFonts w:asciiTheme="minorHAnsi" w:hAnsiTheme="minorHAnsi" w:cs="Arial"/>
                      <w:color w:val="4F81BD" w:themeColor="accent1"/>
                      <w:sz w:val="18"/>
                      <w:szCs w:val="18"/>
                      <w:lang w:val="en-US"/>
                    </w:rPr>
                    <w:t>5.995</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EC67989"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3.</w:t>
                  </w:r>
                  <w:r>
                    <w:rPr>
                      <w:rFonts w:asciiTheme="minorHAnsi" w:hAnsiTheme="minorHAnsi" w:cs="Arial"/>
                      <w:color w:val="4F81BD" w:themeColor="accent1"/>
                      <w:sz w:val="18"/>
                      <w:szCs w:val="18"/>
                      <w:lang w:val="en-US"/>
                    </w:rPr>
                    <w:t>593</w:t>
                  </w:r>
                </w:p>
              </w:tc>
            </w:tr>
            <w:tr w:rsidR="00921721" w:rsidRPr="007463B9" w14:paraId="75E29C63" w14:textId="77777777" w:rsidTr="00880D09">
              <w:trPr>
                <w:trHeight w:val="191"/>
              </w:trPr>
              <w:tc>
                <w:tcPr>
                  <w:tcW w:w="1406" w:type="dxa"/>
                  <w:vMerge/>
                  <w:tcBorders>
                    <w:left w:val="single" w:sz="4" w:space="0" w:color="FFFFFF"/>
                    <w:bottom w:val="single" w:sz="4" w:space="0" w:color="FFFFFF"/>
                    <w:right w:val="nil"/>
                  </w:tcBorders>
                  <w:shd w:val="clear" w:color="auto" w:fill="DBE5F1" w:themeFill="accent1" w:themeFillTint="33"/>
                  <w:vAlign w:val="center"/>
                </w:tcPr>
                <w:p w14:paraId="024A768E"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DB2DE9A"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Long bulk</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212C2EA"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15.</w:t>
                  </w:r>
                  <w:r>
                    <w:rPr>
                      <w:rFonts w:asciiTheme="minorHAnsi" w:hAnsiTheme="minorHAnsi" w:cs="Arial"/>
                      <w:color w:val="4F81BD" w:themeColor="accent1"/>
                      <w:sz w:val="18"/>
                      <w:szCs w:val="18"/>
                      <w:lang w:val="en-US"/>
                    </w:rPr>
                    <w:t>033</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4CC7D6D"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12.</w:t>
                  </w:r>
                  <w:r>
                    <w:rPr>
                      <w:rFonts w:asciiTheme="minorHAnsi" w:hAnsiTheme="minorHAnsi" w:cs="Arial"/>
                      <w:color w:val="4F81BD" w:themeColor="accent1"/>
                      <w:sz w:val="18"/>
                      <w:szCs w:val="18"/>
                      <w:lang w:val="en-US"/>
                    </w:rPr>
                    <w:t>294</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3F48016"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7.3</w:t>
                  </w:r>
                  <w:r>
                    <w:rPr>
                      <w:rFonts w:asciiTheme="minorHAnsi" w:hAnsiTheme="minorHAnsi" w:cs="Arial"/>
                      <w:color w:val="4F81BD" w:themeColor="accent1"/>
                      <w:sz w:val="18"/>
                      <w:szCs w:val="18"/>
                      <w:lang w:val="en-US"/>
                    </w:rPr>
                    <w:t>00</w:t>
                  </w:r>
                </w:p>
              </w:tc>
            </w:tr>
          </w:tbl>
          <w:p w14:paraId="11967E59" w14:textId="77777777" w:rsidR="00921721" w:rsidRDefault="00921721" w:rsidP="00880D09">
            <w:pPr>
              <w:ind w:right="170"/>
              <w:jc w:val="both"/>
              <w:rPr>
                <w:rFonts w:asciiTheme="minorHAnsi" w:hAnsiTheme="minorHAnsi" w:cs="Arial"/>
                <w:b/>
                <w:i/>
                <w:sz w:val="16"/>
                <w:szCs w:val="16"/>
                <w:lang w:val="en-US"/>
              </w:rPr>
            </w:pPr>
            <w:r w:rsidRPr="00983DF9">
              <w:rPr>
                <w:rFonts w:asciiTheme="minorHAnsi" w:hAnsiTheme="minorHAnsi" w:cs="Arial"/>
                <w:b/>
                <w:i/>
                <w:sz w:val="16"/>
                <w:szCs w:val="16"/>
                <w:lang w:val="en-US"/>
              </w:rPr>
              <w:t xml:space="preserve">Source: </w:t>
            </w:r>
            <w:r>
              <w:rPr>
                <w:rFonts w:asciiTheme="minorHAnsi" w:hAnsiTheme="minorHAnsi" w:cs="Arial"/>
                <w:b/>
                <w:i/>
                <w:sz w:val="16"/>
                <w:szCs w:val="16"/>
                <w:lang w:val="en-US"/>
              </w:rPr>
              <w:t>Own calculation</w:t>
            </w:r>
            <w:r w:rsidRPr="00983DF9">
              <w:rPr>
                <w:rFonts w:asciiTheme="minorHAnsi" w:hAnsiTheme="minorHAnsi" w:cs="Arial"/>
                <w:b/>
                <w:i/>
                <w:sz w:val="16"/>
                <w:szCs w:val="16"/>
                <w:lang w:val="en-US"/>
              </w:rPr>
              <w:t xml:space="preserve">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 xml:space="preserve">. </w:t>
            </w:r>
          </w:p>
          <w:p w14:paraId="5579E3E3" w14:textId="77777777" w:rsidR="00921721" w:rsidRPr="00983DF9" w:rsidRDefault="00921721" w:rsidP="00880D09">
            <w:pPr>
              <w:ind w:right="170"/>
              <w:jc w:val="both"/>
              <w:rPr>
                <w:rFonts w:asciiTheme="minorHAnsi" w:hAnsiTheme="minorHAnsi"/>
                <w:b/>
                <w:i/>
                <w:sz w:val="16"/>
                <w:szCs w:val="16"/>
                <w:lang w:val="en-US"/>
              </w:rPr>
            </w:pPr>
            <w:r w:rsidRPr="002F209F">
              <w:rPr>
                <w:rFonts w:asciiTheme="minorHAnsi" w:hAnsiTheme="minorHAnsi" w:cs="Arial"/>
                <w:b/>
                <w:i/>
                <w:sz w:val="16"/>
                <w:szCs w:val="16"/>
                <w:lang w:val="en-US"/>
              </w:rPr>
              <w:t>(*)</w:t>
            </w:r>
            <w:r>
              <w:rPr>
                <w:rFonts w:asciiTheme="minorHAnsi" w:hAnsiTheme="minorHAnsi" w:cs="Arial"/>
                <w:b/>
                <w:i/>
                <w:sz w:val="16"/>
                <w:szCs w:val="16"/>
                <w:lang w:val="en-US"/>
              </w:rPr>
              <w:t> </w:t>
            </w:r>
            <w:r w:rsidRPr="002C6855">
              <w:rPr>
                <w:rFonts w:asciiTheme="minorHAnsi" w:hAnsiTheme="minorHAnsi" w:cs="Arial"/>
                <w:b/>
                <w:i/>
                <w:sz w:val="16"/>
                <w:szCs w:val="16"/>
                <w:lang w:val="en-US"/>
              </w:rPr>
              <w:t>Metropolitan area</w:t>
            </w:r>
            <w:r w:rsidRPr="002F209F">
              <w:rPr>
                <w:rFonts w:asciiTheme="minorHAnsi" w:hAnsiTheme="minorHAnsi" w:cs="Arial"/>
                <w:b/>
                <w:i/>
                <w:sz w:val="16"/>
                <w:szCs w:val="16"/>
                <w:lang w:val="en-US"/>
              </w:rPr>
              <w:t xml:space="preserve">: </w:t>
            </w:r>
            <w:r w:rsidRPr="002C6855">
              <w:rPr>
                <w:rFonts w:asciiTheme="minorHAnsi" w:hAnsiTheme="minorHAnsi" w:cs="Arial"/>
                <w:b/>
                <w:i/>
                <w:sz w:val="16"/>
                <w:szCs w:val="16"/>
                <w:lang w:val="en-US"/>
              </w:rPr>
              <w:t xml:space="preserve">city or agglomeration </w:t>
            </w:r>
            <w:r>
              <w:rPr>
                <w:rFonts w:asciiTheme="minorHAnsi" w:hAnsiTheme="minorHAnsi" w:cs="Arial"/>
                <w:b/>
                <w:i/>
                <w:sz w:val="16"/>
                <w:szCs w:val="16"/>
                <w:lang w:val="en-US"/>
              </w:rPr>
              <w:t>larger than 0.5 </w:t>
            </w:r>
            <w:r w:rsidRPr="002F209F">
              <w:rPr>
                <w:rFonts w:asciiTheme="minorHAnsi" w:hAnsiTheme="minorHAnsi" w:cs="Arial"/>
                <w:b/>
                <w:i/>
                <w:sz w:val="16"/>
                <w:szCs w:val="16"/>
                <w:lang w:val="en-US"/>
              </w:rPr>
              <w:t>million</w:t>
            </w:r>
            <w:r>
              <w:rPr>
                <w:rFonts w:asciiTheme="minorHAnsi" w:hAnsiTheme="minorHAnsi" w:cs="Arial"/>
                <w:b/>
                <w:i/>
                <w:sz w:val="16"/>
                <w:szCs w:val="16"/>
                <w:lang w:val="en-US"/>
              </w:rPr>
              <w:t xml:space="preserve"> inhabitants</w:t>
            </w:r>
            <w:r w:rsidRPr="002F209F">
              <w:rPr>
                <w:rFonts w:asciiTheme="minorHAnsi" w:hAnsiTheme="minorHAnsi" w:cs="Arial"/>
                <w:b/>
                <w:i/>
                <w:sz w:val="16"/>
                <w:szCs w:val="16"/>
                <w:lang w:val="en-US"/>
              </w:rPr>
              <w:t xml:space="preserve"> (definition </w:t>
            </w:r>
            <w:r>
              <w:rPr>
                <w:rFonts w:asciiTheme="minorHAnsi" w:hAnsiTheme="minorHAnsi" w:cs="Arial"/>
                <w:b/>
                <w:i/>
                <w:sz w:val="16"/>
                <w:szCs w:val="16"/>
                <w:lang w:val="en-US"/>
              </w:rPr>
              <w:t xml:space="preserve">according to </w:t>
            </w:r>
            <w:r w:rsidRPr="00277A80">
              <w:rPr>
                <w:rFonts w:asciiTheme="minorHAnsi" w:hAnsiTheme="minorHAnsi" w:cs="Arial"/>
                <w:b/>
                <w:i/>
                <w:sz w:val="16"/>
                <w:szCs w:val="16"/>
                <w:lang w:val="en-US"/>
              </w:rPr>
              <w:t>Handbook on the External Costs of Transport, EC, January 2019</w:t>
            </w:r>
            <w:r w:rsidRPr="002F209F">
              <w:rPr>
                <w:rFonts w:asciiTheme="minorHAnsi" w:hAnsiTheme="minorHAnsi" w:cs="Arial"/>
                <w:b/>
                <w:i/>
                <w:sz w:val="16"/>
                <w:szCs w:val="16"/>
                <w:lang w:val="en-US"/>
              </w:rPr>
              <w:t>).</w:t>
            </w:r>
          </w:p>
          <w:p w14:paraId="40286736" w14:textId="77777777" w:rsidR="00921721" w:rsidRPr="002C6855" w:rsidRDefault="00921721" w:rsidP="00880D09">
            <w:pPr>
              <w:spacing w:before="120" w:after="120"/>
              <w:ind w:right="170"/>
              <w:jc w:val="both"/>
              <w:rPr>
                <w:rFonts w:asciiTheme="minorHAnsi" w:hAnsiTheme="minorHAnsi" w:cs="Arial"/>
                <w:b/>
                <w:i/>
                <w:sz w:val="16"/>
                <w:szCs w:val="16"/>
                <w:lang w:val="en-US"/>
              </w:rPr>
            </w:pPr>
          </w:p>
          <w:p w14:paraId="690C6419" w14:textId="77777777" w:rsidR="00921721" w:rsidRPr="00614799" w:rsidRDefault="00921721" w:rsidP="00880D09">
            <w:pPr>
              <w:pStyle w:val="anxnormal"/>
              <w:ind w:left="0"/>
              <w:rPr>
                <w:rFonts w:asciiTheme="minorHAnsi" w:hAnsiTheme="minorHAnsi"/>
                <w:lang w:val="en-GB" w:eastAsia="en-US"/>
              </w:rPr>
            </w:pPr>
          </w:p>
          <w:p w14:paraId="1B68F8FD"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2524B696" w14:textId="77777777" w:rsidR="00921721" w:rsidRPr="00731E4E" w:rsidRDefault="00921721" w:rsidP="00880D09">
            <w:pPr>
              <w:pStyle w:val="anxnormal"/>
              <w:ind w:left="0"/>
              <w:rPr>
                <w:rFonts w:asciiTheme="minorHAnsi" w:hAnsiTheme="minorHAnsi"/>
                <w:lang w:val="en-GB" w:eastAsia="en-US"/>
              </w:rPr>
            </w:pPr>
            <w:r w:rsidRPr="00942EC3">
              <w:rPr>
                <w:rFonts w:asciiTheme="minorHAnsi" w:hAnsiTheme="minorHAnsi"/>
                <w:lang w:val="en-GB" w:eastAsia="en-US"/>
              </w:rPr>
              <w:t xml:space="preserve">Unit air pollution costs evolution over time (to be calculated) </w:t>
            </w:r>
            <w:r>
              <w:rPr>
                <w:rFonts w:asciiTheme="minorHAnsi" w:hAnsiTheme="minorHAnsi"/>
                <w:lang w:val="en-GB" w:eastAsia="en-US"/>
              </w:rPr>
              <w:t>is</w:t>
            </w:r>
            <w:r w:rsidRPr="00942EC3">
              <w:rPr>
                <w:rFonts w:asciiTheme="minorHAnsi" w:hAnsiTheme="minorHAnsi"/>
                <w:lang w:val="en-GB" w:eastAsia="en-US"/>
              </w:rPr>
              <w:t xml:space="preserve"> based on GDP per capita growth (values provided in p</w:t>
            </w:r>
            <w:r>
              <w:rPr>
                <w:rFonts w:asciiTheme="minorHAnsi" w:hAnsiTheme="minorHAnsi"/>
                <w:lang w:val="en-GB" w:eastAsia="en-US"/>
              </w:rPr>
              <w:t>oint 2) with an elasticity of 0.</w:t>
            </w:r>
            <w:r w:rsidRPr="00942EC3">
              <w:rPr>
                <w:rFonts w:asciiTheme="minorHAnsi" w:hAnsiTheme="minorHAnsi"/>
                <w:lang w:val="en-GB" w:eastAsia="en-US"/>
              </w:rPr>
              <w:t>8.</w:t>
            </w:r>
            <w:r w:rsidRPr="00731E4E">
              <w:rPr>
                <w:rFonts w:asciiTheme="minorHAnsi" w:hAnsiTheme="minorHAnsi"/>
                <w:lang w:val="en-GB" w:eastAsia="en-US"/>
              </w:rPr>
              <w:t xml:space="preserve"> </w:t>
            </w:r>
          </w:p>
          <w:p w14:paraId="0C7D6692" w14:textId="77777777" w:rsidR="00921721" w:rsidRPr="00731E4E" w:rsidRDefault="00921721" w:rsidP="00880D09">
            <w:pPr>
              <w:ind w:right="170"/>
              <w:jc w:val="both"/>
              <w:rPr>
                <w:rFonts w:asciiTheme="minorHAnsi" w:hAnsiTheme="minorHAnsi" w:cs="Arial"/>
                <w:sz w:val="20"/>
                <w:szCs w:val="20"/>
                <w:lang w:val="en-GB"/>
              </w:rPr>
            </w:pPr>
          </w:p>
          <w:p w14:paraId="41D4ACDB" w14:textId="77777777" w:rsidR="00921721" w:rsidRDefault="00921721" w:rsidP="00880D09">
            <w:pPr>
              <w:ind w:right="170"/>
              <w:jc w:val="both"/>
              <w:rPr>
                <w:rFonts w:asciiTheme="minorHAnsi" w:hAnsiTheme="minorHAnsi" w:cs="Arial"/>
                <w:sz w:val="20"/>
                <w:szCs w:val="20"/>
                <w:lang w:val="en-GB"/>
              </w:rPr>
            </w:pPr>
          </w:p>
          <w:p w14:paraId="16F821C8" w14:textId="77777777" w:rsidR="00921721" w:rsidRDefault="00921721" w:rsidP="00880D09">
            <w:pPr>
              <w:ind w:right="170"/>
              <w:jc w:val="both"/>
              <w:rPr>
                <w:rFonts w:asciiTheme="minorHAnsi" w:hAnsiTheme="minorHAnsi" w:cs="Arial"/>
                <w:sz w:val="20"/>
                <w:szCs w:val="20"/>
                <w:lang w:val="en-GB"/>
              </w:rPr>
            </w:pPr>
          </w:p>
          <w:p w14:paraId="4834AF6D" w14:textId="77777777" w:rsidR="00921721" w:rsidRDefault="00921721" w:rsidP="00880D09">
            <w:pPr>
              <w:ind w:right="170"/>
              <w:jc w:val="both"/>
              <w:rPr>
                <w:rFonts w:asciiTheme="minorHAnsi" w:hAnsiTheme="minorHAnsi" w:cs="Arial"/>
                <w:sz w:val="20"/>
                <w:szCs w:val="20"/>
                <w:lang w:val="en-GB"/>
              </w:rPr>
            </w:pPr>
          </w:p>
          <w:p w14:paraId="283AC429" w14:textId="77777777" w:rsidR="00921721" w:rsidRDefault="00921721" w:rsidP="00880D09">
            <w:pPr>
              <w:ind w:right="170"/>
              <w:jc w:val="both"/>
              <w:rPr>
                <w:rFonts w:asciiTheme="minorHAnsi" w:hAnsiTheme="minorHAnsi" w:cs="Arial"/>
                <w:sz w:val="20"/>
                <w:szCs w:val="20"/>
                <w:lang w:val="en-GB"/>
              </w:rPr>
            </w:pPr>
          </w:p>
          <w:p w14:paraId="71843162" w14:textId="77777777" w:rsidR="00921721" w:rsidRDefault="00921721" w:rsidP="00880D09">
            <w:pPr>
              <w:ind w:right="170"/>
              <w:jc w:val="both"/>
              <w:rPr>
                <w:rFonts w:asciiTheme="minorHAnsi" w:hAnsiTheme="minorHAnsi" w:cs="Arial"/>
                <w:sz w:val="20"/>
                <w:szCs w:val="20"/>
                <w:lang w:val="en-GB"/>
              </w:rPr>
            </w:pPr>
          </w:p>
          <w:p w14:paraId="77676A4B" w14:textId="77777777" w:rsidR="00921721" w:rsidRDefault="00921721" w:rsidP="00880D09">
            <w:pPr>
              <w:ind w:right="170"/>
              <w:jc w:val="both"/>
              <w:rPr>
                <w:rFonts w:asciiTheme="minorHAnsi" w:hAnsiTheme="minorHAnsi" w:cs="Arial"/>
                <w:sz w:val="20"/>
                <w:szCs w:val="20"/>
                <w:lang w:val="en-GB"/>
              </w:rPr>
            </w:pPr>
          </w:p>
          <w:p w14:paraId="5565BC73" w14:textId="77777777" w:rsidR="00921721" w:rsidRDefault="00921721" w:rsidP="00880D09">
            <w:pPr>
              <w:ind w:right="170"/>
              <w:jc w:val="both"/>
              <w:rPr>
                <w:rFonts w:asciiTheme="minorHAnsi" w:hAnsiTheme="minorHAnsi" w:cs="Arial"/>
                <w:sz w:val="20"/>
                <w:szCs w:val="20"/>
                <w:lang w:val="en-GB"/>
              </w:rPr>
            </w:pPr>
          </w:p>
          <w:p w14:paraId="3AFB75B3" w14:textId="77777777" w:rsidR="00921721" w:rsidRPr="00731E4E" w:rsidRDefault="00921721" w:rsidP="00880D09">
            <w:pPr>
              <w:ind w:right="170"/>
              <w:jc w:val="both"/>
              <w:rPr>
                <w:rFonts w:asciiTheme="minorHAnsi" w:hAnsiTheme="minorHAnsi" w:cs="Arial"/>
                <w:sz w:val="20"/>
                <w:szCs w:val="20"/>
                <w:lang w:val="en-GB"/>
              </w:rPr>
            </w:pPr>
          </w:p>
          <w:p w14:paraId="5BDF1969" w14:textId="77777777" w:rsidR="00921721" w:rsidRDefault="00921721" w:rsidP="00880D09">
            <w:pPr>
              <w:pStyle w:val="anxnormal"/>
              <w:ind w:left="0"/>
              <w:rPr>
                <w:rFonts w:asciiTheme="minorHAnsi" w:hAnsiTheme="minorHAnsi" w:cs="Arial-Narrow,Bold"/>
                <w:b/>
                <w:bCs/>
                <w:color w:val="4F81BD" w:themeColor="accent1"/>
                <w:sz w:val="23"/>
                <w:szCs w:val="23"/>
                <w:lang w:val="en-GB" w:eastAsia="en-GB"/>
              </w:rPr>
            </w:pPr>
            <w:r w:rsidRPr="00F20E10">
              <w:rPr>
                <w:rFonts w:asciiTheme="minorHAnsi" w:hAnsiTheme="minorHAnsi" w:cs="Arial-Narrow,Bold"/>
                <w:b/>
                <w:bCs/>
                <w:color w:val="4F81BD" w:themeColor="accent1"/>
                <w:sz w:val="23"/>
                <w:szCs w:val="23"/>
                <w:lang w:val="en-GB" w:eastAsia="en-GB"/>
              </w:rPr>
              <w:lastRenderedPageBreak/>
              <w:t>7. Costs of climate change</w:t>
            </w:r>
          </w:p>
          <w:p w14:paraId="18DEB2A1"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Tables below present the GHG emission factors for LV and HGV for the currently adopted base year (2021).</w:t>
            </w:r>
            <w:r w:rsidRPr="00983DF9">
              <w:rPr>
                <w:lang w:val="en-US"/>
              </w:rPr>
              <w:t xml:space="preserve"> </w:t>
            </w:r>
            <w:r w:rsidRPr="00B90582">
              <w:rPr>
                <w:rFonts w:asciiTheme="minorHAnsi" w:hAnsiTheme="minorHAnsi"/>
                <w:lang w:val="en-GB" w:eastAsia="en-US"/>
              </w:rPr>
              <w:t>Assumptions on</w:t>
            </w:r>
            <w:r>
              <w:rPr>
                <w:rFonts w:asciiTheme="minorHAnsi" w:hAnsiTheme="minorHAnsi"/>
                <w:lang w:val="en-GB" w:eastAsia="en-US"/>
              </w:rPr>
              <w:t xml:space="preserve"> road vehicle fleet composition and its evolution in time regarding type of fuel consumption</w:t>
            </w:r>
            <w:r w:rsidRPr="00B90582">
              <w:rPr>
                <w:rFonts w:asciiTheme="minorHAnsi" w:hAnsiTheme="minorHAnsi"/>
                <w:lang w:val="en-GB" w:eastAsia="en-US"/>
              </w:rPr>
              <w:t xml:space="preserve"> are the same </w:t>
            </w:r>
            <w:r>
              <w:rPr>
                <w:rFonts w:asciiTheme="minorHAnsi" w:hAnsiTheme="minorHAnsi"/>
                <w:lang w:val="en-GB" w:eastAsia="en-US"/>
              </w:rPr>
              <w:t xml:space="preserve">as </w:t>
            </w:r>
            <w:r w:rsidRPr="00B90582">
              <w:rPr>
                <w:rFonts w:asciiTheme="minorHAnsi" w:hAnsiTheme="minorHAnsi"/>
                <w:lang w:val="en-GB" w:eastAsia="en-US"/>
              </w:rPr>
              <w:t>applied and to be considered in VOC category.</w:t>
            </w:r>
            <w:r>
              <w:rPr>
                <w:rFonts w:asciiTheme="minorHAnsi" w:hAnsiTheme="minorHAnsi"/>
                <w:lang w:val="en-GB" w:eastAsia="en-US"/>
              </w:rPr>
              <w:t xml:space="preserve"> </w:t>
            </w:r>
            <w:r w:rsidRPr="00B90582">
              <w:rPr>
                <w:rFonts w:asciiTheme="minorHAnsi" w:hAnsiTheme="minorHAnsi"/>
                <w:lang w:val="en-GB" w:eastAsia="en-US"/>
              </w:rPr>
              <w:t xml:space="preserve">Therefore, </w:t>
            </w:r>
            <w:r>
              <w:rPr>
                <w:rFonts w:asciiTheme="minorHAnsi" w:hAnsiTheme="minorHAnsi"/>
                <w:lang w:val="en-GB" w:eastAsia="en-US"/>
              </w:rPr>
              <w:t xml:space="preserve">the </w:t>
            </w:r>
            <w:r w:rsidRPr="00B90582">
              <w:rPr>
                <w:rFonts w:asciiTheme="minorHAnsi" w:hAnsiTheme="minorHAnsi"/>
                <w:lang w:val="en-GB" w:eastAsia="en-US"/>
              </w:rPr>
              <w:t>same considerations on LV fleet composition evolution</w:t>
            </w:r>
            <w:r>
              <w:rPr>
                <w:rFonts w:asciiTheme="minorHAnsi" w:hAnsiTheme="minorHAnsi"/>
                <w:lang w:val="en-GB" w:eastAsia="en-US"/>
              </w:rPr>
              <w:t xml:space="preserve"> (regarding fuel consumption type)</w:t>
            </w:r>
            <w:r w:rsidRPr="00B90582">
              <w:rPr>
                <w:rFonts w:asciiTheme="minorHAnsi" w:hAnsiTheme="minorHAnsi"/>
                <w:lang w:val="en-GB" w:eastAsia="en-US"/>
              </w:rPr>
              <w:t xml:space="preserve"> along analysis period are to be applied </w:t>
            </w:r>
            <w:r>
              <w:rPr>
                <w:rFonts w:asciiTheme="minorHAnsi" w:hAnsiTheme="minorHAnsi"/>
                <w:lang w:val="en-GB" w:eastAsia="en-US"/>
              </w:rPr>
              <w:t xml:space="preserve">as </w:t>
            </w:r>
            <w:r w:rsidRPr="00B90582">
              <w:rPr>
                <w:rFonts w:asciiTheme="minorHAnsi" w:hAnsiTheme="minorHAnsi"/>
                <w:lang w:val="en-GB" w:eastAsia="en-US"/>
              </w:rPr>
              <w:t xml:space="preserve">for </w:t>
            </w:r>
            <w:r>
              <w:rPr>
                <w:rFonts w:asciiTheme="minorHAnsi" w:hAnsiTheme="minorHAnsi"/>
                <w:lang w:val="en-GB" w:eastAsia="en-US"/>
              </w:rPr>
              <w:t>VOC and air pollution</w:t>
            </w:r>
            <w:r w:rsidRPr="00B90582">
              <w:rPr>
                <w:rFonts w:asciiTheme="minorHAnsi" w:hAnsiTheme="minorHAnsi"/>
                <w:lang w:val="en-GB" w:eastAsia="en-US"/>
              </w:rPr>
              <w:t>.</w:t>
            </w:r>
            <w:r>
              <w:rPr>
                <w:rFonts w:asciiTheme="minorHAnsi" w:hAnsiTheme="minorHAnsi"/>
                <w:lang w:val="en-GB" w:eastAsia="en-US"/>
              </w:rPr>
              <w:t xml:space="preserve"> </w:t>
            </w:r>
          </w:p>
          <w:p w14:paraId="32778A07"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The emission factors in the table below refer to flat terrain and good road pavement conditions (i.e. after construction/rehabilitation) and road with deteriorated pavement. Factors related to road gradient influence are also provided.</w:t>
            </w:r>
          </w:p>
          <w:p w14:paraId="2EF70995" w14:textId="77777777" w:rsidR="00921721" w:rsidRPr="002C6855" w:rsidRDefault="00921721" w:rsidP="00880D09">
            <w:pPr>
              <w:spacing w:before="120" w:after="120"/>
              <w:ind w:right="170"/>
              <w:jc w:val="both"/>
              <w:rPr>
                <w:rFonts w:asciiTheme="minorHAnsi" w:hAnsiTheme="minorHAnsi" w:cs="Arial"/>
                <w:snapToGrid w:val="0"/>
                <w:sz w:val="20"/>
                <w:szCs w:val="20"/>
                <w:lang w:val="en-GB" w:eastAsia="en-US"/>
              </w:rPr>
            </w:pPr>
            <w:r w:rsidRPr="002C6855">
              <w:rPr>
                <w:rFonts w:asciiTheme="minorHAnsi" w:hAnsiTheme="minorHAnsi" w:cs="Arial"/>
                <w:snapToGrid w:val="0"/>
                <w:sz w:val="20"/>
                <w:szCs w:val="20"/>
                <w:lang w:val="en-GB" w:eastAsia="en-US"/>
              </w:rPr>
              <w:t>Emissions of greenhouse gases other than carbon dioxide CO</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 xml:space="preserve"> (i.e. CH</w:t>
            </w:r>
            <w:r w:rsidRPr="002C6855">
              <w:rPr>
                <w:rFonts w:asciiTheme="minorHAnsi" w:hAnsiTheme="minorHAnsi" w:cs="Arial"/>
                <w:snapToGrid w:val="0"/>
                <w:sz w:val="20"/>
                <w:szCs w:val="20"/>
                <w:vertAlign w:val="subscript"/>
                <w:lang w:val="en-GB" w:eastAsia="en-US"/>
              </w:rPr>
              <w:t>4</w:t>
            </w:r>
            <w:r w:rsidRPr="002C6855">
              <w:rPr>
                <w:rFonts w:asciiTheme="minorHAnsi" w:hAnsiTheme="minorHAnsi" w:cs="Arial"/>
                <w:snapToGrid w:val="0"/>
                <w:sz w:val="20"/>
                <w:szCs w:val="20"/>
                <w:lang w:val="en-GB" w:eastAsia="en-US"/>
              </w:rPr>
              <w:t xml:space="preserve"> methane and N</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O dinitrogen monoxide) are not included. This is in accordance with EIB Project Carbon Footprint Methodologies, version 11.1, July 2020 (see Table A1.3 on page 30): “The impact of non-CO</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 xml:space="preserve"> GHGs is negligible. For calculation purposes, the factors below can be considered as CO</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 xml:space="preserve">e.” </w:t>
            </w:r>
          </w:p>
          <w:p w14:paraId="56376734" w14:textId="77777777" w:rsidR="00921721" w:rsidRDefault="00921721" w:rsidP="00880D09">
            <w:pPr>
              <w:pStyle w:val="anxnormal"/>
              <w:ind w:left="0"/>
              <w:rPr>
                <w:rFonts w:asciiTheme="minorHAnsi" w:hAnsiTheme="minorHAnsi"/>
                <w:lang w:val="en-GB" w:eastAsia="en-US"/>
              </w:rPr>
            </w:pPr>
          </w:p>
          <w:p w14:paraId="267F1A12" w14:textId="77777777" w:rsidR="00921721" w:rsidRPr="0026339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Greenhouse gas</w:t>
            </w:r>
            <w:r w:rsidRPr="00263391">
              <w:rPr>
                <w:rFonts w:asciiTheme="minorHAnsi" w:hAnsiTheme="minorHAnsi"/>
                <w:lang w:val="en-GB" w:eastAsia="en-US"/>
              </w:rPr>
              <w:t xml:space="preserve"> </w:t>
            </w:r>
            <w:r>
              <w:rPr>
                <w:rFonts w:asciiTheme="minorHAnsi" w:hAnsiTheme="minorHAnsi"/>
                <w:lang w:val="en-GB" w:eastAsia="en-US"/>
              </w:rPr>
              <w:t xml:space="preserve">unit </w:t>
            </w:r>
            <w:r w:rsidRPr="00263391">
              <w:rPr>
                <w:rFonts w:asciiTheme="minorHAnsi" w:hAnsiTheme="minorHAnsi"/>
                <w:lang w:val="en-GB" w:eastAsia="en-US"/>
              </w:rPr>
              <w:t>emission factors [</w:t>
            </w:r>
            <w:r>
              <w:rPr>
                <w:rFonts w:asciiTheme="minorHAnsi" w:hAnsiTheme="minorHAnsi"/>
                <w:lang w:val="en-GB" w:eastAsia="en-US"/>
              </w:rPr>
              <w:t>g</w:t>
            </w:r>
            <w:r w:rsidRPr="00263391">
              <w:rPr>
                <w:rFonts w:asciiTheme="minorHAnsi" w:hAnsiTheme="minorHAnsi"/>
                <w:lang w:val="en-GB" w:eastAsia="en-US"/>
              </w:rPr>
              <w:t>CO</w:t>
            </w:r>
            <w:r w:rsidRPr="003B7A23">
              <w:rPr>
                <w:rFonts w:asciiTheme="minorHAnsi" w:hAnsiTheme="minorHAnsi"/>
                <w:vertAlign w:val="subscript"/>
                <w:lang w:val="en-GB" w:eastAsia="en-US"/>
              </w:rPr>
              <w:t>2</w:t>
            </w:r>
            <w:r>
              <w:rPr>
                <w:rFonts w:asciiTheme="minorHAnsi" w:hAnsiTheme="minorHAnsi"/>
                <w:lang w:val="en-GB" w:eastAsia="en-US"/>
              </w:rPr>
              <w:t>e</w:t>
            </w:r>
            <w:r w:rsidRPr="00263391">
              <w:rPr>
                <w:rFonts w:asciiTheme="minorHAnsi" w:hAnsiTheme="minorHAnsi"/>
                <w:lang w:val="en-GB" w:eastAsia="en-US"/>
              </w:rPr>
              <w:t>/</w:t>
            </w:r>
            <w:proofErr w:type="spellStart"/>
            <w:r w:rsidRPr="00263391">
              <w:rPr>
                <w:rFonts w:asciiTheme="minorHAnsi" w:hAnsiTheme="minorHAnsi"/>
                <w:lang w:val="en-GB" w:eastAsia="en-US"/>
              </w:rPr>
              <w:t>veh</w:t>
            </w:r>
            <w:proofErr w:type="spellEnd"/>
            <w:r w:rsidRPr="00263391">
              <w:rPr>
                <w:rFonts w:asciiTheme="minorHAnsi" w:hAnsiTheme="minorHAnsi"/>
                <w:lang w:val="en-GB" w:eastAsia="en-US"/>
              </w:rPr>
              <w:t>-km]</w:t>
            </w:r>
          </w:p>
          <w:tbl>
            <w:tblPr>
              <w:tblW w:w="6939" w:type="dxa"/>
              <w:tblLayout w:type="fixed"/>
              <w:tblLook w:val="04A0" w:firstRow="1" w:lastRow="0" w:firstColumn="1" w:lastColumn="0" w:noHBand="0" w:noVBand="1"/>
            </w:tblPr>
            <w:tblGrid>
              <w:gridCol w:w="2261"/>
              <w:gridCol w:w="2551"/>
              <w:gridCol w:w="2127"/>
            </w:tblGrid>
            <w:tr w:rsidR="00921721" w:rsidRPr="007463B9" w14:paraId="5D36DE4F" w14:textId="77777777" w:rsidTr="00880D09">
              <w:trPr>
                <w:trHeight w:hRule="exact" w:val="532"/>
              </w:trPr>
              <w:tc>
                <w:tcPr>
                  <w:tcW w:w="2261"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517F8C1" w14:textId="77777777" w:rsidR="00921721" w:rsidRPr="00263391" w:rsidRDefault="00921721" w:rsidP="00880D09">
                  <w:pPr>
                    <w:snapToGrid w:val="0"/>
                    <w:spacing w:before="20" w:after="20"/>
                    <w:jc w:val="center"/>
                    <w:rPr>
                      <w:rFonts w:asciiTheme="minorHAnsi" w:hAnsiTheme="minorHAnsi" w:cs="Arial"/>
                      <w:b/>
                      <w:bCs/>
                      <w:color w:val="FFFFFF"/>
                      <w:sz w:val="18"/>
                      <w:szCs w:val="18"/>
                      <w:lang w:val="en-GB"/>
                    </w:rPr>
                  </w:pPr>
                  <w:r w:rsidRPr="00263391">
                    <w:rPr>
                      <w:rFonts w:asciiTheme="minorHAnsi" w:hAnsiTheme="minorHAnsi" w:cs="Arial"/>
                      <w:b/>
                      <w:bCs/>
                      <w:color w:val="FFFFFF"/>
                      <w:sz w:val="18"/>
                      <w:szCs w:val="18"/>
                      <w:lang w:val="en-GB"/>
                    </w:rPr>
                    <w:t>Speed (km/h)</w:t>
                  </w:r>
                </w:p>
              </w:tc>
              <w:tc>
                <w:tcPr>
                  <w:tcW w:w="4678"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3AF0A9C" w14:textId="77777777" w:rsidR="00921721" w:rsidRPr="0026339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GHG</w:t>
                  </w:r>
                  <w:r w:rsidRPr="00263391">
                    <w:rPr>
                      <w:rFonts w:asciiTheme="minorHAnsi" w:hAnsiTheme="minorHAnsi" w:cs="Arial"/>
                      <w:b/>
                      <w:bCs/>
                      <w:color w:val="FFFFFF"/>
                      <w:sz w:val="18"/>
                      <w:szCs w:val="18"/>
                      <w:lang w:val="en-GB"/>
                    </w:rPr>
                    <w:t xml:space="preserve"> emission</w:t>
                  </w:r>
                  <w:r>
                    <w:rPr>
                      <w:rFonts w:asciiTheme="minorHAnsi" w:hAnsiTheme="minorHAnsi" w:cs="Arial"/>
                      <w:b/>
                      <w:bCs/>
                      <w:color w:val="FFFFFF"/>
                      <w:sz w:val="18"/>
                      <w:szCs w:val="18"/>
                      <w:lang w:val="en-GB"/>
                    </w:rPr>
                    <w:t>s</w:t>
                  </w:r>
                  <w:r w:rsidRPr="00263391">
                    <w:rPr>
                      <w:rFonts w:asciiTheme="minorHAnsi" w:hAnsiTheme="minorHAnsi" w:cs="Arial"/>
                      <w:b/>
                      <w:bCs/>
                      <w:color w:val="FFFFFF"/>
                      <w:sz w:val="18"/>
                      <w:szCs w:val="18"/>
                      <w:lang w:val="en-GB"/>
                    </w:rPr>
                    <w:t xml:space="preserve"> factors </w:t>
                  </w:r>
                  <w:r>
                    <w:rPr>
                      <w:rFonts w:asciiTheme="minorHAnsi" w:hAnsiTheme="minorHAnsi" w:cs="Arial"/>
                      <w:b/>
                      <w:bCs/>
                      <w:color w:val="FFFFFF"/>
                      <w:sz w:val="18"/>
                      <w:szCs w:val="18"/>
                      <w:lang w:val="en-GB"/>
                    </w:rPr>
                    <w:t>–</w:t>
                  </w:r>
                  <w:r w:rsidRPr="00263391">
                    <w:rPr>
                      <w:rFonts w:asciiTheme="minorHAnsi" w:hAnsiTheme="minorHAnsi" w:cs="Arial"/>
                      <w:b/>
                      <w:bCs/>
                      <w:color w:val="FFFFFF"/>
                      <w:sz w:val="18"/>
                      <w:szCs w:val="18"/>
                      <w:lang w:val="en-GB"/>
                    </w:rPr>
                    <w:t xml:space="preserve"> </w:t>
                  </w:r>
                  <w:r>
                    <w:rPr>
                      <w:rFonts w:asciiTheme="minorHAnsi" w:hAnsiTheme="minorHAnsi" w:cs="Arial"/>
                      <w:b/>
                      <w:bCs/>
                      <w:color w:val="FFFFFF"/>
                      <w:sz w:val="18"/>
                      <w:szCs w:val="18"/>
                      <w:lang w:val="en-GB"/>
                    </w:rPr>
                    <w:t>g</w:t>
                  </w:r>
                  <w:r w:rsidRPr="00263391">
                    <w:rPr>
                      <w:rFonts w:asciiTheme="minorHAnsi" w:hAnsiTheme="minorHAnsi" w:cs="Arial"/>
                      <w:b/>
                      <w:bCs/>
                      <w:color w:val="FFFFFF"/>
                      <w:sz w:val="18"/>
                      <w:szCs w:val="18"/>
                      <w:lang w:val="en-GB"/>
                    </w:rPr>
                    <w:t>CO</w:t>
                  </w:r>
                  <w:r w:rsidRPr="003B7A23">
                    <w:rPr>
                      <w:rFonts w:asciiTheme="minorHAnsi" w:hAnsiTheme="minorHAnsi" w:cs="Arial"/>
                      <w:b/>
                      <w:bCs/>
                      <w:color w:val="FFFFFF"/>
                      <w:sz w:val="18"/>
                      <w:szCs w:val="18"/>
                      <w:vertAlign w:val="subscript"/>
                      <w:lang w:val="en-GB"/>
                    </w:rPr>
                    <w:t>2</w:t>
                  </w:r>
                  <w:r>
                    <w:rPr>
                      <w:rFonts w:asciiTheme="minorHAnsi" w:hAnsiTheme="minorHAnsi" w:cs="Arial"/>
                      <w:b/>
                      <w:bCs/>
                      <w:color w:val="FFFFFF"/>
                      <w:sz w:val="18"/>
                      <w:szCs w:val="18"/>
                      <w:lang w:val="en-GB"/>
                    </w:rPr>
                    <w:t>e</w:t>
                  </w:r>
                  <w:r w:rsidRPr="00263391">
                    <w:rPr>
                      <w:rFonts w:asciiTheme="minorHAnsi" w:hAnsiTheme="minorHAnsi" w:cs="Arial"/>
                      <w:b/>
                      <w:bCs/>
                      <w:color w:val="FFFFFF"/>
                      <w:sz w:val="18"/>
                      <w:szCs w:val="18"/>
                      <w:lang w:val="en-GB"/>
                    </w:rPr>
                    <w:t>/</w:t>
                  </w:r>
                  <w:proofErr w:type="spellStart"/>
                  <w:r w:rsidRPr="00263391">
                    <w:rPr>
                      <w:rFonts w:asciiTheme="minorHAnsi" w:hAnsiTheme="minorHAnsi" w:cs="Arial"/>
                      <w:b/>
                      <w:bCs/>
                      <w:color w:val="FFFFFF"/>
                      <w:sz w:val="18"/>
                      <w:szCs w:val="18"/>
                      <w:lang w:val="en-GB"/>
                    </w:rPr>
                    <w:t>veh</w:t>
                  </w:r>
                  <w:proofErr w:type="spellEnd"/>
                  <w:r w:rsidRPr="00263391">
                    <w:rPr>
                      <w:rFonts w:asciiTheme="minorHAnsi" w:hAnsiTheme="minorHAnsi" w:cs="Arial"/>
                      <w:b/>
                      <w:bCs/>
                      <w:color w:val="FFFFFF"/>
                      <w:sz w:val="18"/>
                      <w:szCs w:val="18"/>
                      <w:lang w:val="en-GB"/>
                    </w:rPr>
                    <w:t xml:space="preserve">-km </w:t>
                  </w:r>
                  <w:r>
                    <w:rPr>
                      <w:rFonts w:asciiTheme="minorHAnsi" w:hAnsiTheme="minorHAnsi" w:cs="Arial"/>
                      <w:b/>
                      <w:bCs/>
                      <w:color w:val="FFFFFF"/>
                      <w:sz w:val="18"/>
                      <w:szCs w:val="18"/>
                      <w:lang w:val="en-GB"/>
                    </w:rPr>
                    <w:t>–</w:t>
                  </w:r>
                  <w:r w:rsidRPr="00263391">
                    <w:rPr>
                      <w:rFonts w:asciiTheme="minorHAnsi" w:hAnsiTheme="minorHAnsi" w:cs="Arial"/>
                      <w:b/>
                      <w:bCs/>
                      <w:color w:val="FFFFFF"/>
                      <w:sz w:val="18"/>
                      <w:szCs w:val="18"/>
                      <w:lang w:val="en-GB"/>
                    </w:rPr>
                    <w:t xml:space="preserve"> flat terrain (pavement after rehabilitation/construction)</w:t>
                  </w:r>
                </w:p>
              </w:tc>
            </w:tr>
            <w:tr w:rsidR="00921721" w:rsidRPr="007463B9" w14:paraId="05CB3B82" w14:textId="77777777" w:rsidTr="00880D09">
              <w:trPr>
                <w:trHeight w:hRule="exact" w:val="313"/>
              </w:trPr>
              <w:tc>
                <w:tcPr>
                  <w:tcW w:w="2261"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CFB5C29" w14:textId="77777777" w:rsidR="00921721" w:rsidRPr="006A71F9" w:rsidRDefault="00921721" w:rsidP="00880D09">
                  <w:pPr>
                    <w:jc w:val="center"/>
                    <w:rPr>
                      <w:rFonts w:asciiTheme="minorHAnsi" w:hAnsiTheme="minorHAnsi" w:cs="Arial"/>
                      <w:b/>
                      <w:bCs/>
                      <w:color w:val="FFFFFF"/>
                      <w:sz w:val="18"/>
                      <w:szCs w:val="18"/>
                      <w:lang w:val="en-GB"/>
                    </w:rPr>
                  </w:pPr>
                </w:p>
              </w:tc>
              <w:tc>
                <w:tcPr>
                  <w:tcW w:w="25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20B541A"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12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7A66707"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26DA85F6"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B69409"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0-10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575A04B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651.652</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3374E74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1,639.612</w:t>
                  </w:r>
                </w:p>
              </w:tc>
            </w:tr>
            <w:tr w:rsidR="00921721" w:rsidRPr="007463B9" w14:paraId="7EAF8616"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51F40D"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6B0C6DB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412.720</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56D9DAE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913.172</w:t>
                  </w:r>
                </w:p>
              </w:tc>
            </w:tr>
            <w:tr w:rsidR="00921721" w:rsidRPr="007463B9" w14:paraId="0DC7543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B806B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21-30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64E62C6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314.458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6D41BB9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694.518</w:t>
                  </w:r>
                </w:p>
              </w:tc>
            </w:tr>
            <w:tr w:rsidR="00921721" w:rsidRPr="007463B9" w14:paraId="00ECC02E"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F6CE9F"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31-40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4161814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255.386</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54A960A0"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583.520</w:t>
                  </w:r>
                </w:p>
              </w:tc>
            </w:tr>
            <w:tr w:rsidR="00921721" w:rsidRPr="007463B9" w14:paraId="7A7DF9A4"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595675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41-50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1FA9A0F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216.347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991D3F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522.589</w:t>
                  </w:r>
                </w:p>
              </w:tc>
            </w:tr>
            <w:tr w:rsidR="00921721" w:rsidRPr="007463B9" w14:paraId="3BFD75A1"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DDF0C9A"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51-60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00F34BE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190.278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10B2F21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490.176</w:t>
                  </w:r>
                </w:p>
              </w:tc>
            </w:tr>
            <w:tr w:rsidR="00921721" w:rsidRPr="007463B9" w14:paraId="6A597374"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9685B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61-70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7A94353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173.753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22CB3FC0"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474.974</w:t>
                  </w:r>
                </w:p>
              </w:tc>
            </w:tr>
            <w:tr w:rsidR="00921721" w:rsidRPr="007463B9" w14:paraId="0268BC71"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AF06A8"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71-80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499F0285"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164.830</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7430779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470.831</w:t>
                  </w:r>
                </w:p>
              </w:tc>
            </w:tr>
            <w:tr w:rsidR="00921721" w:rsidRPr="007463B9" w14:paraId="537566B7"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11F3C6"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81-90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56C1B9A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162.284</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60FC8B35"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475.455</w:t>
                  </w:r>
                </w:p>
              </w:tc>
            </w:tr>
            <w:tr w:rsidR="00921721" w:rsidRPr="007463B9" w14:paraId="66E6D33F"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F25AFD"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91-100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419973F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165.287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37021B8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493.092</w:t>
                  </w:r>
                </w:p>
              </w:tc>
            </w:tr>
            <w:tr w:rsidR="00921721" w:rsidRPr="007463B9" w14:paraId="6649844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43037C"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101-110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65E97F9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173.245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9D0B200"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567.589</w:t>
                  </w:r>
                </w:p>
              </w:tc>
            </w:tr>
            <w:tr w:rsidR="00921721" w:rsidRPr="007463B9" w14:paraId="6C897E70"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64E001"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11F24708"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185.712</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tcPr>
                <w:p w14:paraId="169BA805"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642.086</w:t>
                  </w:r>
                </w:p>
              </w:tc>
            </w:tr>
            <w:tr w:rsidR="00921721" w:rsidRPr="007463B9" w14:paraId="3A73594C"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C4787C"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121-130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194F192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202.344</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tcPr>
                <w:p w14:paraId="0A8564A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716.583</w:t>
                  </w:r>
                </w:p>
              </w:tc>
            </w:tr>
            <w:tr w:rsidR="00921721" w:rsidRPr="007463B9" w14:paraId="6A3F8D02"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35916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lastRenderedPageBreak/>
                    <w:t>131-140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0017D944"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222.868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tcPr>
                <w:p w14:paraId="2DF6A5B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791.080</w:t>
                  </w:r>
                </w:p>
              </w:tc>
            </w:tr>
          </w:tbl>
          <w:p w14:paraId="23116A0F" w14:textId="77777777" w:rsidR="00921721" w:rsidRPr="00263391" w:rsidRDefault="00921721" w:rsidP="00880D09">
            <w:pPr>
              <w:ind w:right="170"/>
              <w:jc w:val="both"/>
              <w:rPr>
                <w:rFonts w:asciiTheme="minorHAnsi" w:hAnsiTheme="minorHAnsi" w:cs="Arial"/>
                <w:b/>
                <w:i/>
                <w:sz w:val="16"/>
                <w:szCs w:val="16"/>
                <w:lang w:val="en-GB"/>
              </w:rPr>
            </w:pPr>
            <w:r w:rsidRPr="00263391">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VOC fuel consumption and </w:t>
            </w:r>
            <w:r w:rsidRPr="00263391">
              <w:rPr>
                <w:rFonts w:asciiTheme="minorHAnsi" w:hAnsiTheme="minorHAnsi" w:cs="Arial"/>
                <w:b/>
                <w:i/>
                <w:sz w:val="16"/>
                <w:szCs w:val="16"/>
                <w:lang w:val="en-GB"/>
              </w:rPr>
              <w:t xml:space="preserve">EMEP/EEA air pollutant emission inventory guidebook, 2019, </w:t>
            </w:r>
            <w:r>
              <w:rPr>
                <w:rFonts w:asciiTheme="minorHAnsi" w:hAnsiTheme="minorHAnsi" w:cs="Arial"/>
                <w:b/>
                <w:i/>
                <w:sz w:val="16"/>
                <w:szCs w:val="16"/>
                <w:lang w:val="en-GB"/>
              </w:rPr>
              <w:t>with</w:t>
            </w:r>
            <w:r w:rsidRPr="00263391">
              <w:rPr>
                <w:rFonts w:asciiTheme="minorHAnsi" w:hAnsiTheme="minorHAnsi" w:cs="Arial"/>
                <w:b/>
                <w:i/>
                <w:sz w:val="16"/>
                <w:szCs w:val="16"/>
                <w:lang w:val="en-GB"/>
              </w:rPr>
              <w:t xml:space="preserve"> 1.A.3</w:t>
            </w:r>
            <w:r>
              <w:rPr>
                <w:rFonts w:asciiTheme="minorHAnsi" w:hAnsiTheme="minorHAnsi" w:cs="Arial"/>
                <w:b/>
                <w:i/>
                <w:sz w:val="16"/>
                <w:szCs w:val="16"/>
                <w:lang w:val="en-GB"/>
              </w:rPr>
              <w:t>.b.i-iv Road Transport Appendix </w:t>
            </w:r>
            <w:r w:rsidRPr="00263391">
              <w:rPr>
                <w:rFonts w:asciiTheme="minorHAnsi" w:hAnsiTheme="minorHAnsi" w:cs="Arial"/>
                <w:b/>
                <w:i/>
                <w:sz w:val="16"/>
                <w:szCs w:val="16"/>
                <w:lang w:val="en-GB"/>
              </w:rPr>
              <w:t>4 Emission Factors 2019 (Sept. 2020)</w:t>
            </w:r>
            <w:r>
              <w:rPr>
                <w:rFonts w:asciiTheme="minorHAnsi" w:hAnsiTheme="minorHAnsi" w:cs="Arial"/>
                <w:b/>
                <w:i/>
                <w:sz w:val="16"/>
                <w:szCs w:val="16"/>
                <w:lang w:val="en-GB"/>
              </w:rPr>
              <w:t>.</w:t>
            </w:r>
          </w:p>
          <w:p w14:paraId="6E1E7D3D" w14:textId="77777777" w:rsidR="00921721" w:rsidRDefault="00921721" w:rsidP="00880D09">
            <w:pPr>
              <w:spacing w:before="120" w:after="120"/>
              <w:ind w:right="170"/>
              <w:jc w:val="both"/>
              <w:rPr>
                <w:rFonts w:asciiTheme="minorHAnsi" w:hAnsiTheme="minorHAnsi" w:cs="Arial"/>
                <w:b/>
                <w:i/>
                <w:sz w:val="16"/>
                <w:szCs w:val="16"/>
                <w:lang w:val="en-GB"/>
              </w:rPr>
            </w:pPr>
          </w:p>
          <w:p w14:paraId="22B78B6B" w14:textId="77777777" w:rsidR="00921721" w:rsidRPr="00263391" w:rsidRDefault="00921721" w:rsidP="00880D09">
            <w:pPr>
              <w:spacing w:before="120" w:after="120"/>
              <w:ind w:right="170"/>
              <w:jc w:val="both"/>
              <w:rPr>
                <w:rFonts w:asciiTheme="minorHAnsi" w:hAnsiTheme="minorHAnsi" w:cs="Arial"/>
                <w:b/>
                <w:i/>
                <w:sz w:val="16"/>
                <w:szCs w:val="16"/>
                <w:lang w:val="en-GB"/>
              </w:rPr>
            </w:pPr>
          </w:p>
          <w:tbl>
            <w:tblPr>
              <w:tblW w:w="6939" w:type="dxa"/>
              <w:tblLayout w:type="fixed"/>
              <w:tblLook w:val="04A0" w:firstRow="1" w:lastRow="0" w:firstColumn="1" w:lastColumn="0" w:noHBand="0" w:noVBand="1"/>
            </w:tblPr>
            <w:tblGrid>
              <w:gridCol w:w="2261"/>
              <w:gridCol w:w="2551"/>
              <w:gridCol w:w="2127"/>
            </w:tblGrid>
            <w:tr w:rsidR="00921721" w:rsidRPr="007463B9" w14:paraId="6260EB09" w14:textId="77777777" w:rsidTr="00880D09">
              <w:trPr>
                <w:trHeight w:hRule="exact" w:val="577"/>
              </w:trPr>
              <w:tc>
                <w:tcPr>
                  <w:tcW w:w="2261"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66C3DE4" w14:textId="77777777" w:rsidR="00921721" w:rsidRPr="00983DF9" w:rsidRDefault="00921721" w:rsidP="00880D09">
                  <w:pPr>
                    <w:snapToGrid w:val="0"/>
                    <w:spacing w:before="20" w:after="20"/>
                    <w:jc w:val="center"/>
                    <w:rPr>
                      <w:rFonts w:asciiTheme="minorHAnsi" w:hAnsiTheme="minorHAnsi" w:cs="Arial"/>
                      <w:b/>
                      <w:bCs/>
                      <w:color w:val="FFFFFF"/>
                      <w:sz w:val="18"/>
                      <w:szCs w:val="18"/>
                      <w:lang w:val="en-GB"/>
                    </w:rPr>
                  </w:pPr>
                  <w:r w:rsidRPr="00983DF9">
                    <w:rPr>
                      <w:rFonts w:asciiTheme="minorHAnsi" w:hAnsiTheme="minorHAnsi" w:cs="Arial"/>
                      <w:b/>
                      <w:bCs/>
                      <w:color w:val="FFFFFF"/>
                      <w:sz w:val="18"/>
                      <w:szCs w:val="18"/>
                      <w:lang w:val="en-GB"/>
                    </w:rPr>
                    <w:t>Speed (</w:t>
                  </w:r>
                  <w:proofErr w:type="spellStart"/>
                  <w:r w:rsidRPr="00983DF9">
                    <w:rPr>
                      <w:rFonts w:asciiTheme="minorHAnsi" w:hAnsiTheme="minorHAnsi" w:cs="Arial"/>
                      <w:b/>
                      <w:bCs/>
                      <w:color w:val="FFFFFF"/>
                      <w:sz w:val="18"/>
                      <w:szCs w:val="18"/>
                      <w:lang w:val="en-GB"/>
                    </w:rPr>
                    <w:t>veh</w:t>
                  </w:r>
                  <w:proofErr w:type="spellEnd"/>
                  <w:r w:rsidRPr="00983DF9">
                    <w:rPr>
                      <w:rFonts w:asciiTheme="minorHAnsi" w:hAnsiTheme="minorHAnsi" w:cs="Arial"/>
                      <w:b/>
                      <w:bCs/>
                      <w:color w:val="FFFFFF"/>
                      <w:sz w:val="18"/>
                      <w:szCs w:val="18"/>
                      <w:lang w:val="en-GB"/>
                    </w:rPr>
                    <w:t>/km)</w:t>
                  </w:r>
                </w:p>
              </w:tc>
              <w:tc>
                <w:tcPr>
                  <w:tcW w:w="4678"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18F529C" w14:textId="77777777" w:rsidR="00921721" w:rsidRPr="0026339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GHG</w:t>
                  </w:r>
                  <w:r w:rsidRPr="00263391">
                    <w:rPr>
                      <w:rFonts w:asciiTheme="minorHAnsi" w:hAnsiTheme="minorHAnsi" w:cs="Arial"/>
                      <w:b/>
                      <w:bCs/>
                      <w:color w:val="FFFFFF"/>
                      <w:sz w:val="18"/>
                      <w:szCs w:val="18"/>
                      <w:lang w:val="en-GB"/>
                    </w:rPr>
                    <w:t xml:space="preserve"> emission</w:t>
                  </w:r>
                  <w:r>
                    <w:rPr>
                      <w:rFonts w:asciiTheme="minorHAnsi" w:hAnsiTheme="minorHAnsi" w:cs="Arial"/>
                      <w:b/>
                      <w:bCs/>
                      <w:color w:val="FFFFFF"/>
                      <w:sz w:val="18"/>
                      <w:szCs w:val="18"/>
                      <w:lang w:val="en-GB"/>
                    </w:rPr>
                    <w:t>s factors – g</w:t>
                  </w:r>
                  <w:r w:rsidRPr="00263391">
                    <w:rPr>
                      <w:rFonts w:asciiTheme="minorHAnsi" w:hAnsiTheme="minorHAnsi" w:cs="Arial"/>
                      <w:b/>
                      <w:bCs/>
                      <w:color w:val="FFFFFF"/>
                      <w:sz w:val="18"/>
                      <w:szCs w:val="18"/>
                      <w:lang w:val="en-GB"/>
                    </w:rPr>
                    <w:t>CO</w:t>
                  </w:r>
                  <w:r w:rsidRPr="00EF0D43">
                    <w:rPr>
                      <w:rFonts w:asciiTheme="minorHAnsi" w:hAnsiTheme="minorHAnsi" w:cs="Arial"/>
                      <w:b/>
                      <w:bCs/>
                      <w:color w:val="FFFFFF"/>
                      <w:sz w:val="18"/>
                      <w:szCs w:val="18"/>
                      <w:vertAlign w:val="subscript"/>
                      <w:lang w:val="en-GB"/>
                    </w:rPr>
                    <w:t>2</w:t>
                  </w:r>
                  <w:r>
                    <w:rPr>
                      <w:rFonts w:asciiTheme="minorHAnsi" w:hAnsiTheme="minorHAnsi" w:cs="Arial"/>
                      <w:b/>
                      <w:bCs/>
                      <w:color w:val="FFFFFF"/>
                      <w:sz w:val="18"/>
                      <w:szCs w:val="18"/>
                      <w:lang w:val="en-GB"/>
                    </w:rPr>
                    <w:t>e</w:t>
                  </w:r>
                  <w:r w:rsidRPr="00263391">
                    <w:rPr>
                      <w:rFonts w:asciiTheme="minorHAnsi" w:hAnsiTheme="minorHAnsi" w:cs="Arial"/>
                      <w:b/>
                      <w:bCs/>
                      <w:color w:val="FFFFFF"/>
                      <w:sz w:val="18"/>
                      <w:szCs w:val="18"/>
                      <w:lang w:val="en-GB"/>
                    </w:rPr>
                    <w:t>/</w:t>
                  </w:r>
                  <w:proofErr w:type="spellStart"/>
                  <w:r w:rsidRPr="00263391">
                    <w:rPr>
                      <w:rFonts w:asciiTheme="minorHAnsi" w:hAnsiTheme="minorHAnsi" w:cs="Arial"/>
                      <w:b/>
                      <w:bCs/>
                      <w:color w:val="FFFFFF"/>
                      <w:sz w:val="18"/>
                      <w:szCs w:val="18"/>
                      <w:lang w:val="en-GB"/>
                    </w:rPr>
                    <w:t>veh</w:t>
                  </w:r>
                  <w:proofErr w:type="spellEnd"/>
                  <w:r w:rsidRPr="00263391">
                    <w:rPr>
                      <w:rFonts w:asciiTheme="minorHAnsi" w:hAnsiTheme="minorHAnsi" w:cs="Arial"/>
                      <w:b/>
                      <w:bCs/>
                      <w:color w:val="FFFFFF"/>
                      <w:sz w:val="18"/>
                      <w:szCs w:val="18"/>
                      <w:lang w:val="en-GB"/>
                    </w:rPr>
                    <w:t xml:space="preserve">-km </w:t>
                  </w:r>
                  <w:r>
                    <w:rPr>
                      <w:rFonts w:asciiTheme="minorHAnsi" w:hAnsiTheme="minorHAnsi" w:cs="Arial"/>
                      <w:b/>
                      <w:bCs/>
                      <w:color w:val="FFFFFF"/>
                      <w:sz w:val="18"/>
                      <w:szCs w:val="18"/>
                      <w:lang w:val="en-GB"/>
                    </w:rPr>
                    <w:t>–</w:t>
                  </w:r>
                  <w:r w:rsidRPr="00263391">
                    <w:rPr>
                      <w:rFonts w:asciiTheme="minorHAnsi" w:hAnsiTheme="minorHAnsi" w:cs="Arial"/>
                      <w:b/>
                      <w:bCs/>
                      <w:color w:val="FFFFFF"/>
                      <w:sz w:val="18"/>
                      <w:szCs w:val="18"/>
                      <w:lang w:val="en-GB"/>
                    </w:rPr>
                    <w:t xml:space="preserve"> flat terrain (deteriorated pavement)</w:t>
                  </w:r>
                </w:p>
              </w:tc>
            </w:tr>
            <w:tr w:rsidR="00921721" w:rsidRPr="007463B9" w14:paraId="469BA930" w14:textId="77777777" w:rsidTr="00880D09">
              <w:trPr>
                <w:trHeight w:hRule="exact" w:val="313"/>
              </w:trPr>
              <w:tc>
                <w:tcPr>
                  <w:tcW w:w="2261"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B25933C" w14:textId="77777777" w:rsidR="00921721" w:rsidRPr="006A71F9" w:rsidRDefault="00921721" w:rsidP="00880D09">
                  <w:pPr>
                    <w:jc w:val="center"/>
                    <w:rPr>
                      <w:rFonts w:asciiTheme="minorHAnsi" w:hAnsiTheme="minorHAnsi" w:cs="Arial"/>
                      <w:b/>
                      <w:bCs/>
                      <w:color w:val="FFFFFF"/>
                      <w:sz w:val="18"/>
                      <w:szCs w:val="18"/>
                      <w:lang w:val="en-GB"/>
                    </w:rPr>
                  </w:pPr>
                </w:p>
              </w:tc>
              <w:tc>
                <w:tcPr>
                  <w:tcW w:w="25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8E2BE8"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12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8372539"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3C06EF8D"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CB67A17"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0-10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76B48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724.963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7F84F4B"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1,844.563</w:t>
                  </w:r>
                </w:p>
              </w:tc>
            </w:tr>
            <w:tr w:rsidR="00921721" w:rsidRPr="007463B9" w14:paraId="2D15A907"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20BF00"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4C477B"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459.151</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5F037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1,027.319</w:t>
                  </w:r>
                </w:p>
              </w:tc>
            </w:tr>
            <w:tr w:rsidR="00921721" w:rsidRPr="007463B9" w14:paraId="324F8228"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024A7C"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21-30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F041D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349.835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1A202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781.333</w:t>
                  </w:r>
                </w:p>
              </w:tc>
            </w:tr>
            <w:tr w:rsidR="00921721" w:rsidRPr="007463B9" w14:paraId="234856E3"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410F26"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31-40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DEEFDBE"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284.117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489532B"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656.460</w:t>
                  </w:r>
                </w:p>
              </w:tc>
            </w:tr>
            <w:tr w:rsidR="00921721" w:rsidRPr="007463B9" w14:paraId="2711A33F"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3A1A22"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41-50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50951C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240.686</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925D4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587.913</w:t>
                  </w:r>
                </w:p>
              </w:tc>
            </w:tr>
            <w:tr w:rsidR="00921721" w:rsidRPr="007463B9" w14:paraId="4EA9FB0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B066AD"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51-60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C5FDCE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215.252</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4AB676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561.660</w:t>
                  </w:r>
                </w:p>
              </w:tc>
            </w:tr>
            <w:tr w:rsidR="00921721" w:rsidRPr="007463B9" w14:paraId="60585E6C"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105957"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61-70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404CF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199.816</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D5DBA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554.136</w:t>
                  </w:r>
                </w:p>
              </w:tc>
            </w:tr>
            <w:tr w:rsidR="00921721" w:rsidRPr="007463B9" w14:paraId="5764D5B3"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2B3D6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71-80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ADEC4D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192.645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338AE8"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559.112</w:t>
                  </w:r>
                </w:p>
              </w:tc>
            </w:tr>
            <w:tr w:rsidR="00921721" w:rsidRPr="007463B9" w14:paraId="7333EB46"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6711B0"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81-90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1E68B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192.713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A46E9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574.509</w:t>
                  </w:r>
                </w:p>
              </w:tc>
            </w:tr>
            <w:tr w:rsidR="00921721" w:rsidRPr="007463B9" w14:paraId="3758197A"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D5DAC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91-100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C3627E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199.378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A5CA8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606.092</w:t>
                  </w:r>
                </w:p>
              </w:tc>
            </w:tr>
            <w:tr w:rsidR="00921721" w:rsidRPr="007463B9" w14:paraId="2C32E1EE"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D6352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101-110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C1550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212.225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8E8F604"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709.486</w:t>
                  </w:r>
                </w:p>
              </w:tc>
            </w:tr>
            <w:tr w:rsidR="00921721" w:rsidRPr="007463B9" w14:paraId="3E611DD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121F3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44137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227.497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AC7714"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802.608</w:t>
                  </w:r>
                </w:p>
              </w:tc>
            </w:tr>
            <w:tr w:rsidR="00921721" w:rsidRPr="007463B9" w14:paraId="1339F3B7"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C2D0AB"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121-130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2CC0AD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247.871</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C9727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895.729</w:t>
                  </w:r>
                </w:p>
              </w:tc>
            </w:tr>
            <w:tr w:rsidR="00921721" w:rsidRPr="007463B9" w14:paraId="28231160"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4776D8"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131-140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DA6FB4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273.013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01F50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988.850</w:t>
                  </w:r>
                </w:p>
              </w:tc>
            </w:tr>
          </w:tbl>
          <w:p w14:paraId="645E49F1" w14:textId="77777777" w:rsidR="00921721" w:rsidRDefault="00921721" w:rsidP="00880D09">
            <w:pPr>
              <w:pStyle w:val="anxnormal"/>
              <w:spacing w:before="0" w:after="120"/>
              <w:ind w:left="0"/>
              <w:rPr>
                <w:rFonts w:asciiTheme="minorHAnsi" w:hAnsiTheme="minorHAnsi"/>
                <w:b/>
                <w:i/>
                <w:sz w:val="16"/>
                <w:szCs w:val="16"/>
                <w:lang w:val="en-GB"/>
              </w:rPr>
            </w:pPr>
            <w:r w:rsidRPr="00263391">
              <w:rPr>
                <w:rFonts w:asciiTheme="minorHAnsi" w:hAnsiTheme="minorHAnsi"/>
                <w:b/>
                <w:i/>
                <w:sz w:val="16"/>
                <w:szCs w:val="16"/>
                <w:lang w:val="en-GB"/>
              </w:rPr>
              <w:t xml:space="preserve">Source: </w:t>
            </w:r>
            <w:r>
              <w:rPr>
                <w:rFonts w:asciiTheme="minorHAnsi" w:hAnsiTheme="minorHAnsi"/>
                <w:b/>
                <w:i/>
                <w:sz w:val="16"/>
                <w:szCs w:val="16"/>
                <w:lang w:val="en-GB"/>
              </w:rPr>
              <w:t xml:space="preserve">CUPT-JASPERS work based on VOC fuel consumption and </w:t>
            </w:r>
            <w:r w:rsidRPr="00263391">
              <w:rPr>
                <w:rFonts w:asciiTheme="minorHAnsi" w:hAnsiTheme="minorHAnsi"/>
                <w:b/>
                <w:i/>
                <w:sz w:val="16"/>
                <w:szCs w:val="16"/>
                <w:lang w:val="en-GB"/>
              </w:rPr>
              <w:t xml:space="preserve">EMEP/EEA air pollutant emission inventory guidebook, 2019, </w:t>
            </w:r>
            <w:r>
              <w:rPr>
                <w:rFonts w:asciiTheme="minorHAnsi" w:hAnsiTheme="minorHAnsi"/>
                <w:b/>
                <w:i/>
                <w:sz w:val="16"/>
                <w:szCs w:val="16"/>
                <w:lang w:val="en-GB"/>
              </w:rPr>
              <w:t>with</w:t>
            </w:r>
            <w:r w:rsidRPr="00263391">
              <w:rPr>
                <w:rFonts w:asciiTheme="minorHAnsi" w:hAnsiTheme="minorHAnsi"/>
                <w:b/>
                <w:i/>
                <w:sz w:val="16"/>
                <w:szCs w:val="16"/>
                <w:lang w:val="en-GB"/>
              </w:rPr>
              <w:t xml:space="preserve"> 1.A.3.b.i-iv Road Transport Appendix 4 Emission Factors 2019 (Sept. 2020)</w:t>
            </w:r>
            <w:r>
              <w:rPr>
                <w:rFonts w:asciiTheme="minorHAnsi" w:hAnsiTheme="minorHAnsi"/>
                <w:b/>
                <w:i/>
                <w:sz w:val="16"/>
                <w:szCs w:val="16"/>
                <w:lang w:val="en-GB"/>
              </w:rPr>
              <w:t>.</w:t>
            </w:r>
          </w:p>
          <w:p w14:paraId="104799FD" w14:textId="77777777" w:rsidR="00921721" w:rsidRDefault="00921721" w:rsidP="00880D09">
            <w:pPr>
              <w:pStyle w:val="anxnormal"/>
              <w:spacing w:after="120"/>
              <w:ind w:left="0"/>
              <w:rPr>
                <w:rFonts w:asciiTheme="minorHAnsi" w:hAnsiTheme="minorHAnsi"/>
                <w:bCs/>
                <w:lang w:val="en-GB" w:eastAsia="en-US"/>
              </w:rPr>
            </w:pPr>
          </w:p>
          <w:p w14:paraId="25EB46EB" w14:textId="77777777" w:rsidR="00921721" w:rsidRDefault="00921721" w:rsidP="00880D09">
            <w:pPr>
              <w:pStyle w:val="anxnormal"/>
              <w:spacing w:after="120"/>
              <w:ind w:left="0"/>
              <w:rPr>
                <w:rFonts w:asciiTheme="minorHAnsi" w:hAnsiTheme="minorHAnsi"/>
                <w:bCs/>
                <w:lang w:val="en-GB" w:eastAsia="en-US"/>
              </w:rPr>
            </w:pPr>
          </w:p>
          <w:p w14:paraId="4E0C6E33"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bCs/>
                <w:lang w:val="en-GB" w:eastAsia="en-US"/>
              </w:rPr>
              <w:t>The influence of road gradient on greenhouse gas emissions by road vehicles is assumed the same as on fuel consumption. It</w:t>
            </w:r>
            <w:r w:rsidRPr="00016AAD">
              <w:rPr>
                <w:rFonts w:asciiTheme="minorHAnsi" w:hAnsiTheme="minorHAnsi"/>
                <w:bCs/>
                <w:lang w:val="en-GB" w:eastAsia="en-US"/>
              </w:rPr>
              <w:t xml:space="preserve"> is considered that a hilly terrain </w:t>
            </w:r>
            <w:r>
              <w:rPr>
                <w:rFonts w:asciiTheme="minorHAnsi" w:hAnsiTheme="minorHAnsi"/>
                <w:bCs/>
                <w:lang w:val="en-GB" w:eastAsia="en-US"/>
              </w:rPr>
              <w:t>increases</w:t>
            </w:r>
            <w:r w:rsidRPr="00016AAD">
              <w:rPr>
                <w:rFonts w:asciiTheme="minorHAnsi" w:hAnsiTheme="minorHAnsi"/>
                <w:bCs/>
                <w:lang w:val="en-GB" w:eastAsia="en-US"/>
              </w:rPr>
              <w:t xml:space="preserve"> fuel consumption by </w:t>
            </w:r>
            <w:r>
              <w:rPr>
                <w:rFonts w:asciiTheme="minorHAnsi" w:hAnsiTheme="minorHAnsi"/>
                <w:bCs/>
                <w:lang w:val="en-GB" w:eastAsia="en-US"/>
              </w:rPr>
              <w:t xml:space="preserve">15% for LV. For HGV, the related factor was obtained based on the fuel consumption equations used. </w:t>
            </w:r>
          </w:p>
          <w:p w14:paraId="4DEC89A5" w14:textId="77777777" w:rsidR="00921721" w:rsidRDefault="00921721" w:rsidP="00880D09">
            <w:pPr>
              <w:pStyle w:val="anxnormal"/>
              <w:spacing w:after="120"/>
              <w:ind w:left="0"/>
              <w:rPr>
                <w:rFonts w:asciiTheme="minorHAnsi" w:hAnsiTheme="minorHAnsi"/>
                <w:lang w:val="en-GB" w:eastAsia="en-US"/>
              </w:rPr>
            </w:pPr>
          </w:p>
          <w:p w14:paraId="06696718" w14:textId="77777777" w:rsidR="00921721" w:rsidRPr="00894D52"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lastRenderedPageBreak/>
              <w:t>Multiplying</w:t>
            </w:r>
            <w:r w:rsidRPr="00894D52">
              <w:rPr>
                <w:rFonts w:asciiTheme="minorHAnsi" w:hAnsiTheme="minorHAnsi"/>
                <w:lang w:val="en-GB" w:eastAsia="en-US"/>
              </w:rPr>
              <w:t xml:space="preserve"> indicators depending on type of terrain</w:t>
            </w:r>
          </w:p>
          <w:tbl>
            <w:tblPr>
              <w:tblW w:w="3395" w:type="dxa"/>
              <w:tblLayout w:type="fixed"/>
              <w:tblLook w:val="04A0" w:firstRow="1" w:lastRow="0" w:firstColumn="1" w:lastColumn="0" w:noHBand="0" w:noVBand="1"/>
            </w:tblPr>
            <w:tblGrid>
              <w:gridCol w:w="1694"/>
              <w:gridCol w:w="850"/>
              <w:gridCol w:w="851"/>
            </w:tblGrid>
            <w:tr w:rsidR="00921721" w:rsidRPr="007463B9" w14:paraId="6E0EF174"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4A4C9A1" w14:textId="77777777" w:rsidR="00921721" w:rsidRPr="00894D52" w:rsidRDefault="00921721" w:rsidP="00880D09">
                  <w:pPr>
                    <w:snapToGrid w:val="0"/>
                    <w:spacing w:before="20" w:after="20"/>
                    <w:jc w:val="center"/>
                    <w:rPr>
                      <w:rFonts w:asciiTheme="minorHAnsi" w:hAnsiTheme="minorHAnsi" w:cs="Arial"/>
                      <w:b/>
                      <w:bCs/>
                      <w:color w:val="FFFFFF"/>
                      <w:sz w:val="18"/>
                      <w:szCs w:val="18"/>
                      <w:lang w:val="en-GB"/>
                    </w:rPr>
                  </w:pPr>
                  <w:r w:rsidRPr="00894D52">
                    <w:rPr>
                      <w:rFonts w:asciiTheme="minorHAnsi" w:hAnsiTheme="minorHAnsi" w:cs="Arial"/>
                      <w:b/>
                      <w:bCs/>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0D7EB06" w14:textId="77777777" w:rsidR="00921721" w:rsidRPr="00894D52" w:rsidRDefault="00921721" w:rsidP="00880D09">
                  <w:pPr>
                    <w:snapToGrid w:val="0"/>
                    <w:spacing w:before="20" w:after="20"/>
                    <w:jc w:val="center"/>
                    <w:rPr>
                      <w:rFonts w:asciiTheme="minorHAnsi" w:hAnsiTheme="minorHAnsi" w:cs="Arial"/>
                      <w:b/>
                      <w:bCs/>
                      <w:color w:val="FFFFFF"/>
                      <w:sz w:val="18"/>
                      <w:szCs w:val="18"/>
                      <w:lang w:val="en-GB"/>
                    </w:rPr>
                  </w:pPr>
                  <w:r w:rsidRPr="00894D52">
                    <w:rPr>
                      <w:rFonts w:asciiTheme="minorHAnsi" w:hAnsiTheme="minorHAnsi" w:cs="Arial"/>
                      <w:b/>
                      <w:bCs/>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600E3C" w14:textId="77777777" w:rsidR="00921721" w:rsidRPr="00894D52" w:rsidRDefault="00921721" w:rsidP="00880D09">
                  <w:pPr>
                    <w:snapToGrid w:val="0"/>
                    <w:spacing w:before="20" w:after="20"/>
                    <w:jc w:val="center"/>
                    <w:rPr>
                      <w:rFonts w:asciiTheme="minorHAnsi" w:hAnsiTheme="minorHAnsi" w:cs="Arial"/>
                      <w:b/>
                      <w:bCs/>
                      <w:color w:val="FFFFFF"/>
                      <w:sz w:val="18"/>
                      <w:szCs w:val="18"/>
                      <w:lang w:val="en-GB"/>
                    </w:rPr>
                  </w:pPr>
                  <w:r w:rsidRPr="00894D52">
                    <w:rPr>
                      <w:rFonts w:asciiTheme="minorHAnsi" w:hAnsiTheme="minorHAnsi" w:cs="Arial"/>
                      <w:b/>
                      <w:bCs/>
                      <w:color w:val="FFFFFF"/>
                      <w:sz w:val="18"/>
                      <w:szCs w:val="18"/>
                      <w:lang w:val="en-GB"/>
                    </w:rPr>
                    <w:t>HGV</w:t>
                  </w:r>
                </w:p>
              </w:tc>
            </w:tr>
            <w:tr w:rsidR="00921721" w:rsidRPr="007463B9" w14:paraId="0A52377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51F14A" w14:textId="77777777" w:rsidR="00921721" w:rsidRPr="00894D52"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8A2915B"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FAF11FF"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6E3147C7"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274D57"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CECC68"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1.150 </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84AEC3"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1.697 </w:t>
                  </w:r>
                </w:p>
              </w:tc>
            </w:tr>
          </w:tbl>
          <w:p w14:paraId="739B8E6F" w14:textId="77777777" w:rsidR="00921721" w:rsidRDefault="00921721" w:rsidP="00880D09">
            <w:pPr>
              <w:spacing w:after="120"/>
              <w:ind w:right="170"/>
              <w:jc w:val="both"/>
              <w:rPr>
                <w:rFonts w:asciiTheme="minorHAnsi" w:hAnsiTheme="minorHAnsi" w:cs="Arial"/>
                <w:b/>
                <w:i/>
                <w:sz w:val="16"/>
                <w:szCs w:val="16"/>
                <w:lang w:val="en-GB"/>
              </w:rPr>
            </w:pPr>
            <w:r w:rsidRPr="00894D52">
              <w:rPr>
                <w:rFonts w:asciiTheme="minorHAnsi" w:hAnsiTheme="minorHAnsi" w:cs="Arial"/>
                <w:b/>
                <w:i/>
                <w:sz w:val="16"/>
                <w:szCs w:val="16"/>
                <w:lang w:val="en-GB"/>
              </w:rPr>
              <w:t xml:space="preserve">Source: </w:t>
            </w:r>
            <w:r>
              <w:rPr>
                <w:rFonts w:asciiTheme="minorHAnsi" w:hAnsiTheme="minorHAnsi" w:cs="Arial"/>
                <w:b/>
                <w:i/>
                <w:sz w:val="16"/>
                <w:szCs w:val="16"/>
                <w:lang w:val="en-GB"/>
              </w:rPr>
              <w:t>CUPT-JASPSERS work based on VOC calculations.</w:t>
            </w:r>
          </w:p>
          <w:p w14:paraId="31B41CF4" w14:textId="77777777" w:rsidR="00921721" w:rsidRDefault="00921721" w:rsidP="00880D09">
            <w:pPr>
              <w:pStyle w:val="anxnormal"/>
              <w:ind w:left="0"/>
              <w:rPr>
                <w:rFonts w:asciiTheme="minorHAnsi" w:hAnsiTheme="minorHAnsi"/>
                <w:u w:val="single"/>
                <w:lang w:val="en-GB" w:eastAsia="en-US"/>
              </w:rPr>
            </w:pPr>
          </w:p>
          <w:p w14:paraId="65C79461"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t>Electric LV – GHG emission factors</w:t>
            </w:r>
          </w:p>
          <w:p w14:paraId="349441FA"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 xml:space="preserve">As noted above, since a continuous increase of electric vehicles as part of Polish road fleet is expected, it needs to be reflected in respective GHG emission factors. </w:t>
            </w:r>
          </w:p>
          <w:p w14:paraId="36B3ED83" w14:textId="77777777" w:rsidR="00921721" w:rsidRPr="00865D50" w:rsidRDefault="00921721" w:rsidP="00880D09">
            <w:pPr>
              <w:pStyle w:val="anxnormal"/>
              <w:ind w:left="0"/>
              <w:rPr>
                <w:rFonts w:asciiTheme="minorHAnsi" w:hAnsiTheme="minorHAnsi"/>
                <w:lang w:val="en-US" w:eastAsia="en-US"/>
              </w:rPr>
            </w:pPr>
            <w:r w:rsidRPr="00ED063F">
              <w:rPr>
                <w:rFonts w:asciiTheme="minorHAnsi" w:hAnsiTheme="minorHAnsi"/>
                <w:lang w:val="en-GB" w:eastAsia="en-US"/>
              </w:rPr>
              <w:t>The national electricity grid GHG emission factor in 2019 was 719 gCO</w:t>
            </w:r>
            <w:r w:rsidRPr="00ED063F">
              <w:rPr>
                <w:rFonts w:asciiTheme="minorHAnsi" w:hAnsiTheme="minorHAnsi"/>
                <w:vertAlign w:val="subscript"/>
                <w:lang w:val="en-GB" w:eastAsia="en-US"/>
              </w:rPr>
              <w:t>2</w:t>
            </w:r>
            <w:r w:rsidRPr="00ED063F">
              <w:rPr>
                <w:rFonts w:asciiTheme="minorHAnsi" w:hAnsiTheme="minorHAnsi"/>
                <w:lang w:val="en-GB" w:eastAsia="en-US"/>
              </w:rPr>
              <w:t>/kWh</w:t>
            </w:r>
            <w:r w:rsidRPr="00ED063F">
              <w:rPr>
                <w:rStyle w:val="Odwoanieprzypisudolnego"/>
                <w:rFonts w:asciiTheme="minorHAnsi" w:hAnsiTheme="minorHAnsi"/>
                <w:lang w:val="en-GB" w:eastAsia="en-US"/>
              </w:rPr>
              <w:footnoteReference w:id="19"/>
            </w:r>
            <w:r w:rsidRPr="00ED063F">
              <w:rPr>
                <w:rFonts w:asciiTheme="minorHAnsi" w:hAnsiTheme="minorHAnsi"/>
                <w:lang w:val="en-GB" w:eastAsia="en-US"/>
              </w:rPr>
              <w:t xml:space="preserve">. Starting from that point, the factor for the current base year (2021) was calculated as </w:t>
            </w:r>
            <w:r w:rsidRPr="00ED063F">
              <w:rPr>
                <w:rFonts w:asciiTheme="minorHAnsi" w:hAnsiTheme="minorHAnsi"/>
                <w:b/>
                <w:lang w:val="en-GB" w:eastAsia="en-US"/>
              </w:rPr>
              <w:t>668.68 gCO</w:t>
            </w:r>
            <w:r w:rsidRPr="00ED063F">
              <w:rPr>
                <w:rFonts w:asciiTheme="minorHAnsi" w:hAnsiTheme="minorHAnsi"/>
                <w:b/>
                <w:vertAlign w:val="subscript"/>
                <w:lang w:val="en-GB" w:eastAsia="en-US"/>
              </w:rPr>
              <w:t>2</w:t>
            </w:r>
            <w:r w:rsidRPr="00ED063F">
              <w:rPr>
                <w:rFonts w:asciiTheme="minorHAnsi" w:hAnsiTheme="minorHAnsi"/>
                <w:b/>
                <w:lang w:val="en-GB" w:eastAsia="en-US"/>
              </w:rPr>
              <w:t>/kWh</w:t>
            </w:r>
            <w:r w:rsidRPr="00ED063F">
              <w:rPr>
                <w:rFonts w:asciiTheme="minorHAnsi" w:hAnsiTheme="minorHAnsi"/>
                <w:lang w:val="en-GB" w:eastAsia="en-US"/>
              </w:rPr>
              <w:t xml:space="preserve"> with the following approach assumed as </w:t>
            </w:r>
            <w:r>
              <w:rPr>
                <w:rFonts w:asciiTheme="minorHAnsi" w:hAnsiTheme="minorHAnsi"/>
                <w:lang w:val="en-GB" w:eastAsia="en-US"/>
              </w:rPr>
              <w:t>a </w:t>
            </w:r>
            <w:r w:rsidRPr="00ED063F">
              <w:rPr>
                <w:rFonts w:asciiTheme="minorHAnsi" w:hAnsiTheme="minorHAnsi"/>
                <w:lang w:val="en-GB" w:eastAsia="en-US"/>
              </w:rPr>
              <w:t>relevant proxy: [1] the share of grid electricity generated from hard coal and lignite in 2019</w:t>
            </w:r>
            <w:r w:rsidRPr="00ED063F">
              <w:rPr>
                <w:rStyle w:val="Odwoanieprzypisudolnego"/>
                <w:rFonts w:asciiTheme="minorHAnsi" w:hAnsiTheme="minorHAnsi"/>
                <w:lang w:val="en-GB" w:eastAsia="en-US"/>
              </w:rPr>
              <w:footnoteReference w:id="20"/>
            </w:r>
            <w:r w:rsidRPr="00ED063F">
              <w:rPr>
                <w:rFonts w:asciiTheme="minorHAnsi" w:hAnsiTheme="minorHAnsi"/>
                <w:lang w:val="en-GB" w:eastAsia="en-US"/>
              </w:rPr>
              <w:t xml:space="preserve">, [2] the estimated elasticity of grid electricity GHG emissions to changes in the share of hard coal and lignite in Poland’s energy mix, and [3] the forecast share of hard coal and lignite in Poland’s energy mix in accordance with </w:t>
            </w:r>
            <w:r>
              <w:rPr>
                <w:rFonts w:asciiTheme="minorHAnsi" w:hAnsiTheme="minorHAnsi"/>
                <w:lang w:val="en-GB" w:eastAsia="en-US"/>
              </w:rPr>
              <w:t xml:space="preserve">the </w:t>
            </w:r>
            <w:r w:rsidRPr="00ED063F">
              <w:rPr>
                <w:rFonts w:asciiTheme="minorHAnsi" w:hAnsiTheme="minorHAnsi"/>
                <w:lang w:val="en-US" w:eastAsia="en-US"/>
              </w:rPr>
              <w:t>Energy Policy of Poland until 2040 (</w:t>
            </w:r>
            <w:proofErr w:type="spellStart"/>
            <w:r w:rsidRPr="00ED063F">
              <w:rPr>
                <w:rFonts w:asciiTheme="minorHAnsi" w:hAnsiTheme="minorHAnsi"/>
                <w:lang w:val="en-US" w:eastAsia="en-US"/>
              </w:rPr>
              <w:t>Polityka</w:t>
            </w:r>
            <w:proofErr w:type="spellEnd"/>
            <w:r w:rsidRPr="00ED063F">
              <w:rPr>
                <w:rFonts w:asciiTheme="minorHAnsi" w:hAnsiTheme="minorHAnsi"/>
                <w:lang w:val="en-US" w:eastAsia="en-US"/>
              </w:rPr>
              <w:t xml:space="preserve"> </w:t>
            </w:r>
            <w:proofErr w:type="spellStart"/>
            <w:r w:rsidRPr="00ED063F">
              <w:rPr>
                <w:rFonts w:asciiTheme="minorHAnsi" w:hAnsiTheme="minorHAnsi"/>
                <w:lang w:val="en-US" w:eastAsia="en-US"/>
              </w:rPr>
              <w:t>Energetyczna</w:t>
            </w:r>
            <w:proofErr w:type="spellEnd"/>
            <w:r w:rsidRPr="00ED063F">
              <w:rPr>
                <w:rFonts w:asciiTheme="minorHAnsi" w:hAnsiTheme="minorHAnsi"/>
                <w:lang w:val="en-US" w:eastAsia="en-US"/>
              </w:rPr>
              <w:t xml:space="preserve"> </w:t>
            </w:r>
            <w:proofErr w:type="spellStart"/>
            <w:r w:rsidRPr="00ED063F">
              <w:rPr>
                <w:rFonts w:asciiTheme="minorHAnsi" w:hAnsiTheme="minorHAnsi"/>
                <w:lang w:val="en-US" w:eastAsia="en-US"/>
              </w:rPr>
              <w:t>Polski</w:t>
            </w:r>
            <w:proofErr w:type="spellEnd"/>
            <w:r w:rsidRPr="00ED063F">
              <w:rPr>
                <w:rFonts w:asciiTheme="minorHAnsi" w:hAnsiTheme="minorHAnsi"/>
                <w:lang w:val="en-US" w:eastAsia="en-US"/>
              </w:rPr>
              <w:t xml:space="preserve"> do 2040 r.)</w:t>
            </w:r>
            <w:r w:rsidRPr="00ED063F">
              <w:rPr>
                <w:rStyle w:val="Odwoanieprzypisudolnego"/>
                <w:rFonts w:asciiTheme="minorHAnsi" w:hAnsiTheme="minorHAnsi"/>
                <w:lang w:val="en-US" w:eastAsia="en-US"/>
              </w:rPr>
              <w:footnoteReference w:id="21"/>
            </w:r>
            <w:r>
              <w:rPr>
                <w:rFonts w:asciiTheme="minorHAnsi" w:hAnsiTheme="minorHAnsi"/>
                <w:lang w:val="en-US" w:eastAsia="en-US"/>
              </w:rPr>
              <w:t xml:space="preserve">. </w:t>
            </w:r>
          </w:p>
          <w:p w14:paraId="2FAB7E54"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 xml:space="preserve">The proposed emission factor for an average electric LV in 2021 is </w:t>
            </w:r>
            <w:r w:rsidRPr="00041C91">
              <w:rPr>
                <w:rFonts w:asciiTheme="minorHAnsi" w:hAnsiTheme="minorHAnsi"/>
                <w:b/>
                <w:lang w:val="en-GB" w:eastAsia="en-US"/>
              </w:rPr>
              <w:t xml:space="preserve">156.03 </w:t>
            </w:r>
            <w:r>
              <w:rPr>
                <w:rFonts w:asciiTheme="minorHAnsi" w:hAnsiTheme="minorHAnsi"/>
                <w:b/>
                <w:lang w:val="en-GB" w:eastAsia="en-US"/>
              </w:rPr>
              <w:t>g</w:t>
            </w:r>
            <w:r w:rsidRPr="00EA5DA5">
              <w:rPr>
                <w:rFonts w:asciiTheme="minorHAnsi" w:hAnsiTheme="minorHAnsi"/>
                <w:b/>
                <w:lang w:val="en-GB" w:eastAsia="en-US"/>
              </w:rPr>
              <w:t>CO</w:t>
            </w:r>
            <w:r w:rsidRPr="00EA5DA5">
              <w:rPr>
                <w:rFonts w:asciiTheme="minorHAnsi" w:hAnsiTheme="minorHAnsi"/>
                <w:b/>
                <w:vertAlign w:val="subscript"/>
                <w:lang w:val="en-GB" w:eastAsia="en-US"/>
              </w:rPr>
              <w:t>2</w:t>
            </w:r>
            <w:r w:rsidRPr="00F13EAB">
              <w:rPr>
                <w:rFonts w:asciiTheme="minorHAnsi" w:hAnsiTheme="minorHAnsi"/>
                <w:b/>
                <w:lang w:val="en-GB" w:eastAsia="en-US"/>
              </w:rPr>
              <w:t>e</w:t>
            </w:r>
            <w:r w:rsidRPr="00EA5DA5">
              <w:rPr>
                <w:rFonts w:asciiTheme="minorHAnsi" w:hAnsiTheme="minorHAnsi"/>
                <w:b/>
                <w:lang w:val="en-GB" w:eastAsia="en-US"/>
              </w:rPr>
              <w:t>/</w:t>
            </w:r>
            <w:proofErr w:type="spellStart"/>
            <w:r w:rsidRPr="00EA5DA5">
              <w:rPr>
                <w:rFonts w:asciiTheme="minorHAnsi" w:hAnsiTheme="minorHAnsi"/>
                <w:b/>
                <w:lang w:val="en-GB" w:eastAsia="en-US"/>
              </w:rPr>
              <w:t>veh</w:t>
            </w:r>
            <w:proofErr w:type="spellEnd"/>
            <w:r w:rsidRPr="00BA2098">
              <w:rPr>
                <w:rFonts w:asciiTheme="minorHAnsi" w:hAnsiTheme="minorHAnsi"/>
                <w:b/>
                <w:lang w:val="en-GB" w:eastAsia="en-US"/>
              </w:rPr>
              <w:t>-km</w:t>
            </w:r>
            <w:r w:rsidRPr="00BA2098">
              <w:rPr>
                <w:rFonts w:asciiTheme="minorHAnsi" w:hAnsiTheme="minorHAnsi"/>
                <w:lang w:val="en-GB" w:eastAsia="en-US"/>
              </w:rPr>
              <w:t>.</w:t>
            </w:r>
            <w:r>
              <w:rPr>
                <w:rFonts w:asciiTheme="minorHAnsi" w:hAnsiTheme="minorHAnsi"/>
                <w:lang w:val="en-GB" w:eastAsia="en-US"/>
              </w:rPr>
              <w:t xml:space="preserve"> As for other vehicle types, it corresponds to flat terrain and good road pavement conditions (i.e. after construction/ rehabilitation). Factors related to road gradient influence and pavement condition are provided below.</w:t>
            </w:r>
          </w:p>
          <w:p w14:paraId="611A17C8" w14:textId="77777777" w:rsidR="00921721" w:rsidRDefault="00921721" w:rsidP="00880D09">
            <w:pPr>
              <w:pStyle w:val="anxnormal"/>
              <w:spacing w:after="120"/>
              <w:ind w:left="0"/>
              <w:rPr>
                <w:rFonts w:asciiTheme="minorHAnsi" w:hAnsiTheme="minorHAnsi"/>
                <w:lang w:val="en-GB" w:eastAsia="en-US"/>
              </w:rPr>
            </w:pPr>
          </w:p>
          <w:p w14:paraId="410F477F" w14:textId="77777777" w:rsidR="00921721" w:rsidRDefault="00921721" w:rsidP="00880D09">
            <w:pPr>
              <w:pStyle w:val="anxnormal"/>
              <w:spacing w:after="120"/>
              <w:ind w:left="0"/>
              <w:rPr>
                <w:rFonts w:asciiTheme="minorHAnsi" w:hAnsiTheme="minorHAnsi"/>
                <w:lang w:val="en-GB" w:eastAsia="en-US"/>
              </w:rPr>
            </w:pPr>
          </w:p>
          <w:p w14:paraId="0236A5F0" w14:textId="77777777" w:rsidR="00921721" w:rsidRDefault="00921721" w:rsidP="00880D09">
            <w:pPr>
              <w:pStyle w:val="anxnormal"/>
              <w:spacing w:after="120"/>
              <w:ind w:left="0"/>
              <w:rPr>
                <w:rFonts w:asciiTheme="minorHAnsi" w:hAnsiTheme="minorHAnsi"/>
                <w:lang w:val="en-GB" w:eastAsia="en-US"/>
              </w:rPr>
            </w:pPr>
          </w:p>
          <w:p w14:paraId="058890A7" w14:textId="77777777" w:rsidR="00921721" w:rsidRDefault="00921721" w:rsidP="00880D09">
            <w:pPr>
              <w:pStyle w:val="anxnormal"/>
              <w:spacing w:after="120"/>
              <w:ind w:left="0"/>
              <w:rPr>
                <w:rFonts w:asciiTheme="minorHAnsi" w:hAnsiTheme="minorHAnsi"/>
                <w:lang w:val="en-GB" w:eastAsia="en-US"/>
              </w:rPr>
            </w:pPr>
          </w:p>
          <w:p w14:paraId="63220D71"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 </w:t>
            </w:r>
          </w:p>
          <w:tbl>
            <w:tblPr>
              <w:tblW w:w="4292" w:type="dxa"/>
              <w:tblLayout w:type="fixed"/>
              <w:tblLook w:val="04A0" w:firstRow="1" w:lastRow="0" w:firstColumn="1" w:lastColumn="0" w:noHBand="0" w:noVBand="1"/>
            </w:tblPr>
            <w:tblGrid>
              <w:gridCol w:w="2142"/>
              <w:gridCol w:w="1074"/>
              <w:gridCol w:w="1076"/>
            </w:tblGrid>
            <w:tr w:rsidR="00921721" w:rsidRPr="007463B9" w14:paraId="2EB8BAA8" w14:textId="77777777" w:rsidTr="00880D09">
              <w:trPr>
                <w:trHeight w:hRule="exact" w:val="314"/>
              </w:trPr>
              <w:tc>
                <w:tcPr>
                  <w:tcW w:w="214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C6A906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107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F33246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07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8083A7E"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 xml:space="preserve">Electric bus </w:t>
                  </w:r>
                </w:p>
              </w:tc>
            </w:tr>
            <w:tr w:rsidR="00921721" w:rsidRPr="007463B9" w14:paraId="4D197E98" w14:textId="77777777" w:rsidTr="00880D09">
              <w:trPr>
                <w:trHeight w:val="262"/>
              </w:trPr>
              <w:tc>
                <w:tcPr>
                  <w:tcW w:w="214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DD926C"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473FCE"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107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267A45E"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2F2748AF" w14:textId="77777777" w:rsidTr="00880D09">
              <w:trPr>
                <w:trHeight w:val="262"/>
              </w:trPr>
              <w:tc>
                <w:tcPr>
                  <w:tcW w:w="214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1A5BE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442F65"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150</w:t>
                  </w:r>
                </w:p>
              </w:tc>
              <w:tc>
                <w:tcPr>
                  <w:tcW w:w="107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DAE8F0"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697</w:t>
                  </w:r>
                </w:p>
              </w:tc>
            </w:tr>
          </w:tbl>
          <w:p w14:paraId="111C210B" w14:textId="77777777" w:rsidR="00921721" w:rsidRDefault="00921721" w:rsidP="00880D09">
            <w:pPr>
              <w:pStyle w:val="anxnormal"/>
              <w:spacing w:after="120"/>
              <w:ind w:left="0"/>
              <w:rPr>
                <w:rFonts w:asciiTheme="minorHAnsi" w:hAnsiTheme="minorHAnsi"/>
                <w:lang w:val="en-GB" w:eastAsia="en-US"/>
              </w:rPr>
            </w:pPr>
          </w:p>
          <w:p w14:paraId="7F2C50B3"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w:t>
            </w:r>
            <w:r>
              <w:rPr>
                <w:rFonts w:asciiTheme="minorHAnsi" w:hAnsiTheme="minorHAnsi"/>
                <w:lang w:val="en-GB" w:eastAsia="en-US"/>
              </w:rPr>
              <w:t>pavement condition</w:t>
            </w:r>
          </w:p>
          <w:tbl>
            <w:tblPr>
              <w:tblW w:w="4388" w:type="dxa"/>
              <w:tblLayout w:type="fixed"/>
              <w:tblLook w:val="04A0" w:firstRow="1" w:lastRow="0" w:firstColumn="1" w:lastColumn="0" w:noHBand="0" w:noVBand="1"/>
            </w:tblPr>
            <w:tblGrid>
              <w:gridCol w:w="2120"/>
              <w:gridCol w:w="1134"/>
              <w:gridCol w:w="1134"/>
            </w:tblGrid>
            <w:tr w:rsidR="00921721" w:rsidRPr="007463B9" w14:paraId="1DD738F7" w14:textId="77777777" w:rsidTr="00880D09">
              <w:trPr>
                <w:trHeight w:hRule="exact" w:val="337"/>
              </w:trPr>
              <w:tc>
                <w:tcPr>
                  <w:tcW w:w="212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220DB96"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Pavement condition</w:t>
                  </w:r>
                </w:p>
              </w:tc>
              <w:tc>
                <w:tcPr>
                  <w:tcW w:w="113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194ED6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13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9633438"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 xml:space="preserve">Electric bus </w:t>
                  </w:r>
                </w:p>
              </w:tc>
            </w:tr>
            <w:tr w:rsidR="00921721" w:rsidRPr="007463B9" w14:paraId="3017E03F" w14:textId="77777777" w:rsidTr="00880D09">
              <w:trPr>
                <w:trHeight w:val="281"/>
              </w:trPr>
              <w:tc>
                <w:tcPr>
                  <w:tcW w:w="212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B10F6E" w14:textId="77777777" w:rsidR="00921721" w:rsidRPr="001569CA"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Good (after construction/ rehabilitation)</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7A9D589"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971DC29"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38D6CE86" w14:textId="77777777" w:rsidTr="00880D09">
              <w:trPr>
                <w:trHeight w:val="281"/>
              </w:trPr>
              <w:tc>
                <w:tcPr>
                  <w:tcW w:w="212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02921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Degraded</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0AABDCA"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1.169</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3FD4E2"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1.188</w:t>
                  </w:r>
                </w:p>
              </w:tc>
            </w:tr>
          </w:tbl>
          <w:p w14:paraId="23BDBE3A" w14:textId="77777777" w:rsidR="00921721" w:rsidRDefault="00921721" w:rsidP="00880D09">
            <w:pPr>
              <w:spacing w:before="120"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w:t>
            </w:r>
            <w:r w:rsidRPr="00B90582">
              <w:rPr>
                <w:rFonts w:asciiTheme="minorHAnsi" w:hAnsiTheme="minorHAnsi" w:cs="Arial"/>
                <w:b/>
                <w:i/>
                <w:sz w:val="16"/>
                <w:szCs w:val="16"/>
                <w:lang w:val="en-GB"/>
              </w:rPr>
              <w:t>"Optimisation of Maintenance", OECD/ITF 2012</w:t>
            </w:r>
            <w:r>
              <w:rPr>
                <w:rFonts w:asciiTheme="minorHAnsi" w:hAnsiTheme="minorHAnsi" w:cs="Arial"/>
                <w:b/>
                <w:i/>
                <w:sz w:val="16"/>
                <w:szCs w:val="16"/>
                <w:lang w:val="en-GB"/>
              </w:rPr>
              <w:t>.</w:t>
            </w:r>
          </w:p>
          <w:p w14:paraId="090A4B7D"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 xml:space="preserve">The table below provides a wider set of emission factors for different types of electric vehicles in 2021 in case it might be of use for certain </w:t>
            </w:r>
            <w:proofErr w:type="spellStart"/>
            <w:r>
              <w:rPr>
                <w:rFonts w:asciiTheme="minorHAnsi" w:hAnsiTheme="minorHAnsi"/>
                <w:lang w:val="en-GB" w:eastAsia="en-US"/>
              </w:rPr>
              <w:t>specfic</w:t>
            </w:r>
            <w:proofErr w:type="spellEnd"/>
            <w:r>
              <w:rPr>
                <w:rFonts w:asciiTheme="minorHAnsi" w:hAnsiTheme="minorHAnsi"/>
                <w:lang w:val="en-GB" w:eastAsia="en-US"/>
              </w:rPr>
              <w:t xml:space="preserve"> assessments:</w:t>
            </w:r>
          </w:p>
          <w:tbl>
            <w:tblPr>
              <w:tblW w:w="6659" w:type="dxa"/>
              <w:tblLayout w:type="fixed"/>
              <w:tblLook w:val="04A0" w:firstRow="1" w:lastRow="0" w:firstColumn="1" w:lastColumn="0" w:noHBand="0" w:noVBand="1"/>
            </w:tblPr>
            <w:tblGrid>
              <w:gridCol w:w="2651"/>
              <w:gridCol w:w="1336"/>
              <w:gridCol w:w="1336"/>
              <w:gridCol w:w="1336"/>
            </w:tblGrid>
            <w:tr w:rsidR="00921721" w:rsidRPr="007463B9" w14:paraId="036F010E" w14:textId="77777777" w:rsidTr="005C3677">
              <w:trPr>
                <w:trHeight w:hRule="exact" w:val="1229"/>
              </w:trPr>
              <w:tc>
                <w:tcPr>
                  <w:tcW w:w="26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AFEA92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036D70">
                    <w:rPr>
                      <w:rFonts w:asciiTheme="minorHAnsi" w:hAnsiTheme="minorHAnsi" w:cs="Arial"/>
                      <w:b/>
                      <w:bCs/>
                      <w:color w:val="FFFFFF"/>
                      <w:sz w:val="18"/>
                      <w:szCs w:val="18"/>
                      <w:lang w:val="en-GB"/>
                    </w:rPr>
                    <w:t xml:space="preserve">Road vehicles, </w:t>
                  </w:r>
                  <w:r w:rsidRPr="00036D70">
                    <w:rPr>
                      <w:rFonts w:asciiTheme="minorHAnsi" w:hAnsiTheme="minorHAnsi" w:cs="Arial"/>
                      <w:b/>
                      <w:bCs/>
                      <w:color w:val="FFFFFF"/>
                      <w:sz w:val="18"/>
                      <w:szCs w:val="18"/>
                      <w:lang w:val="en-GB"/>
                    </w:rPr>
                    <w:br/>
                    <w:t>electric and hybrid-electric</w:t>
                  </w:r>
                </w:p>
              </w:tc>
              <w:tc>
                <w:tcPr>
                  <w:tcW w:w="1336"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46AC9749"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33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66349C1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 xml:space="preserve">Energy consumption (kWh/ </w:t>
                  </w:r>
                  <w:proofErr w:type="spellStart"/>
                  <w:r>
                    <w:rPr>
                      <w:rFonts w:asciiTheme="minorHAnsi" w:hAnsiTheme="minorHAnsi" w:cs="Arial"/>
                      <w:b/>
                      <w:bCs/>
                      <w:color w:val="FFFFFF"/>
                      <w:sz w:val="18"/>
                      <w:szCs w:val="18"/>
                      <w:lang w:val="en-GB"/>
                    </w:rPr>
                    <w:t>veh</w:t>
                  </w:r>
                  <w:proofErr w:type="spellEnd"/>
                  <w:r w:rsidRPr="006856C6">
                    <w:rPr>
                      <w:rFonts w:asciiTheme="minorHAnsi" w:hAnsiTheme="minorHAnsi" w:cs="Arial"/>
                      <w:b/>
                      <w:bCs/>
                      <w:color w:val="FFFFFF"/>
                      <w:sz w:val="18"/>
                      <w:szCs w:val="18"/>
                      <w:lang w:val="en-GB"/>
                    </w:rPr>
                    <w:t>-km)</w:t>
                  </w:r>
                  <w:r>
                    <w:rPr>
                      <w:rFonts w:asciiTheme="minorHAnsi" w:hAnsiTheme="minorHAnsi" w:cs="Arial"/>
                      <w:b/>
                      <w:bCs/>
                      <w:color w:val="FFFFFF"/>
                      <w:sz w:val="18"/>
                      <w:szCs w:val="18"/>
                      <w:lang w:val="en-GB"/>
                    </w:rPr>
                    <w:t xml:space="preserve"> </w:t>
                  </w:r>
                </w:p>
              </w:tc>
              <w:tc>
                <w:tcPr>
                  <w:tcW w:w="1336" w:type="dxa"/>
                  <w:tcBorders>
                    <w:top w:val="single" w:sz="4" w:space="0" w:color="FFFFFF"/>
                    <w:left w:val="single" w:sz="4" w:space="0" w:color="FFFFFF"/>
                    <w:bottom w:val="single" w:sz="4" w:space="0" w:color="FFFFFF"/>
                    <w:right w:val="nil"/>
                  </w:tcBorders>
                  <w:shd w:val="clear" w:color="auto" w:fill="A6A6A6" w:themeFill="background1" w:themeFillShade="A6"/>
                </w:tcPr>
                <w:p w14:paraId="0B541C22"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GHG emissions factor 2021(*)</w:t>
                  </w:r>
                </w:p>
                <w:p w14:paraId="78417D40" w14:textId="57F58ECB" w:rsidR="00921721" w:rsidRDefault="00921721" w:rsidP="005C3677">
                  <w:pPr>
                    <w:snapToGrid w:val="0"/>
                    <w:spacing w:before="20" w:after="20"/>
                    <w:jc w:val="center"/>
                    <w:rPr>
                      <w:rFonts w:asciiTheme="minorHAnsi" w:hAnsiTheme="minorHAnsi" w:cs="Arial"/>
                      <w:b/>
                      <w:bCs/>
                      <w:color w:val="FFFFFF"/>
                      <w:sz w:val="18"/>
                      <w:szCs w:val="18"/>
                      <w:lang w:val="en-GB"/>
                    </w:rPr>
                  </w:pPr>
                  <w:r w:rsidRPr="006856C6">
                    <w:rPr>
                      <w:rFonts w:asciiTheme="minorHAnsi" w:hAnsiTheme="minorHAnsi" w:cs="Arial"/>
                      <w:b/>
                      <w:bCs/>
                      <w:color w:val="FFFFFF"/>
                      <w:sz w:val="18"/>
                      <w:szCs w:val="18"/>
                      <w:lang w:val="en-GB"/>
                    </w:rPr>
                    <w:t>[g CO</w:t>
                  </w:r>
                  <w:r w:rsidRPr="00BD7674">
                    <w:rPr>
                      <w:rFonts w:asciiTheme="minorHAnsi" w:hAnsiTheme="minorHAnsi" w:cs="Arial"/>
                      <w:b/>
                      <w:bCs/>
                      <w:color w:val="FFFFFF"/>
                      <w:sz w:val="18"/>
                      <w:szCs w:val="18"/>
                      <w:vertAlign w:val="subscript"/>
                      <w:lang w:val="en-GB"/>
                    </w:rPr>
                    <w:t>2</w:t>
                  </w:r>
                  <w:r>
                    <w:rPr>
                      <w:rFonts w:asciiTheme="minorHAnsi" w:hAnsiTheme="minorHAnsi" w:cs="Arial"/>
                      <w:b/>
                      <w:bCs/>
                      <w:color w:val="FFFFFF"/>
                      <w:sz w:val="18"/>
                      <w:szCs w:val="18"/>
                      <w:lang w:val="en-GB"/>
                    </w:rPr>
                    <w:t xml:space="preserve">e/ </w:t>
                  </w:r>
                  <w:proofErr w:type="spellStart"/>
                  <w:r>
                    <w:rPr>
                      <w:rFonts w:asciiTheme="minorHAnsi" w:hAnsiTheme="minorHAnsi" w:cs="Arial"/>
                      <w:b/>
                      <w:bCs/>
                      <w:color w:val="FFFFFF"/>
                      <w:sz w:val="18"/>
                      <w:szCs w:val="18"/>
                      <w:lang w:val="en-GB"/>
                    </w:rPr>
                    <w:t>veh</w:t>
                  </w:r>
                  <w:proofErr w:type="spellEnd"/>
                  <w:r w:rsidRPr="006856C6">
                    <w:rPr>
                      <w:rFonts w:asciiTheme="minorHAnsi" w:hAnsiTheme="minorHAnsi" w:cs="Arial"/>
                      <w:b/>
                      <w:bCs/>
                      <w:color w:val="FFFFFF"/>
                      <w:sz w:val="18"/>
                      <w:szCs w:val="18"/>
                      <w:lang w:val="en-GB"/>
                    </w:rPr>
                    <w:t>-km]</w:t>
                  </w:r>
                  <w:r w:rsidR="005C3677">
                    <w:rPr>
                      <w:rFonts w:asciiTheme="minorHAnsi" w:hAnsiTheme="minorHAnsi" w:cs="Arial"/>
                      <w:b/>
                      <w:bCs/>
                      <w:color w:val="FFFFFF"/>
                      <w:sz w:val="18"/>
                      <w:szCs w:val="18"/>
                      <w:lang w:val="en-GB"/>
                    </w:rPr>
                    <w:t xml:space="preserve"> </w:t>
                  </w:r>
                </w:p>
              </w:tc>
            </w:tr>
            <w:tr w:rsidR="00921721" w:rsidRPr="006856C6" w14:paraId="1C1F7F05"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24642E4"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xml:space="preserve">, hybrid </w:t>
                  </w:r>
                  <w:proofErr w:type="spellStart"/>
                  <w:r>
                    <w:rPr>
                      <w:rFonts w:asciiTheme="minorHAnsi" w:hAnsiTheme="minorHAnsi" w:cs="Arial"/>
                      <w:color w:val="4F81BD" w:themeColor="accent1"/>
                      <w:sz w:val="18"/>
                      <w:szCs w:val="18"/>
                      <w:lang w:val="en-GB"/>
                    </w:rPr>
                    <w:t>petrol+electric</w:t>
                  </w:r>
                  <w:proofErr w:type="spellEnd"/>
                  <w:r w:rsidRPr="00265281">
                    <w:rPr>
                      <w:rFonts w:asciiTheme="minorHAnsi" w:hAnsiTheme="minorHAnsi" w:cs="Arial"/>
                      <w:color w:val="4F81BD" w:themeColor="accent1"/>
                      <w:sz w:val="18"/>
                      <w:szCs w:val="18"/>
                      <w:lang w:val="en-GB"/>
                    </w:rPr>
                    <w:t xml:space="preserve"> </w:t>
                  </w:r>
                </w:p>
                <w:p w14:paraId="548832DA" w14:textId="7340A6A7" w:rsidR="00773CE0" w:rsidRPr="00265281"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813BAF4"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7F7C960"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0.503</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F5648D" w14:textId="77777777" w:rsidR="0092172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464.20</w:t>
                  </w:r>
                </w:p>
              </w:tc>
            </w:tr>
            <w:tr w:rsidR="00921721" w:rsidRPr="006856C6" w14:paraId="141CD63E"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6EFADA"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xml:space="preserve">, hybrid </w:t>
                  </w:r>
                  <w:proofErr w:type="spellStart"/>
                  <w:r>
                    <w:rPr>
                      <w:rFonts w:asciiTheme="minorHAnsi" w:hAnsiTheme="minorHAnsi" w:cs="Arial"/>
                      <w:color w:val="4F81BD" w:themeColor="accent1"/>
                      <w:sz w:val="18"/>
                      <w:szCs w:val="18"/>
                      <w:lang w:val="en-GB"/>
                    </w:rPr>
                    <w:t>petrol+electric</w:t>
                  </w:r>
                  <w:proofErr w:type="spellEnd"/>
                </w:p>
                <w:p w14:paraId="7F5897CA" w14:textId="59B387D6" w:rsidR="00773CE0" w:rsidRPr="00CA444D"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4C40A56"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Urban area</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FCD32B9"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0.658</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1FC6DD" w14:textId="77777777" w:rsidR="0092172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608.</w:t>
                  </w:r>
                  <w:r w:rsidRPr="00AA10A6">
                    <w:rPr>
                      <w:rFonts w:asciiTheme="minorHAnsi" w:hAnsiTheme="minorHAnsi" w:cs="Arial"/>
                      <w:color w:val="4F81BD" w:themeColor="accent1"/>
                      <w:sz w:val="18"/>
                      <w:szCs w:val="18"/>
                      <w:lang w:val="en-GB"/>
                    </w:rPr>
                    <w:t>21</w:t>
                  </w:r>
                </w:p>
              </w:tc>
            </w:tr>
            <w:tr w:rsidR="00921721" w:rsidRPr="006856C6" w14:paraId="4A2D1877"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CFD087"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electric (medium size)</w:t>
                  </w:r>
                </w:p>
                <w:p w14:paraId="3153C6B7" w14:textId="009DB906" w:rsidR="00773CE0" w:rsidRPr="00265281"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FB2B2D"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FB44F3D"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0.233</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50B49A" w14:textId="77777777" w:rsidR="00921721"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156</w:t>
                  </w:r>
                  <w:r>
                    <w:rPr>
                      <w:rFonts w:asciiTheme="minorHAnsi" w:hAnsiTheme="minorHAnsi" w:cs="Arial"/>
                      <w:color w:val="4F81BD" w:themeColor="accent1"/>
                      <w:sz w:val="18"/>
                      <w:szCs w:val="18"/>
                      <w:lang w:val="en-GB"/>
                    </w:rPr>
                    <w:t>.</w:t>
                  </w:r>
                  <w:r w:rsidRPr="00AA10A6">
                    <w:rPr>
                      <w:rFonts w:asciiTheme="minorHAnsi" w:hAnsiTheme="minorHAnsi" w:cs="Arial"/>
                      <w:color w:val="4F81BD" w:themeColor="accent1"/>
                      <w:sz w:val="18"/>
                      <w:szCs w:val="18"/>
                      <w:lang w:val="en-GB"/>
                    </w:rPr>
                    <w:t>03</w:t>
                  </w:r>
                </w:p>
              </w:tc>
            </w:tr>
            <w:tr w:rsidR="00921721" w:rsidRPr="006856C6" w14:paraId="0BF246A7"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88878C"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electric (medium size)</w:t>
                  </w:r>
                </w:p>
                <w:p w14:paraId="3F1060A1" w14:textId="443F2558" w:rsidR="00773CE0" w:rsidRPr="00265281"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57D155"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Urban area</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E06A9B5"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0.203</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A95A19" w14:textId="77777777" w:rsidR="00921721" w:rsidRPr="00632A6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135.</w:t>
                  </w:r>
                  <w:r w:rsidRPr="00AA10A6">
                    <w:rPr>
                      <w:rFonts w:asciiTheme="minorHAnsi" w:hAnsiTheme="minorHAnsi" w:cs="Arial"/>
                      <w:color w:val="4F81BD" w:themeColor="accent1"/>
                      <w:sz w:val="18"/>
                      <w:szCs w:val="18"/>
                      <w:lang w:val="en-GB"/>
                    </w:rPr>
                    <w:t>59</w:t>
                  </w:r>
                </w:p>
              </w:tc>
            </w:tr>
            <w:tr w:rsidR="00921721" w:rsidRPr="007463B9" w14:paraId="1553BBFA"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8D38C7"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City bus, hybrid </w:t>
                  </w:r>
                  <w:proofErr w:type="spellStart"/>
                  <w:r>
                    <w:rPr>
                      <w:rFonts w:asciiTheme="minorHAnsi" w:hAnsiTheme="minorHAnsi" w:cs="Arial"/>
                      <w:color w:val="4F81BD" w:themeColor="accent1"/>
                      <w:sz w:val="18"/>
                      <w:szCs w:val="18"/>
                      <w:lang w:val="en-GB"/>
                    </w:rPr>
                    <w:t>diesel+electric</w:t>
                  </w:r>
                  <w:proofErr w:type="spellEnd"/>
                  <w:r>
                    <w:rPr>
                      <w:rFonts w:asciiTheme="minorHAnsi" w:hAnsiTheme="minorHAnsi" w:cs="Arial"/>
                      <w:color w:val="4F81BD" w:themeColor="accent1"/>
                      <w:sz w:val="18"/>
                      <w:szCs w:val="18"/>
                      <w:lang w:val="en-GB"/>
                    </w:rPr>
                    <w:t xml:space="preserve"> (standard)</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CC80868"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0F736A6"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3.172</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F87956" w14:textId="77777777" w:rsidR="00921721" w:rsidRPr="003166C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 </w:t>
                  </w:r>
                  <w:r w:rsidRPr="00AA10A6">
                    <w:rPr>
                      <w:rFonts w:asciiTheme="minorHAnsi" w:hAnsiTheme="minorHAnsi" w:cs="Arial"/>
                      <w:color w:val="4F81BD" w:themeColor="accent1"/>
                      <w:sz w:val="18"/>
                      <w:szCs w:val="18"/>
                      <w:lang w:val="en-GB"/>
                    </w:rPr>
                    <w:t>930</w:t>
                  </w:r>
                  <w:r>
                    <w:rPr>
                      <w:rFonts w:asciiTheme="minorHAnsi" w:hAnsiTheme="minorHAnsi" w:cs="Arial"/>
                      <w:color w:val="4F81BD" w:themeColor="accent1"/>
                      <w:sz w:val="18"/>
                      <w:szCs w:val="18"/>
                      <w:lang w:val="en-GB"/>
                    </w:rPr>
                    <w:t>.</w:t>
                  </w:r>
                  <w:r w:rsidRPr="00AA10A6">
                    <w:rPr>
                      <w:rFonts w:asciiTheme="minorHAnsi" w:hAnsiTheme="minorHAnsi" w:cs="Arial"/>
                      <w:color w:val="4F81BD" w:themeColor="accent1"/>
                      <w:sz w:val="18"/>
                      <w:szCs w:val="18"/>
                      <w:lang w:val="en-GB"/>
                    </w:rPr>
                    <w:t>20</w:t>
                  </w:r>
                </w:p>
              </w:tc>
            </w:tr>
            <w:tr w:rsidR="00921721" w:rsidRPr="007463B9" w14:paraId="469FD519"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5F103B"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City bus, electric (standard)</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1FE79EF"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A9878C7"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2.175</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5E318D" w14:textId="77777777" w:rsidR="00921721" w:rsidRPr="00AA10A6"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1 454.</w:t>
                  </w:r>
                  <w:r w:rsidRPr="00AA10A6">
                    <w:rPr>
                      <w:rFonts w:asciiTheme="minorHAnsi" w:hAnsiTheme="minorHAnsi" w:cs="Arial"/>
                      <w:color w:val="4F81BD" w:themeColor="accent1"/>
                      <w:sz w:val="18"/>
                      <w:szCs w:val="18"/>
                      <w:lang w:val="en-GB"/>
                    </w:rPr>
                    <w:t>38</w:t>
                  </w:r>
                </w:p>
              </w:tc>
            </w:tr>
          </w:tbl>
          <w:p w14:paraId="7CBF08FA" w14:textId="77777777" w:rsidR="00921721" w:rsidRPr="00AC5EF5" w:rsidRDefault="00921721" w:rsidP="00880D09">
            <w:pPr>
              <w:spacing w:after="120"/>
              <w:ind w:right="170"/>
              <w:jc w:val="both"/>
              <w:rPr>
                <w:rFonts w:asciiTheme="minorHAnsi" w:hAnsiTheme="minorHAnsi" w:cs="Arial"/>
                <w:b/>
                <w:i/>
                <w:sz w:val="16"/>
                <w:szCs w:val="16"/>
                <w:lang w:val="en-GB"/>
              </w:rPr>
            </w:pPr>
            <w:r w:rsidRPr="002C6855">
              <w:rPr>
                <w:rFonts w:asciiTheme="minorHAnsi" w:hAnsiTheme="minorHAnsi" w:cs="Arial"/>
                <w:b/>
                <w:i/>
                <w:sz w:val="16"/>
                <w:szCs w:val="16"/>
                <w:lang w:val="en-US"/>
              </w:rPr>
              <w:t xml:space="preserve">Source: </w:t>
            </w:r>
            <w:r>
              <w:rPr>
                <w:rFonts w:asciiTheme="minorHAnsi" w:hAnsiTheme="minorHAnsi" w:cs="Arial"/>
                <w:b/>
                <w:i/>
                <w:sz w:val="16"/>
                <w:szCs w:val="16"/>
                <w:lang w:val="en-GB"/>
              </w:rPr>
              <w:t xml:space="preserve">CUPT-JASPERS work based on </w:t>
            </w:r>
            <w:r w:rsidRPr="002C6855">
              <w:rPr>
                <w:rFonts w:asciiTheme="minorHAnsi" w:hAnsiTheme="minorHAnsi" w:cs="Arial"/>
                <w:b/>
                <w:i/>
                <w:sz w:val="16"/>
                <w:szCs w:val="16"/>
                <w:lang w:val="en-US"/>
              </w:rPr>
              <w:t>"EIB Project Carbon Footprint Methodologies", July 2020</w:t>
            </w:r>
            <w:r>
              <w:rPr>
                <w:rFonts w:asciiTheme="minorHAnsi" w:hAnsiTheme="minorHAnsi" w:cs="Arial"/>
                <w:b/>
                <w:i/>
                <w:sz w:val="16"/>
                <w:szCs w:val="16"/>
                <w:lang w:val="en-US"/>
              </w:rPr>
              <w:t xml:space="preserve">, and the </w:t>
            </w:r>
            <w:r w:rsidRPr="003A7E7C">
              <w:rPr>
                <w:rFonts w:asciiTheme="minorHAnsi" w:hAnsiTheme="minorHAnsi" w:cs="Arial"/>
                <w:b/>
                <w:i/>
                <w:sz w:val="16"/>
                <w:szCs w:val="16"/>
                <w:lang w:val="en-GB"/>
              </w:rPr>
              <w:t>national electricity grid GHG emission factor</w:t>
            </w:r>
            <w:r>
              <w:rPr>
                <w:rFonts w:asciiTheme="minorHAnsi" w:hAnsiTheme="minorHAnsi" w:cs="Arial"/>
                <w:b/>
                <w:i/>
                <w:sz w:val="16"/>
                <w:szCs w:val="16"/>
                <w:lang w:val="en-GB"/>
              </w:rPr>
              <w:t xml:space="preserve"> for 2019 as reported by </w:t>
            </w:r>
            <w:proofErr w:type="spellStart"/>
            <w:r>
              <w:rPr>
                <w:rFonts w:asciiTheme="minorHAnsi" w:hAnsiTheme="minorHAnsi" w:cs="Arial"/>
                <w:b/>
                <w:i/>
                <w:sz w:val="16"/>
                <w:szCs w:val="16"/>
                <w:lang w:val="en-GB"/>
              </w:rPr>
              <w:t>KOBiZE</w:t>
            </w:r>
            <w:proofErr w:type="spellEnd"/>
            <w:r>
              <w:rPr>
                <w:rFonts w:asciiTheme="minorHAnsi" w:hAnsiTheme="minorHAnsi" w:cs="Arial"/>
                <w:b/>
                <w:i/>
                <w:sz w:val="16"/>
                <w:szCs w:val="16"/>
                <w:lang w:val="en-GB"/>
              </w:rPr>
              <w:t xml:space="preserve"> (December 2020)</w:t>
            </w:r>
            <w:r w:rsidRPr="00AC5EF5">
              <w:rPr>
                <w:rFonts w:asciiTheme="minorHAnsi" w:hAnsiTheme="minorHAnsi" w:cs="Arial"/>
                <w:b/>
                <w:i/>
                <w:sz w:val="16"/>
                <w:szCs w:val="16"/>
                <w:lang w:val="en-GB"/>
              </w:rPr>
              <w:t xml:space="preserve">. </w:t>
            </w:r>
          </w:p>
          <w:p w14:paraId="47C86A69" w14:textId="77777777" w:rsidR="00921721" w:rsidRPr="002C6855" w:rsidRDefault="00921721" w:rsidP="00880D09">
            <w:pPr>
              <w:spacing w:after="120"/>
              <w:ind w:right="170"/>
              <w:jc w:val="both"/>
              <w:rPr>
                <w:rFonts w:asciiTheme="minorHAnsi" w:hAnsiTheme="minorHAnsi"/>
                <w:b/>
                <w:i/>
                <w:sz w:val="16"/>
                <w:szCs w:val="16"/>
                <w:lang w:val="en-US"/>
              </w:rPr>
            </w:pPr>
            <w:r w:rsidRPr="002C6855">
              <w:rPr>
                <w:rFonts w:asciiTheme="minorHAnsi" w:hAnsiTheme="minorHAnsi" w:cs="Arial"/>
                <w:b/>
                <w:i/>
                <w:sz w:val="16"/>
                <w:szCs w:val="16"/>
                <w:lang w:val="en-US"/>
              </w:rPr>
              <w:t>(*)</w:t>
            </w:r>
            <w:r>
              <w:rPr>
                <w:rFonts w:asciiTheme="minorHAnsi" w:hAnsiTheme="minorHAnsi" w:cs="Arial"/>
                <w:b/>
                <w:i/>
                <w:sz w:val="16"/>
                <w:szCs w:val="16"/>
                <w:lang w:val="en-US"/>
              </w:rPr>
              <w:t> </w:t>
            </w:r>
            <w:r w:rsidRPr="002C6855">
              <w:rPr>
                <w:rFonts w:asciiTheme="minorHAnsi" w:hAnsiTheme="minorHAnsi" w:cs="Arial"/>
                <w:b/>
                <w:i/>
                <w:sz w:val="16"/>
                <w:szCs w:val="16"/>
                <w:lang w:val="en-US"/>
              </w:rPr>
              <w:t xml:space="preserve">Total emissions related to the generation and transmission of grid electricity consumed by the </w:t>
            </w:r>
            <w:r>
              <w:rPr>
                <w:rFonts w:asciiTheme="minorHAnsi" w:hAnsiTheme="minorHAnsi" w:cs="Arial"/>
                <w:b/>
                <w:i/>
                <w:sz w:val="16"/>
                <w:szCs w:val="16"/>
                <w:lang w:val="en-US"/>
              </w:rPr>
              <w:t>vehicle</w:t>
            </w:r>
            <w:r w:rsidRPr="002C6855">
              <w:rPr>
                <w:rFonts w:asciiTheme="minorHAnsi" w:hAnsiTheme="minorHAnsi" w:cs="Arial"/>
                <w:b/>
                <w:i/>
                <w:sz w:val="16"/>
                <w:szCs w:val="16"/>
                <w:lang w:val="en-US"/>
              </w:rPr>
              <w:t xml:space="preserve"> and emissions related to the fuel consumption of the </w:t>
            </w:r>
            <w:r>
              <w:rPr>
                <w:rFonts w:asciiTheme="minorHAnsi" w:hAnsiTheme="minorHAnsi" w:cs="Arial"/>
                <w:b/>
                <w:i/>
                <w:sz w:val="16"/>
                <w:szCs w:val="16"/>
                <w:lang w:val="en-US"/>
              </w:rPr>
              <w:t>vehicle</w:t>
            </w:r>
            <w:r w:rsidRPr="002C6855">
              <w:rPr>
                <w:rFonts w:asciiTheme="minorHAnsi" w:hAnsiTheme="minorHAnsi" w:cs="Arial"/>
                <w:b/>
                <w:i/>
                <w:sz w:val="16"/>
                <w:szCs w:val="16"/>
                <w:lang w:val="en-US"/>
              </w:rPr>
              <w:t>.</w:t>
            </w:r>
          </w:p>
          <w:p w14:paraId="6EA72744" w14:textId="77777777" w:rsidR="00921721" w:rsidRPr="00632A68" w:rsidRDefault="00921721" w:rsidP="00880D09">
            <w:pPr>
              <w:pStyle w:val="anxnormal"/>
              <w:ind w:left="0"/>
              <w:rPr>
                <w:rFonts w:asciiTheme="minorHAnsi" w:hAnsiTheme="minorHAnsi"/>
                <w:lang w:val="en-GB" w:eastAsia="en-US"/>
              </w:rPr>
            </w:pPr>
            <w:r w:rsidRPr="00632A68">
              <w:rPr>
                <w:rFonts w:asciiTheme="minorHAnsi" w:hAnsiTheme="minorHAnsi"/>
                <w:lang w:val="en-GB" w:eastAsia="en-US"/>
              </w:rPr>
              <w:lastRenderedPageBreak/>
              <w:t xml:space="preserve"> </w:t>
            </w:r>
          </w:p>
          <w:p w14:paraId="5DC852C5" w14:textId="77777777" w:rsidR="00921721" w:rsidRPr="00632A68" w:rsidRDefault="00921721" w:rsidP="00880D09">
            <w:pPr>
              <w:pStyle w:val="anxnormal"/>
              <w:ind w:left="0"/>
              <w:rPr>
                <w:rFonts w:asciiTheme="minorHAnsi" w:hAnsiTheme="minorHAnsi"/>
                <w:lang w:val="en-GB" w:eastAsia="en-US"/>
              </w:rPr>
            </w:pPr>
          </w:p>
          <w:p w14:paraId="3FB73CA1" w14:textId="77777777" w:rsidR="00921721" w:rsidRPr="00ED063F" w:rsidRDefault="00921721" w:rsidP="00880D09">
            <w:pPr>
              <w:pStyle w:val="anxnormal"/>
              <w:keepNext/>
              <w:ind w:left="0"/>
              <w:rPr>
                <w:rFonts w:asciiTheme="minorHAnsi" w:hAnsiTheme="minorHAnsi"/>
                <w:u w:val="single"/>
                <w:lang w:val="en-GB" w:eastAsia="en-US"/>
              </w:rPr>
            </w:pPr>
            <w:r w:rsidRPr="00ED063F">
              <w:rPr>
                <w:rFonts w:asciiTheme="minorHAnsi" w:hAnsiTheme="minorHAnsi"/>
                <w:u w:val="single"/>
                <w:lang w:val="en-GB" w:eastAsia="en-US"/>
              </w:rPr>
              <w:t xml:space="preserve">Electricity Grid GHG emission factor and its evolution over time </w:t>
            </w:r>
          </w:p>
          <w:p w14:paraId="739DBA7C" w14:textId="77777777" w:rsidR="00921721" w:rsidRPr="003C3FD8" w:rsidRDefault="00921721" w:rsidP="00880D09">
            <w:pPr>
              <w:pStyle w:val="anxnormal"/>
              <w:ind w:left="0"/>
              <w:rPr>
                <w:rFonts w:asciiTheme="minorHAnsi" w:hAnsiTheme="minorHAnsi"/>
                <w:highlight w:val="yellow"/>
                <w:lang w:val="en-GB"/>
              </w:rPr>
            </w:pPr>
            <w:r w:rsidRPr="00ED063F">
              <w:rPr>
                <w:rFonts w:asciiTheme="minorHAnsi" w:hAnsiTheme="minorHAnsi"/>
                <w:lang w:val="en-GB"/>
              </w:rPr>
              <w:t>As above referred, the national electricity GHG emission factor is for the current base year (2021) considering the current energy mix in Poland. The evolution of this referred factor is estimated based on the above described approach referring to the adopted Energy Policy of Poland until 2040 (</w:t>
            </w:r>
            <w:proofErr w:type="spellStart"/>
            <w:r w:rsidRPr="00ED063F">
              <w:rPr>
                <w:rFonts w:asciiTheme="minorHAnsi" w:hAnsiTheme="minorHAnsi"/>
                <w:lang w:val="en-GB"/>
              </w:rPr>
              <w:t>Polityka</w:t>
            </w:r>
            <w:proofErr w:type="spellEnd"/>
            <w:r w:rsidRPr="00ED063F">
              <w:rPr>
                <w:rFonts w:asciiTheme="minorHAnsi" w:hAnsiTheme="minorHAnsi"/>
                <w:lang w:val="en-GB"/>
              </w:rPr>
              <w:t xml:space="preserve"> </w:t>
            </w:r>
            <w:proofErr w:type="spellStart"/>
            <w:r w:rsidRPr="00ED063F">
              <w:rPr>
                <w:rFonts w:asciiTheme="minorHAnsi" w:hAnsiTheme="minorHAnsi"/>
                <w:lang w:val="en-GB"/>
              </w:rPr>
              <w:t>Energetyczna</w:t>
            </w:r>
            <w:proofErr w:type="spellEnd"/>
            <w:r w:rsidRPr="00ED063F">
              <w:rPr>
                <w:rFonts w:asciiTheme="minorHAnsi" w:hAnsiTheme="minorHAnsi"/>
                <w:lang w:val="en-GB"/>
              </w:rPr>
              <w:t xml:space="preserve"> </w:t>
            </w:r>
            <w:proofErr w:type="spellStart"/>
            <w:r w:rsidRPr="00ED063F">
              <w:rPr>
                <w:rFonts w:asciiTheme="minorHAnsi" w:hAnsiTheme="minorHAnsi"/>
                <w:lang w:val="en-GB"/>
              </w:rPr>
              <w:t>Polski</w:t>
            </w:r>
            <w:proofErr w:type="spellEnd"/>
            <w:r w:rsidRPr="00ED063F">
              <w:rPr>
                <w:rFonts w:asciiTheme="minorHAnsi" w:hAnsiTheme="minorHAnsi"/>
                <w:lang w:val="en-GB"/>
              </w:rPr>
              <w:t xml:space="preserve"> do 2040</w:t>
            </w:r>
            <w:r>
              <w:rPr>
                <w:rFonts w:asciiTheme="minorHAnsi" w:hAnsiTheme="minorHAnsi"/>
                <w:lang w:val="en-GB"/>
              </w:rPr>
              <w:t> </w:t>
            </w:r>
            <w:r w:rsidRPr="00ED063F">
              <w:rPr>
                <w:rFonts w:asciiTheme="minorHAnsi" w:hAnsiTheme="minorHAnsi"/>
                <w:lang w:val="en-GB"/>
              </w:rPr>
              <w:t>r.) from 2</w:t>
            </w:r>
            <w:r w:rsidRPr="00ED063F">
              <w:rPr>
                <w:rFonts w:asciiTheme="minorHAnsi" w:hAnsiTheme="minorHAnsi"/>
                <w:vertAlign w:val="superscript"/>
                <w:lang w:val="en-GB"/>
              </w:rPr>
              <w:t>nd</w:t>
            </w:r>
            <w:r w:rsidRPr="00ED063F">
              <w:rPr>
                <w:rFonts w:asciiTheme="minorHAnsi" w:hAnsiTheme="minorHAnsi"/>
                <w:lang w:val="en-GB"/>
              </w:rPr>
              <w:t xml:space="preserve"> of February 2021. This document sets out the directions to progressively pursue climate objectives by increasing electricity produced from renewable and non-emission sources, thus reducing the amount of energy produced from fossil fuels (hard coal and lignite). </w:t>
            </w:r>
          </w:p>
          <w:p w14:paraId="05082AA0" w14:textId="77777777" w:rsidR="00921721" w:rsidRDefault="00921721" w:rsidP="00880D09">
            <w:pPr>
              <w:pStyle w:val="anxnormal"/>
              <w:ind w:left="0"/>
              <w:rPr>
                <w:rFonts w:asciiTheme="minorHAnsi" w:hAnsiTheme="minorHAnsi"/>
                <w:lang w:val="en-GB"/>
              </w:rPr>
            </w:pPr>
          </w:p>
          <w:p w14:paraId="2557EE1B" w14:textId="77777777" w:rsidR="00921721" w:rsidRDefault="00921721" w:rsidP="00880D09">
            <w:pPr>
              <w:pStyle w:val="anxnormal"/>
              <w:ind w:left="0"/>
              <w:rPr>
                <w:rFonts w:asciiTheme="minorHAnsi" w:hAnsiTheme="minorHAnsi"/>
                <w:lang w:val="en-GB"/>
              </w:rPr>
            </w:pPr>
          </w:p>
          <w:p w14:paraId="39563B34" w14:textId="77777777" w:rsidR="00921721" w:rsidRPr="00ED063F" w:rsidRDefault="00921721" w:rsidP="00880D09">
            <w:pPr>
              <w:pStyle w:val="anxnormal"/>
              <w:ind w:left="0"/>
              <w:rPr>
                <w:rFonts w:asciiTheme="minorHAnsi" w:hAnsiTheme="minorHAnsi"/>
                <w:lang w:val="en-GB"/>
              </w:rPr>
            </w:pPr>
            <w:r w:rsidRPr="00ED063F">
              <w:rPr>
                <w:rFonts w:asciiTheme="minorHAnsi" w:hAnsiTheme="minorHAnsi"/>
                <w:lang w:val="en-GB"/>
              </w:rPr>
              <w:t xml:space="preserve">On that basis, the table below presents the forecast for the national </w:t>
            </w:r>
            <w:r>
              <w:rPr>
                <w:rFonts w:asciiTheme="minorHAnsi" w:hAnsiTheme="minorHAnsi"/>
                <w:lang w:val="en-GB"/>
              </w:rPr>
              <w:t xml:space="preserve">grid </w:t>
            </w:r>
            <w:r w:rsidRPr="00ED063F">
              <w:rPr>
                <w:rFonts w:asciiTheme="minorHAnsi" w:hAnsiTheme="minorHAnsi"/>
                <w:lang w:val="en-GB"/>
              </w:rPr>
              <w:t>electricity GHG emission factor:</w:t>
            </w:r>
          </w:p>
          <w:tbl>
            <w:tblPr>
              <w:tblW w:w="6732" w:type="dxa"/>
              <w:tblLayout w:type="fixed"/>
              <w:tblLook w:val="04A0" w:firstRow="1" w:lastRow="0" w:firstColumn="1" w:lastColumn="0" w:noHBand="0" w:noVBand="1"/>
            </w:tblPr>
            <w:tblGrid>
              <w:gridCol w:w="1122"/>
              <w:gridCol w:w="1122"/>
              <w:gridCol w:w="1122"/>
              <w:gridCol w:w="1122"/>
              <w:gridCol w:w="1122"/>
              <w:gridCol w:w="1122"/>
            </w:tblGrid>
            <w:tr w:rsidR="00921721" w:rsidRPr="007463B9" w14:paraId="27CA7052" w14:textId="77777777" w:rsidTr="00880D09">
              <w:trPr>
                <w:trHeight w:hRule="exact" w:val="216"/>
              </w:trPr>
              <w:tc>
                <w:tcPr>
                  <w:tcW w:w="112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2A18FA"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ED063F">
                    <w:rPr>
                      <w:rFonts w:asciiTheme="minorHAnsi" w:eastAsia="Arial Narrow" w:hAnsiTheme="minorHAnsi" w:cs="Arial Narrow"/>
                      <w:b/>
                      <w:color w:val="FFFFFF"/>
                      <w:spacing w:val="-1"/>
                      <w:w w:val="108"/>
                      <w:position w:val="-1"/>
                      <w:sz w:val="18"/>
                      <w:szCs w:val="18"/>
                      <w:lang w:val="en-GB"/>
                    </w:rPr>
                    <w:t>Year</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60CF58E"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2021</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A350E0C"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ED063F">
                    <w:rPr>
                      <w:rFonts w:asciiTheme="minorHAnsi" w:eastAsia="Arial Narrow" w:hAnsiTheme="minorHAnsi" w:cs="Arial Narrow"/>
                      <w:b/>
                      <w:color w:val="FFFFFF"/>
                      <w:spacing w:val="-1"/>
                      <w:w w:val="108"/>
                      <w:position w:val="-1"/>
                      <w:sz w:val="18"/>
                      <w:szCs w:val="18"/>
                      <w:lang w:val="en-US"/>
                    </w:rPr>
                    <w:t>2025</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tcPr>
                <w:p w14:paraId="5068A472"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2030</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tcPr>
                <w:p w14:paraId="59798B32"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2035</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tcPr>
                <w:p w14:paraId="26DDD894"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2040</w:t>
                  </w:r>
                </w:p>
              </w:tc>
            </w:tr>
            <w:tr w:rsidR="00921721" w:rsidRPr="007463B9" w14:paraId="6AEFADCE" w14:textId="77777777" w:rsidTr="00880D09">
              <w:trPr>
                <w:trHeight w:val="73"/>
              </w:trPr>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43C95E" w14:textId="77777777" w:rsidR="00921721" w:rsidRPr="00ED063F"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lang w:val="en-US"/>
                    </w:rPr>
                  </w:pPr>
                  <w:r>
                    <w:rPr>
                      <w:rFonts w:asciiTheme="minorHAnsi" w:hAnsiTheme="minorHAnsi"/>
                      <w:color w:val="4F81BD" w:themeColor="accent1"/>
                      <w:sz w:val="18"/>
                      <w:lang w:val="en-GB"/>
                    </w:rPr>
                    <w:t>g</w:t>
                  </w:r>
                  <w:r w:rsidRPr="00ED063F">
                    <w:rPr>
                      <w:rFonts w:asciiTheme="minorHAnsi" w:hAnsiTheme="minorHAnsi"/>
                      <w:color w:val="4F81BD" w:themeColor="accent1"/>
                      <w:sz w:val="18"/>
                      <w:lang w:val="en-GB"/>
                    </w:rPr>
                    <w:t>CO</w:t>
                  </w:r>
                  <w:r w:rsidRPr="00ED063F">
                    <w:rPr>
                      <w:rFonts w:asciiTheme="minorHAnsi" w:hAnsiTheme="minorHAnsi"/>
                      <w:color w:val="4F81BD" w:themeColor="accent1"/>
                      <w:sz w:val="18"/>
                      <w:vertAlign w:val="subscript"/>
                      <w:lang w:val="en-GB"/>
                    </w:rPr>
                    <w:t>2</w:t>
                  </w:r>
                  <w:r w:rsidRPr="00ED063F">
                    <w:rPr>
                      <w:rFonts w:asciiTheme="minorHAnsi" w:hAnsiTheme="minorHAnsi"/>
                      <w:color w:val="4F81BD" w:themeColor="accent1"/>
                      <w:sz w:val="18"/>
                      <w:lang w:val="en-GB"/>
                    </w:rPr>
                    <w:t>e</w:t>
                  </w:r>
                  <w:r>
                    <w:rPr>
                      <w:rFonts w:asciiTheme="minorHAnsi" w:hAnsiTheme="minorHAnsi"/>
                      <w:color w:val="4F81BD" w:themeColor="accent1"/>
                      <w:sz w:val="18"/>
                      <w:lang w:val="en-GB"/>
                    </w:rPr>
                    <w:t xml:space="preserve">/ kWh </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90CAE0"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668.68</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C3E844"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645.57</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239F8"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579.05</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E669A96"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446.40</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454EDF"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373.31</w:t>
                  </w:r>
                </w:p>
              </w:tc>
            </w:tr>
          </w:tbl>
          <w:p w14:paraId="07EBAE27" w14:textId="77777777" w:rsidR="00921721" w:rsidRDefault="00921721" w:rsidP="00880D09">
            <w:pPr>
              <w:pStyle w:val="anxnormal"/>
              <w:ind w:left="0"/>
              <w:rPr>
                <w:rFonts w:asciiTheme="minorHAnsi" w:hAnsiTheme="minorHAnsi"/>
                <w:lang w:val="en-GB" w:eastAsia="en-US"/>
              </w:rPr>
            </w:pPr>
          </w:p>
          <w:p w14:paraId="7784BA73" w14:textId="77777777" w:rsidR="00921721" w:rsidRPr="00EC7A83" w:rsidRDefault="00921721" w:rsidP="00880D09">
            <w:pPr>
              <w:pStyle w:val="anxnormal"/>
              <w:ind w:left="0"/>
              <w:rPr>
                <w:rFonts w:asciiTheme="minorHAnsi" w:hAnsiTheme="minorHAnsi"/>
                <w:lang w:val="en-GB"/>
              </w:rPr>
            </w:pPr>
            <w:r w:rsidRPr="00EC7A83">
              <w:rPr>
                <w:rFonts w:asciiTheme="minorHAnsi" w:hAnsiTheme="minorHAnsi"/>
                <w:lang w:val="en-GB" w:eastAsia="en-US"/>
              </w:rPr>
              <w:t>The unit costs for the intermediate years are estimated based on linear interpolation of the above defined unit costs</w:t>
            </w:r>
            <w:r w:rsidRPr="00EC7A83">
              <w:rPr>
                <w:rFonts w:asciiTheme="minorHAnsi" w:hAnsiTheme="minorHAnsi"/>
                <w:lang w:val="en-GB"/>
              </w:rPr>
              <w:t xml:space="preserve"> and from 2040 onwards, it will be considered constant. The forecast values of the emission factors, both for the national electricity grid and for the categories of electric road vehicles mentioned above, are provided in the related </w:t>
            </w:r>
            <w:r w:rsidRPr="00EC7A83">
              <w:rPr>
                <w:rFonts w:asciiTheme="minorHAnsi" w:hAnsiTheme="minorHAnsi"/>
                <w:b/>
                <w:i/>
                <w:lang w:val="en-GB"/>
              </w:rPr>
              <w:t>Excel file</w:t>
            </w:r>
            <w:r w:rsidRPr="00EC7A83">
              <w:rPr>
                <w:rFonts w:asciiTheme="minorHAnsi" w:hAnsiTheme="minorHAnsi"/>
                <w:lang w:val="en-GB"/>
              </w:rPr>
              <w:t xml:space="preserve">. </w:t>
            </w:r>
          </w:p>
          <w:p w14:paraId="39F1B507" w14:textId="77777777" w:rsidR="00921721" w:rsidRPr="00632A68" w:rsidRDefault="00921721" w:rsidP="00880D09">
            <w:pPr>
              <w:pStyle w:val="anxnormal"/>
              <w:ind w:left="0"/>
              <w:rPr>
                <w:rFonts w:asciiTheme="minorHAnsi" w:hAnsiTheme="minorHAnsi"/>
                <w:lang w:val="en-GB"/>
              </w:rPr>
            </w:pPr>
            <w:r w:rsidRPr="00EC7A83">
              <w:rPr>
                <w:rFonts w:asciiTheme="minorHAnsi" w:hAnsiTheme="minorHAnsi"/>
                <w:lang w:val="en-GB"/>
              </w:rPr>
              <w:t xml:space="preserve">The above values are to be applied to electric powered vehicle fleet i.e. electric road vehicles and </w:t>
            </w:r>
            <w:r>
              <w:rPr>
                <w:rFonts w:asciiTheme="minorHAnsi" w:hAnsiTheme="minorHAnsi"/>
                <w:lang w:val="en-GB"/>
              </w:rPr>
              <w:t xml:space="preserve">railway </w:t>
            </w:r>
            <w:r w:rsidRPr="00EC7A83">
              <w:rPr>
                <w:rFonts w:asciiTheme="minorHAnsi" w:hAnsiTheme="minorHAnsi"/>
                <w:lang w:val="en-GB"/>
              </w:rPr>
              <w:t>trains as relevant for the project.</w:t>
            </w:r>
          </w:p>
          <w:p w14:paraId="08BAB313" w14:textId="77777777" w:rsidR="00921721" w:rsidRPr="00632A68" w:rsidRDefault="00921721" w:rsidP="00880D09">
            <w:pPr>
              <w:pStyle w:val="anxnormal"/>
              <w:ind w:left="0"/>
              <w:rPr>
                <w:rFonts w:asciiTheme="minorHAnsi" w:hAnsiTheme="minorHAnsi"/>
                <w:lang w:val="en-GB" w:eastAsia="en-US"/>
              </w:rPr>
            </w:pPr>
          </w:p>
          <w:p w14:paraId="7D749818" w14:textId="77777777" w:rsidR="00921721" w:rsidRDefault="00921721" w:rsidP="00880D09">
            <w:pPr>
              <w:pStyle w:val="anxnormal"/>
              <w:ind w:left="0"/>
              <w:rPr>
                <w:rFonts w:asciiTheme="minorHAnsi" w:hAnsiTheme="minorHAnsi"/>
                <w:u w:val="single"/>
                <w:lang w:val="en-GB" w:eastAsia="en-US"/>
              </w:rPr>
            </w:pPr>
          </w:p>
          <w:p w14:paraId="31558137" w14:textId="77777777" w:rsidR="00921721" w:rsidRPr="00632A68" w:rsidRDefault="00921721" w:rsidP="00880D09">
            <w:pPr>
              <w:pStyle w:val="anxnormal"/>
              <w:ind w:left="0"/>
              <w:rPr>
                <w:rFonts w:asciiTheme="minorHAnsi" w:hAnsiTheme="minorHAnsi"/>
                <w:u w:val="single"/>
                <w:lang w:val="en-GB" w:eastAsia="en-US"/>
              </w:rPr>
            </w:pPr>
            <w:r w:rsidRPr="00632A68">
              <w:rPr>
                <w:rFonts w:asciiTheme="minorHAnsi" w:hAnsiTheme="minorHAnsi"/>
                <w:u w:val="single"/>
                <w:lang w:val="en-GB" w:eastAsia="en-US"/>
              </w:rPr>
              <w:t xml:space="preserve">LV </w:t>
            </w:r>
            <w:r>
              <w:rPr>
                <w:rFonts w:asciiTheme="minorHAnsi" w:hAnsiTheme="minorHAnsi"/>
                <w:u w:val="single"/>
                <w:lang w:val="en-GB" w:eastAsia="en-US"/>
              </w:rPr>
              <w:t>–</w:t>
            </w:r>
            <w:r w:rsidRPr="00632A68">
              <w:rPr>
                <w:rFonts w:asciiTheme="minorHAnsi" w:hAnsiTheme="minorHAnsi"/>
                <w:u w:val="single"/>
                <w:lang w:val="en-GB" w:eastAsia="en-US"/>
              </w:rPr>
              <w:t xml:space="preserve"> Fleet composition</w:t>
            </w:r>
          </w:p>
          <w:p w14:paraId="384AF1E6" w14:textId="77777777" w:rsidR="00921721" w:rsidRPr="00FF1EB0" w:rsidRDefault="00921721" w:rsidP="00880D09">
            <w:pPr>
              <w:pStyle w:val="anxnormal"/>
              <w:ind w:left="0"/>
              <w:rPr>
                <w:rFonts w:asciiTheme="minorHAnsi" w:hAnsiTheme="minorHAnsi"/>
                <w:lang w:val="en-GB" w:eastAsia="en-US"/>
              </w:rPr>
            </w:pPr>
            <w:r>
              <w:rPr>
                <w:rFonts w:asciiTheme="minorHAnsi" w:hAnsiTheme="minorHAnsi"/>
                <w:lang w:val="en-GB" w:eastAsia="en-US"/>
              </w:rPr>
              <w:t>Emission factors for current combustion vehicle fleet presented in the tables</w:t>
            </w:r>
            <w:r w:rsidRPr="00983DF9">
              <w:rPr>
                <w:rFonts w:asciiTheme="minorHAnsi" w:hAnsiTheme="minorHAnsi"/>
                <w:lang w:val="en-GB" w:eastAsia="en-US"/>
              </w:rPr>
              <w:t xml:space="preserve"> above are based on current </w:t>
            </w:r>
            <w:r>
              <w:rPr>
                <w:rFonts w:asciiTheme="minorHAnsi" w:hAnsiTheme="minorHAnsi"/>
                <w:lang w:val="en-GB" w:eastAsia="en-US"/>
              </w:rPr>
              <w:t>combustion LV</w:t>
            </w:r>
            <w:r w:rsidRPr="00983DF9">
              <w:rPr>
                <w:rFonts w:asciiTheme="minorHAnsi" w:hAnsiTheme="minorHAnsi"/>
                <w:lang w:val="en-GB" w:eastAsia="en-US"/>
              </w:rPr>
              <w:t xml:space="preserve"> </w:t>
            </w:r>
            <w:r w:rsidRPr="00CF54F6">
              <w:rPr>
                <w:rFonts w:asciiTheme="minorHAnsi" w:hAnsiTheme="minorHAnsi"/>
                <w:lang w:val="en-GB" w:eastAsia="en-US"/>
              </w:rPr>
              <w:t xml:space="preserve">fuel </w:t>
            </w:r>
            <w:r>
              <w:rPr>
                <w:rFonts w:asciiTheme="minorHAnsi" w:hAnsiTheme="minorHAnsi"/>
                <w:lang w:val="en-GB" w:eastAsia="en-US"/>
              </w:rPr>
              <w:t xml:space="preserve">type </w:t>
            </w:r>
            <w:r w:rsidRPr="00CF54F6">
              <w:rPr>
                <w:rFonts w:asciiTheme="minorHAnsi" w:hAnsiTheme="minorHAnsi"/>
                <w:lang w:val="en-GB" w:eastAsia="en-US"/>
              </w:rPr>
              <w:t>consumption</w:t>
            </w:r>
            <w:r>
              <w:rPr>
                <w:rFonts w:asciiTheme="minorHAnsi" w:hAnsiTheme="minorHAnsi"/>
                <w:lang w:val="en-GB" w:eastAsia="en-US"/>
              </w:rPr>
              <w:t xml:space="preserve"> </w:t>
            </w:r>
            <w:r w:rsidRPr="00983DF9">
              <w:rPr>
                <w:rFonts w:asciiTheme="minorHAnsi" w:hAnsiTheme="minorHAnsi"/>
                <w:lang w:val="en-GB" w:eastAsia="en-US"/>
              </w:rPr>
              <w:t xml:space="preserve">fleet structure, </w:t>
            </w:r>
            <w:r>
              <w:rPr>
                <w:rFonts w:asciiTheme="minorHAnsi" w:hAnsiTheme="minorHAnsi"/>
                <w:lang w:val="en-GB" w:eastAsia="en-US"/>
              </w:rPr>
              <w:t>assumed to be constant in the future and constituted, as mentioned, by</w:t>
            </w:r>
            <w:r w:rsidRPr="00983DF9">
              <w:rPr>
                <w:rFonts w:asciiTheme="minorHAnsi" w:hAnsiTheme="minorHAnsi"/>
                <w:lang w:val="en-GB" w:eastAsia="en-US"/>
              </w:rPr>
              <w:t>: petrol (</w:t>
            </w:r>
            <w:r>
              <w:rPr>
                <w:rFonts w:asciiTheme="minorHAnsi" w:hAnsiTheme="minorHAnsi"/>
                <w:lang w:val="en-GB" w:eastAsia="en-US"/>
              </w:rPr>
              <w:t>67.9</w:t>
            </w:r>
            <w:r w:rsidRPr="00983DF9">
              <w:rPr>
                <w:rFonts w:asciiTheme="minorHAnsi" w:hAnsiTheme="minorHAnsi"/>
                <w:lang w:val="en-GB" w:eastAsia="en-US"/>
              </w:rPr>
              <w:t xml:space="preserve">%) and </w:t>
            </w:r>
            <w:r w:rsidRPr="00983DF9">
              <w:rPr>
                <w:rFonts w:asciiTheme="minorHAnsi" w:hAnsiTheme="minorHAnsi"/>
                <w:lang w:val="en-GB" w:eastAsia="en-US"/>
              </w:rPr>
              <w:lastRenderedPageBreak/>
              <w:t>Diesel (</w:t>
            </w:r>
            <w:r>
              <w:rPr>
                <w:rFonts w:asciiTheme="minorHAnsi" w:hAnsiTheme="minorHAnsi"/>
                <w:lang w:val="en-GB" w:eastAsia="en-US"/>
              </w:rPr>
              <w:t>32.1</w:t>
            </w:r>
            <w:r w:rsidRPr="00983DF9">
              <w:rPr>
                <w:rFonts w:asciiTheme="minorHAnsi" w:hAnsiTheme="minorHAnsi"/>
                <w:lang w:val="en-GB" w:eastAsia="en-US"/>
              </w:rPr>
              <w:t xml:space="preserve">%). </w:t>
            </w:r>
            <w:r>
              <w:rPr>
                <w:rFonts w:asciiTheme="minorHAnsi" w:hAnsiTheme="minorHAnsi"/>
                <w:lang w:val="en-GB" w:eastAsia="en-US"/>
              </w:rPr>
              <w:t xml:space="preserve">The forecasts for fleet composition evolution to be considered are </w:t>
            </w:r>
            <w:proofErr w:type="spellStart"/>
            <w:r>
              <w:rPr>
                <w:rFonts w:asciiTheme="minorHAnsi" w:hAnsiTheme="minorHAnsi"/>
                <w:lang w:val="en-GB" w:eastAsia="en-US"/>
              </w:rPr>
              <w:t>presetend</w:t>
            </w:r>
            <w:proofErr w:type="spellEnd"/>
            <w:r>
              <w:rPr>
                <w:rFonts w:asciiTheme="minorHAnsi" w:hAnsiTheme="minorHAnsi"/>
                <w:lang w:val="en-GB" w:eastAsia="en-US"/>
              </w:rPr>
              <w:t xml:space="preserve"> in VOC category above.</w:t>
            </w:r>
          </w:p>
          <w:p w14:paraId="2E2ED302" w14:textId="77777777" w:rsidR="00921721" w:rsidRPr="00FF1EB0" w:rsidRDefault="00921721" w:rsidP="00880D09">
            <w:pPr>
              <w:pStyle w:val="anxnormal"/>
              <w:ind w:left="0"/>
              <w:rPr>
                <w:rFonts w:asciiTheme="minorHAnsi" w:hAnsiTheme="minorHAnsi"/>
                <w:lang w:val="en-GB" w:eastAsia="en-US"/>
              </w:rPr>
            </w:pPr>
          </w:p>
          <w:p w14:paraId="5561AE05" w14:textId="77777777" w:rsidR="00921721" w:rsidRPr="00EF0D43" w:rsidRDefault="00921721" w:rsidP="00880D09">
            <w:pPr>
              <w:pStyle w:val="anxnormal"/>
              <w:ind w:left="0"/>
              <w:rPr>
                <w:rFonts w:asciiTheme="minorHAnsi" w:hAnsiTheme="minorHAnsi"/>
                <w:lang w:val="en-GB" w:eastAsia="en-US"/>
              </w:rPr>
            </w:pPr>
          </w:p>
          <w:p w14:paraId="1F5DDBCC" w14:textId="77777777" w:rsidR="00921721" w:rsidRDefault="00921721" w:rsidP="00880D09">
            <w:pPr>
              <w:pStyle w:val="anxnormal"/>
              <w:keepNext/>
              <w:spacing w:after="120"/>
              <w:ind w:left="0"/>
              <w:rPr>
                <w:rFonts w:asciiTheme="minorHAnsi" w:hAnsiTheme="minorHAnsi"/>
                <w:u w:val="single"/>
                <w:lang w:val="en-GB" w:eastAsia="en-US"/>
              </w:rPr>
            </w:pPr>
            <w:r w:rsidRPr="002C6855">
              <w:rPr>
                <w:rFonts w:asciiTheme="minorHAnsi" w:hAnsiTheme="minorHAnsi"/>
                <w:u w:val="single"/>
                <w:lang w:val="en-GB" w:eastAsia="en-US"/>
              </w:rPr>
              <w:t>Rail modes</w:t>
            </w:r>
          </w:p>
          <w:p w14:paraId="6EC5DCC0" w14:textId="77777777" w:rsidR="00921721" w:rsidRPr="00171C62" w:rsidRDefault="00921721" w:rsidP="00880D09">
            <w:pPr>
              <w:pStyle w:val="anxnormal"/>
              <w:ind w:left="0"/>
              <w:rPr>
                <w:rFonts w:asciiTheme="minorHAnsi" w:hAnsiTheme="minorHAnsi"/>
                <w:lang w:val="en-GB" w:eastAsia="en-US"/>
              </w:rPr>
            </w:pPr>
            <w:r w:rsidRPr="00171C62">
              <w:rPr>
                <w:rFonts w:asciiTheme="minorHAnsi" w:hAnsiTheme="minorHAnsi"/>
                <w:lang w:val="en-GB" w:eastAsia="en-US"/>
              </w:rPr>
              <w:t xml:space="preserve">The tables below present GHG emission factors for railway trains which result from </w:t>
            </w:r>
            <w:proofErr w:type="spellStart"/>
            <w:r w:rsidRPr="00171C62">
              <w:rPr>
                <w:rFonts w:asciiTheme="minorHAnsi" w:hAnsiTheme="minorHAnsi"/>
                <w:lang w:val="en-GB" w:eastAsia="en-US"/>
              </w:rPr>
              <w:t>mutlipling</w:t>
            </w:r>
            <w:proofErr w:type="spellEnd"/>
            <w:r w:rsidRPr="00171C62">
              <w:rPr>
                <w:rFonts w:asciiTheme="minorHAnsi" w:hAnsiTheme="minorHAnsi"/>
                <w:lang w:val="en-GB" w:eastAsia="en-US"/>
              </w:rPr>
              <w:t xml:space="preserve"> the energy consumption rates (as per table below) by the national grid GHG emission factor (i.e.</w:t>
            </w:r>
            <w:r w:rsidRPr="00171C62">
              <w:rPr>
                <w:lang w:val="en-US"/>
              </w:rPr>
              <w:t xml:space="preserve"> </w:t>
            </w:r>
            <w:r w:rsidRPr="00171C62">
              <w:rPr>
                <w:rFonts w:asciiTheme="minorHAnsi" w:hAnsiTheme="minorHAnsi"/>
                <w:lang w:val="en-GB" w:eastAsia="en-US"/>
              </w:rPr>
              <w:t>668.68 gCO</w:t>
            </w:r>
            <w:r w:rsidRPr="00506A2F">
              <w:rPr>
                <w:rFonts w:asciiTheme="minorHAnsi" w:hAnsiTheme="minorHAnsi"/>
                <w:vertAlign w:val="subscript"/>
                <w:lang w:val="en-GB" w:eastAsia="en-US"/>
              </w:rPr>
              <w:t>2</w:t>
            </w:r>
            <w:r w:rsidRPr="00171C62">
              <w:rPr>
                <w:rFonts w:asciiTheme="minorHAnsi" w:hAnsiTheme="minorHAnsi"/>
                <w:lang w:val="en-GB" w:eastAsia="en-US"/>
              </w:rPr>
              <w:t xml:space="preserve">/kWh). These emission factors are for the current base year (2021) and consider the current energy mix in Poland. Therefore, the forecast for the evolution of the national </w:t>
            </w:r>
            <w:r>
              <w:rPr>
                <w:rFonts w:asciiTheme="minorHAnsi" w:hAnsiTheme="minorHAnsi"/>
                <w:lang w:val="en-GB" w:eastAsia="en-US"/>
              </w:rPr>
              <w:t xml:space="preserve">grid electricity </w:t>
            </w:r>
            <w:r w:rsidRPr="00171C62">
              <w:rPr>
                <w:rFonts w:asciiTheme="minorHAnsi" w:hAnsiTheme="minorHAnsi"/>
                <w:lang w:val="en-GB" w:eastAsia="en-US"/>
              </w:rPr>
              <w:t xml:space="preserve">GHG emission factor are also to be applied to obtain the respective GHG emission factors </w:t>
            </w:r>
            <w:r>
              <w:rPr>
                <w:rFonts w:asciiTheme="minorHAnsi" w:hAnsiTheme="minorHAnsi"/>
                <w:lang w:val="en-GB" w:eastAsia="en-US"/>
              </w:rPr>
              <w:t xml:space="preserve">of railway trains </w:t>
            </w:r>
            <w:r w:rsidRPr="00171C62">
              <w:rPr>
                <w:rFonts w:asciiTheme="minorHAnsi" w:hAnsiTheme="minorHAnsi"/>
                <w:lang w:val="en-GB" w:eastAsia="en-US"/>
              </w:rPr>
              <w:t xml:space="preserve">over the reference period. </w:t>
            </w:r>
          </w:p>
          <w:p w14:paraId="37B2A211" w14:textId="77777777" w:rsidR="00921721" w:rsidRPr="00EC7A83" w:rsidRDefault="00921721" w:rsidP="00880D09">
            <w:pPr>
              <w:pStyle w:val="anxnormal"/>
              <w:ind w:left="0"/>
              <w:rPr>
                <w:rFonts w:asciiTheme="minorHAnsi" w:hAnsiTheme="minorHAnsi"/>
                <w:lang w:val="en-GB" w:eastAsia="en-US"/>
              </w:rPr>
            </w:pPr>
            <w:r w:rsidRPr="00EC7A83">
              <w:rPr>
                <w:rFonts w:asciiTheme="minorHAnsi" w:hAnsiTheme="minorHAnsi"/>
                <w:lang w:val="en-GB" w:eastAsia="en-US"/>
              </w:rPr>
              <w:t xml:space="preserve">This does not apply to Diesel trains. </w:t>
            </w:r>
          </w:p>
          <w:p w14:paraId="5B004ACE" w14:textId="77777777" w:rsidR="00921721" w:rsidRPr="002A1417" w:rsidRDefault="00921721" w:rsidP="00880D09">
            <w:pPr>
              <w:pStyle w:val="anxnormal"/>
              <w:ind w:left="0"/>
              <w:rPr>
                <w:rFonts w:asciiTheme="minorHAnsi" w:hAnsiTheme="minorHAnsi"/>
                <w:lang w:val="en-US" w:eastAsia="en-US"/>
              </w:rPr>
            </w:pPr>
            <w:r w:rsidRPr="00EC7A83">
              <w:rPr>
                <w:rFonts w:asciiTheme="minorHAnsi" w:hAnsiTheme="minorHAnsi"/>
                <w:lang w:val="en-GB" w:eastAsia="en-US"/>
              </w:rPr>
              <w:t xml:space="preserve">The forecast values of the emission factors for railway trains are provided in the related </w:t>
            </w:r>
            <w:r w:rsidRPr="00EC7A83">
              <w:rPr>
                <w:rFonts w:asciiTheme="minorHAnsi" w:hAnsiTheme="minorHAnsi"/>
                <w:b/>
                <w:i/>
                <w:lang w:val="en-GB" w:eastAsia="en-US"/>
              </w:rPr>
              <w:t>Excel file</w:t>
            </w:r>
            <w:r w:rsidRPr="00EC7A83">
              <w:rPr>
                <w:rFonts w:asciiTheme="minorHAnsi" w:hAnsiTheme="minorHAnsi"/>
                <w:lang w:val="en-GB" w:eastAsia="en-US"/>
              </w:rPr>
              <w:t>.</w:t>
            </w:r>
            <w:r>
              <w:rPr>
                <w:rFonts w:asciiTheme="minorHAnsi" w:hAnsiTheme="minorHAnsi"/>
                <w:lang w:val="en-GB" w:eastAsia="en-US"/>
              </w:rPr>
              <w:t xml:space="preserve"> </w:t>
            </w:r>
          </w:p>
          <w:p w14:paraId="35429881" w14:textId="77777777" w:rsidR="00921721" w:rsidRDefault="00921721" w:rsidP="00880D09">
            <w:pPr>
              <w:pStyle w:val="anxnormal"/>
              <w:ind w:left="0"/>
              <w:rPr>
                <w:rFonts w:asciiTheme="minorHAnsi" w:hAnsiTheme="minorHAnsi"/>
                <w:lang w:val="en-GB" w:eastAsia="en-US"/>
              </w:rPr>
            </w:pPr>
          </w:p>
          <w:p w14:paraId="56E15445" w14:textId="77777777" w:rsidR="00921721" w:rsidRPr="00596C6B" w:rsidRDefault="00921721" w:rsidP="00880D09">
            <w:pPr>
              <w:pStyle w:val="anxnormal"/>
              <w:ind w:left="0"/>
              <w:rPr>
                <w:rFonts w:asciiTheme="minorHAnsi" w:hAnsiTheme="minorHAnsi"/>
                <w:lang w:val="en-GB" w:eastAsia="en-US"/>
              </w:rPr>
            </w:pPr>
          </w:p>
          <w:tbl>
            <w:tblPr>
              <w:tblW w:w="6707" w:type="dxa"/>
              <w:tblLayout w:type="fixed"/>
              <w:tblLook w:val="04A0" w:firstRow="1" w:lastRow="0" w:firstColumn="1" w:lastColumn="0" w:noHBand="0" w:noVBand="1"/>
            </w:tblPr>
            <w:tblGrid>
              <w:gridCol w:w="1129"/>
              <w:gridCol w:w="2268"/>
              <w:gridCol w:w="1559"/>
              <w:gridCol w:w="1751"/>
            </w:tblGrid>
            <w:tr w:rsidR="00921721" w:rsidRPr="007463B9" w14:paraId="50DBA9D4" w14:textId="77777777" w:rsidTr="00880D09">
              <w:trPr>
                <w:trHeight w:hRule="exact" w:val="794"/>
              </w:trPr>
              <w:tc>
                <w:tcPr>
                  <w:tcW w:w="112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D6AB8E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Passenger</w:t>
                  </w:r>
                </w:p>
              </w:tc>
              <w:tc>
                <w:tcPr>
                  <w:tcW w:w="2268"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2243531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5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0BD7CB3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Energy consumption (kWh/ seat</w:t>
                  </w:r>
                  <w:r w:rsidRPr="006856C6">
                    <w:rPr>
                      <w:rFonts w:asciiTheme="minorHAnsi" w:hAnsiTheme="minorHAnsi" w:cs="Arial"/>
                      <w:b/>
                      <w:bCs/>
                      <w:color w:val="FFFFFF"/>
                      <w:sz w:val="18"/>
                      <w:szCs w:val="18"/>
                      <w:lang w:val="en-GB"/>
                    </w:rPr>
                    <w:t>-km)</w:t>
                  </w:r>
                  <w:r>
                    <w:rPr>
                      <w:rFonts w:asciiTheme="minorHAnsi" w:hAnsiTheme="minorHAnsi" w:cs="Arial"/>
                      <w:b/>
                      <w:bCs/>
                      <w:color w:val="FFFFFF"/>
                      <w:sz w:val="18"/>
                      <w:szCs w:val="18"/>
                      <w:lang w:val="en-GB"/>
                    </w:rPr>
                    <w:t xml:space="preserve"> </w:t>
                  </w:r>
                </w:p>
              </w:tc>
              <w:tc>
                <w:tcPr>
                  <w:tcW w:w="1751"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709C9EE0" w14:textId="77777777" w:rsidR="00921721" w:rsidRPr="00075638" w:rsidRDefault="00921721" w:rsidP="00880D09">
                  <w:pPr>
                    <w:snapToGrid w:val="0"/>
                    <w:spacing w:before="20" w:after="20"/>
                    <w:jc w:val="center"/>
                    <w:rPr>
                      <w:rFonts w:asciiTheme="minorHAnsi" w:hAnsiTheme="minorHAnsi" w:cs="Arial"/>
                      <w:b/>
                      <w:bCs/>
                      <w:color w:val="FFFFFF"/>
                      <w:sz w:val="18"/>
                      <w:szCs w:val="18"/>
                      <w:lang w:val="en-GB"/>
                    </w:rPr>
                  </w:pPr>
                  <w:r w:rsidRPr="00075638">
                    <w:rPr>
                      <w:rFonts w:asciiTheme="minorHAnsi" w:hAnsiTheme="minorHAnsi" w:cs="Arial"/>
                      <w:b/>
                      <w:bCs/>
                      <w:color w:val="FFFFFF"/>
                      <w:sz w:val="18"/>
                      <w:szCs w:val="18"/>
                      <w:lang w:val="en-GB"/>
                    </w:rPr>
                    <w:t xml:space="preserve">GHG emissions factor </w:t>
                  </w:r>
                  <w:r>
                    <w:rPr>
                      <w:rFonts w:asciiTheme="minorHAnsi" w:hAnsiTheme="minorHAnsi" w:cs="Arial"/>
                      <w:b/>
                      <w:bCs/>
                      <w:color w:val="FFFFFF"/>
                      <w:sz w:val="18"/>
                      <w:szCs w:val="18"/>
                      <w:lang w:val="en-GB"/>
                    </w:rPr>
                    <w:t>2021</w:t>
                  </w:r>
                  <w:r w:rsidRPr="00075638">
                    <w:rPr>
                      <w:rFonts w:asciiTheme="minorHAnsi" w:hAnsiTheme="minorHAnsi" w:cs="Arial"/>
                      <w:b/>
                      <w:bCs/>
                      <w:color w:val="FFFFFF"/>
                      <w:sz w:val="18"/>
                      <w:szCs w:val="18"/>
                      <w:lang w:val="en-US"/>
                    </w:rPr>
                    <w:t>(*)</w:t>
                  </w:r>
                </w:p>
                <w:p w14:paraId="4387EEA9" w14:textId="77777777" w:rsidR="00921721" w:rsidRPr="00075638" w:rsidRDefault="00921721" w:rsidP="00880D09">
                  <w:pPr>
                    <w:snapToGrid w:val="0"/>
                    <w:spacing w:before="20" w:after="20"/>
                    <w:jc w:val="center"/>
                    <w:rPr>
                      <w:rFonts w:asciiTheme="minorHAnsi" w:hAnsiTheme="minorHAnsi" w:cs="Arial"/>
                      <w:b/>
                      <w:bCs/>
                      <w:color w:val="FFFFFF"/>
                      <w:sz w:val="18"/>
                      <w:szCs w:val="18"/>
                      <w:lang w:val="en-GB"/>
                    </w:rPr>
                  </w:pPr>
                  <w:r w:rsidRPr="00075638">
                    <w:rPr>
                      <w:rFonts w:asciiTheme="minorHAnsi" w:hAnsiTheme="minorHAnsi" w:cs="Arial"/>
                      <w:b/>
                      <w:bCs/>
                      <w:color w:val="FFFFFF"/>
                      <w:sz w:val="18"/>
                      <w:szCs w:val="18"/>
                      <w:lang w:val="en-GB"/>
                    </w:rPr>
                    <w:t>[gCO</w:t>
                  </w:r>
                  <w:r w:rsidRPr="00075638">
                    <w:rPr>
                      <w:rFonts w:asciiTheme="minorHAnsi" w:hAnsiTheme="minorHAnsi" w:cs="Arial"/>
                      <w:b/>
                      <w:bCs/>
                      <w:color w:val="FFFFFF"/>
                      <w:sz w:val="18"/>
                      <w:szCs w:val="18"/>
                      <w:vertAlign w:val="subscript"/>
                      <w:lang w:val="en-GB"/>
                    </w:rPr>
                    <w:t>2</w:t>
                  </w:r>
                  <w:r w:rsidRPr="00075638">
                    <w:rPr>
                      <w:rFonts w:asciiTheme="minorHAnsi" w:hAnsiTheme="minorHAnsi" w:cs="Arial"/>
                      <w:b/>
                      <w:bCs/>
                      <w:color w:val="FFFFFF"/>
                      <w:sz w:val="18"/>
                      <w:szCs w:val="18"/>
                      <w:lang w:val="en-GB"/>
                    </w:rPr>
                    <w:t xml:space="preserve">e/ seat-km] </w:t>
                  </w:r>
                </w:p>
              </w:tc>
            </w:tr>
            <w:tr w:rsidR="00921721" w:rsidRPr="006856C6" w14:paraId="16812365" w14:textId="77777777" w:rsidTr="00880D09">
              <w:trPr>
                <w:trHeight w:val="194"/>
              </w:trPr>
              <w:tc>
                <w:tcPr>
                  <w:tcW w:w="1129" w:type="dxa"/>
                  <w:vMerge w:val="restart"/>
                  <w:tcBorders>
                    <w:top w:val="single" w:sz="4" w:space="0" w:color="FFFFFF"/>
                    <w:left w:val="single" w:sz="4" w:space="0" w:color="FFFFFF"/>
                    <w:right w:val="nil"/>
                  </w:tcBorders>
                  <w:shd w:val="clear" w:color="auto" w:fill="DBE5F1" w:themeFill="accent1" w:themeFillTint="33"/>
                  <w:vAlign w:val="center"/>
                </w:tcPr>
                <w:p w14:paraId="160EFB17"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7C3695C"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 all types</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EADDD9D"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0.031</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F1BBF27"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43</w:t>
                  </w:r>
                  <w:r>
                    <w:rPr>
                      <w:rFonts w:asciiTheme="minorHAnsi" w:hAnsiTheme="minorHAnsi" w:cs="Arial"/>
                      <w:color w:val="4F81BD" w:themeColor="accent1"/>
                      <w:sz w:val="18"/>
                      <w:szCs w:val="18"/>
                      <w:lang w:val="en-GB"/>
                    </w:rPr>
                    <w:t xml:space="preserve"> </w:t>
                  </w:r>
                </w:p>
              </w:tc>
            </w:tr>
            <w:tr w:rsidR="00921721" w:rsidRPr="006856C6" w14:paraId="7785B931"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7337A6A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900D053"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Regional/ Suburban</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F44C59C"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0.025</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C5DDA1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72</w:t>
                  </w:r>
                  <w:r>
                    <w:rPr>
                      <w:rFonts w:asciiTheme="minorHAnsi" w:hAnsiTheme="minorHAnsi" w:cs="Arial"/>
                      <w:color w:val="4F81BD" w:themeColor="accent1"/>
                      <w:sz w:val="18"/>
                      <w:szCs w:val="18"/>
                      <w:lang w:val="en-GB"/>
                    </w:rPr>
                    <w:t xml:space="preserve"> </w:t>
                  </w:r>
                </w:p>
              </w:tc>
            </w:tr>
            <w:tr w:rsidR="00921721" w:rsidRPr="006856C6" w14:paraId="3D98DC60"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601E7626"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BA778A2"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Intercity</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2CB96C0"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0.033</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630A8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22</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29</w:t>
                  </w:r>
                  <w:r>
                    <w:rPr>
                      <w:rFonts w:asciiTheme="minorHAnsi" w:hAnsiTheme="minorHAnsi" w:cs="Arial"/>
                      <w:color w:val="4F81BD" w:themeColor="accent1"/>
                      <w:sz w:val="18"/>
                      <w:szCs w:val="18"/>
                      <w:lang w:val="en-GB"/>
                    </w:rPr>
                    <w:t xml:space="preserve"> </w:t>
                  </w:r>
                </w:p>
              </w:tc>
            </w:tr>
            <w:tr w:rsidR="00921721" w:rsidRPr="006856C6" w14:paraId="4167F4C3" w14:textId="77777777" w:rsidTr="00880D09">
              <w:trPr>
                <w:trHeight w:val="194"/>
              </w:trPr>
              <w:tc>
                <w:tcPr>
                  <w:tcW w:w="1129" w:type="dxa"/>
                  <w:vMerge/>
                  <w:tcBorders>
                    <w:left w:val="single" w:sz="4" w:space="0" w:color="FFFFFF"/>
                    <w:bottom w:val="single" w:sz="4" w:space="0" w:color="FFFFFF"/>
                    <w:right w:val="nil"/>
                  </w:tcBorders>
                  <w:shd w:val="clear" w:color="auto" w:fill="DBE5F1" w:themeFill="accent1" w:themeFillTint="33"/>
                  <w:vAlign w:val="center"/>
                </w:tcPr>
                <w:p w14:paraId="2C4B3335"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BF8340C" w14:textId="77777777" w:rsidR="00921721" w:rsidRPr="00265281" w:rsidRDefault="00921721" w:rsidP="00880D09">
                  <w:pPr>
                    <w:jc w:val="center"/>
                    <w:rPr>
                      <w:rFonts w:asciiTheme="minorHAnsi" w:hAnsiTheme="minorHAnsi" w:cs="Arial"/>
                      <w:color w:val="4F81BD" w:themeColor="accent1"/>
                      <w:sz w:val="18"/>
                      <w:szCs w:val="18"/>
                      <w:lang w:val="en-GB"/>
                    </w:rPr>
                  </w:pPr>
                  <w:proofErr w:type="spellStart"/>
                  <w:r>
                    <w:rPr>
                      <w:rFonts w:asciiTheme="minorHAnsi" w:hAnsiTheme="minorHAnsi" w:cs="Arial"/>
                      <w:color w:val="4F81BD" w:themeColor="accent1"/>
                      <w:sz w:val="18"/>
                      <w:szCs w:val="18"/>
                      <w:lang w:val="en-GB"/>
                    </w:rPr>
                    <w:t>Hihgspeed</w:t>
                  </w:r>
                  <w:proofErr w:type="spellEnd"/>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BF18840"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0.031</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C04DB8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43</w:t>
                  </w:r>
                  <w:r>
                    <w:rPr>
                      <w:rFonts w:asciiTheme="minorHAnsi" w:hAnsiTheme="minorHAnsi" w:cs="Arial"/>
                      <w:color w:val="4F81BD" w:themeColor="accent1"/>
                      <w:sz w:val="18"/>
                      <w:szCs w:val="18"/>
                      <w:lang w:val="en-GB"/>
                    </w:rPr>
                    <w:t xml:space="preserve"> </w:t>
                  </w:r>
                </w:p>
              </w:tc>
            </w:tr>
            <w:tr w:rsidR="00921721" w:rsidRPr="003E7EB2" w14:paraId="134EB097" w14:textId="77777777" w:rsidTr="00880D09">
              <w:trPr>
                <w:trHeight w:val="194"/>
              </w:trPr>
              <w:tc>
                <w:tcPr>
                  <w:tcW w:w="1129" w:type="dxa"/>
                  <w:vMerge w:val="restart"/>
                  <w:tcBorders>
                    <w:top w:val="single" w:sz="4" w:space="0" w:color="FFFFFF"/>
                    <w:left w:val="single" w:sz="4" w:space="0" w:color="FFFFFF"/>
                    <w:right w:val="nil"/>
                  </w:tcBorders>
                  <w:shd w:val="clear" w:color="auto" w:fill="DBE5F1" w:themeFill="accent1" w:themeFillTint="33"/>
                  <w:vAlign w:val="center"/>
                </w:tcPr>
                <w:p w14:paraId="4C25A153"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AAAC7BD"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 all types</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4BD8EA6"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0.072</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tcPr>
                <w:p w14:paraId="57167336"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70</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43</w:t>
                  </w:r>
                  <w:r>
                    <w:rPr>
                      <w:rFonts w:asciiTheme="minorHAnsi" w:hAnsiTheme="minorHAnsi" w:cs="Arial"/>
                      <w:color w:val="4F81BD" w:themeColor="accent1"/>
                      <w:sz w:val="18"/>
                      <w:szCs w:val="18"/>
                      <w:lang w:val="en-GB"/>
                    </w:rPr>
                    <w:t xml:space="preserve"> </w:t>
                  </w:r>
                </w:p>
              </w:tc>
            </w:tr>
            <w:tr w:rsidR="00921721" w:rsidRPr="003E7EB2" w14:paraId="6F473424"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4CD95FC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A3B5338"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Regional/ Suburban</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0F45898"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0.061</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tcPr>
                <w:p w14:paraId="18F7A37A"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59</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34</w:t>
                  </w:r>
                  <w:r>
                    <w:rPr>
                      <w:rFonts w:asciiTheme="minorHAnsi" w:hAnsiTheme="minorHAnsi" w:cs="Arial"/>
                      <w:color w:val="4F81BD" w:themeColor="accent1"/>
                      <w:sz w:val="18"/>
                      <w:szCs w:val="18"/>
                      <w:lang w:val="en-GB"/>
                    </w:rPr>
                    <w:t xml:space="preserve"> </w:t>
                  </w:r>
                </w:p>
              </w:tc>
            </w:tr>
            <w:tr w:rsidR="00921721" w:rsidRPr="003E7EB2" w14:paraId="156C802F"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19A84B75"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637D13" w14:textId="77777777" w:rsidR="00921721" w:rsidRPr="00B72029" w:rsidRDefault="00921721" w:rsidP="00880D09">
                  <w:pPr>
                    <w:jc w:val="center"/>
                    <w:rPr>
                      <w:rFonts w:asciiTheme="minorHAnsi" w:hAnsiTheme="minorHAnsi" w:cs="Arial"/>
                      <w:color w:val="4F81BD" w:themeColor="accent1"/>
                      <w:sz w:val="18"/>
                      <w:szCs w:val="18"/>
                      <w:highlight w:val="yellow"/>
                      <w:lang w:val="en-GB"/>
                    </w:rPr>
                  </w:pPr>
                  <w:r w:rsidRPr="007D0A7F">
                    <w:rPr>
                      <w:rFonts w:asciiTheme="minorHAnsi" w:hAnsiTheme="minorHAnsi" w:cs="Arial"/>
                      <w:color w:val="4F81BD" w:themeColor="accent1"/>
                      <w:sz w:val="18"/>
                      <w:szCs w:val="18"/>
                      <w:lang w:val="en-GB"/>
                    </w:rPr>
                    <w:t>Intercity</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4BC23D3C" w14:textId="77777777" w:rsidR="00921721" w:rsidRPr="00374624"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0.086</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tcPr>
                <w:p w14:paraId="75B3FFE2"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83</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61</w:t>
                  </w:r>
                  <w:r>
                    <w:rPr>
                      <w:rFonts w:asciiTheme="minorHAnsi" w:hAnsiTheme="minorHAnsi" w:cs="Arial"/>
                      <w:color w:val="4F81BD" w:themeColor="accent1"/>
                      <w:sz w:val="18"/>
                      <w:szCs w:val="18"/>
                      <w:lang w:val="en-GB"/>
                    </w:rPr>
                    <w:t xml:space="preserve"> </w:t>
                  </w:r>
                </w:p>
              </w:tc>
            </w:tr>
          </w:tbl>
          <w:p w14:paraId="7E7E40F2" w14:textId="77777777" w:rsidR="00921721" w:rsidRDefault="00921721" w:rsidP="00880D09">
            <w:pPr>
              <w:pStyle w:val="anxnormal"/>
              <w:spacing w:after="120"/>
              <w:ind w:left="0"/>
              <w:rPr>
                <w:rFonts w:asciiTheme="minorHAnsi" w:hAnsiTheme="minorHAnsi"/>
                <w:lang w:val="en-US" w:eastAsia="en-US"/>
              </w:rPr>
            </w:pPr>
          </w:p>
          <w:tbl>
            <w:tblPr>
              <w:tblW w:w="6729" w:type="dxa"/>
              <w:tblLayout w:type="fixed"/>
              <w:tblLook w:val="04A0" w:firstRow="1" w:lastRow="0" w:firstColumn="1" w:lastColumn="0" w:noHBand="0" w:noVBand="1"/>
            </w:tblPr>
            <w:tblGrid>
              <w:gridCol w:w="1280"/>
              <w:gridCol w:w="2141"/>
              <w:gridCol w:w="1535"/>
              <w:gridCol w:w="1773"/>
            </w:tblGrid>
            <w:tr w:rsidR="00921721" w:rsidRPr="007463B9" w14:paraId="64147EB2" w14:textId="77777777" w:rsidTr="00880D09">
              <w:trPr>
                <w:trHeight w:hRule="exact" w:val="794"/>
              </w:trPr>
              <w:tc>
                <w:tcPr>
                  <w:tcW w:w="128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C8E74C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Freight</w:t>
                  </w:r>
                </w:p>
              </w:tc>
              <w:tc>
                <w:tcPr>
                  <w:tcW w:w="214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021FF3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53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349629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Energy consumption (kWh/ train</w:t>
                  </w:r>
                  <w:r w:rsidRPr="006856C6">
                    <w:rPr>
                      <w:rFonts w:asciiTheme="minorHAnsi" w:hAnsiTheme="minorHAnsi" w:cs="Arial"/>
                      <w:b/>
                      <w:bCs/>
                      <w:color w:val="FFFFFF"/>
                      <w:sz w:val="18"/>
                      <w:szCs w:val="18"/>
                      <w:lang w:val="en-GB"/>
                    </w:rPr>
                    <w:t>-km)</w:t>
                  </w:r>
                </w:p>
              </w:tc>
              <w:tc>
                <w:tcPr>
                  <w:tcW w:w="17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157DA67" w14:textId="77777777" w:rsidR="00921721" w:rsidRPr="00075638" w:rsidRDefault="00921721" w:rsidP="00880D09">
                  <w:pPr>
                    <w:snapToGrid w:val="0"/>
                    <w:spacing w:before="20" w:after="20"/>
                    <w:jc w:val="center"/>
                    <w:rPr>
                      <w:rFonts w:asciiTheme="minorHAnsi" w:hAnsiTheme="minorHAnsi" w:cs="Arial"/>
                      <w:b/>
                      <w:bCs/>
                      <w:color w:val="FFFFFF"/>
                      <w:sz w:val="18"/>
                      <w:szCs w:val="18"/>
                      <w:lang w:val="en-GB"/>
                    </w:rPr>
                  </w:pPr>
                  <w:r w:rsidRPr="00075638">
                    <w:rPr>
                      <w:rFonts w:asciiTheme="minorHAnsi" w:hAnsiTheme="minorHAnsi" w:cs="Arial"/>
                      <w:b/>
                      <w:bCs/>
                      <w:color w:val="FFFFFF"/>
                      <w:sz w:val="18"/>
                      <w:szCs w:val="18"/>
                      <w:lang w:val="en-GB"/>
                    </w:rPr>
                    <w:t xml:space="preserve">GHG emissions factor </w:t>
                  </w:r>
                  <w:r>
                    <w:rPr>
                      <w:rFonts w:asciiTheme="minorHAnsi" w:hAnsiTheme="minorHAnsi" w:cs="Arial"/>
                      <w:b/>
                      <w:bCs/>
                      <w:color w:val="FFFFFF"/>
                      <w:sz w:val="18"/>
                      <w:szCs w:val="18"/>
                      <w:lang w:val="en-GB"/>
                    </w:rPr>
                    <w:t>2021</w:t>
                  </w:r>
                  <w:r w:rsidRPr="00075638">
                    <w:rPr>
                      <w:rFonts w:asciiTheme="minorHAnsi" w:hAnsiTheme="minorHAnsi" w:cs="Arial"/>
                      <w:b/>
                      <w:bCs/>
                      <w:color w:val="FFFFFF"/>
                      <w:sz w:val="18"/>
                      <w:szCs w:val="18"/>
                      <w:lang w:val="en-US"/>
                    </w:rPr>
                    <w:t>(*)</w:t>
                  </w:r>
                </w:p>
                <w:p w14:paraId="126266F5" w14:textId="77777777" w:rsidR="00921721" w:rsidRPr="003E43DF" w:rsidRDefault="00921721" w:rsidP="00880D09">
                  <w:pPr>
                    <w:snapToGrid w:val="0"/>
                    <w:spacing w:before="20" w:after="20"/>
                    <w:jc w:val="center"/>
                    <w:rPr>
                      <w:rFonts w:asciiTheme="minorHAnsi" w:hAnsiTheme="minorHAnsi" w:cs="Arial"/>
                      <w:b/>
                      <w:bCs/>
                      <w:color w:val="FFFFFF"/>
                      <w:sz w:val="18"/>
                      <w:szCs w:val="18"/>
                      <w:lang w:val="en-US"/>
                    </w:rPr>
                  </w:pPr>
                  <w:r w:rsidRPr="003E43DF">
                    <w:rPr>
                      <w:rFonts w:asciiTheme="minorHAnsi" w:hAnsiTheme="minorHAnsi" w:cs="Arial"/>
                      <w:b/>
                      <w:bCs/>
                      <w:color w:val="FFFFFF"/>
                      <w:sz w:val="18"/>
                      <w:szCs w:val="18"/>
                      <w:lang w:val="en-US"/>
                    </w:rPr>
                    <w:t>[g CO</w:t>
                  </w:r>
                  <w:r w:rsidRPr="003E43DF">
                    <w:rPr>
                      <w:rFonts w:asciiTheme="minorHAnsi" w:hAnsiTheme="minorHAnsi" w:cs="Arial"/>
                      <w:b/>
                      <w:bCs/>
                      <w:color w:val="FFFFFF"/>
                      <w:sz w:val="18"/>
                      <w:szCs w:val="18"/>
                      <w:vertAlign w:val="subscript"/>
                      <w:lang w:val="en-US"/>
                    </w:rPr>
                    <w:t>2</w:t>
                  </w:r>
                  <w:r w:rsidRPr="003E43DF">
                    <w:rPr>
                      <w:rFonts w:asciiTheme="minorHAnsi" w:hAnsiTheme="minorHAnsi" w:cs="Arial"/>
                      <w:b/>
                      <w:bCs/>
                      <w:color w:val="FFFFFF"/>
                      <w:sz w:val="18"/>
                      <w:szCs w:val="18"/>
                      <w:lang w:val="en-US"/>
                    </w:rPr>
                    <w:t>e/ train-km]</w:t>
                  </w:r>
                </w:p>
              </w:tc>
            </w:tr>
            <w:tr w:rsidR="00921721" w:rsidRPr="00D0310E" w14:paraId="2644C04C" w14:textId="77777777" w:rsidTr="00880D09">
              <w:trPr>
                <w:trHeight w:val="382"/>
              </w:trPr>
              <w:tc>
                <w:tcPr>
                  <w:tcW w:w="1280" w:type="dxa"/>
                  <w:vMerge w:val="restart"/>
                  <w:tcBorders>
                    <w:top w:val="single" w:sz="4" w:space="0" w:color="FFFFFF"/>
                    <w:left w:val="single" w:sz="4" w:space="0" w:color="FFFFFF"/>
                    <w:right w:val="nil"/>
                  </w:tcBorders>
                  <w:shd w:val="clear" w:color="auto" w:fill="DBE5F1" w:themeFill="accent1" w:themeFillTint="33"/>
                  <w:vAlign w:val="center"/>
                </w:tcPr>
                <w:p w14:paraId="014D6DA0"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2734960" w14:textId="77777777" w:rsidR="00921721" w:rsidRPr="00493091" w:rsidRDefault="00921721" w:rsidP="00880D09">
                  <w:pPr>
                    <w:jc w:val="center"/>
                    <w:rPr>
                      <w:rFonts w:asciiTheme="minorHAnsi" w:hAnsiTheme="minorHAnsi" w:cs="Arial"/>
                      <w:color w:val="4F81BD" w:themeColor="accent1"/>
                      <w:sz w:val="18"/>
                      <w:szCs w:val="18"/>
                      <w:lang w:val="en-US"/>
                    </w:rPr>
                  </w:pPr>
                  <w:r w:rsidRPr="00493091">
                    <w:rPr>
                      <w:rFonts w:asciiTheme="minorHAnsi" w:hAnsiTheme="minorHAnsi" w:cs="Arial"/>
                      <w:color w:val="4F81BD" w:themeColor="accent1"/>
                      <w:sz w:val="18"/>
                      <w:szCs w:val="18"/>
                      <w:lang w:val="en-US"/>
                    </w:rPr>
                    <w:t>Average, all types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BD2AED5" w14:textId="77777777" w:rsidR="00921721" w:rsidRPr="0010476A"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8A073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107</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 xml:space="preserve">53 </w:t>
                  </w:r>
                </w:p>
              </w:tc>
            </w:tr>
            <w:tr w:rsidR="00921721" w:rsidRPr="00D0310E" w14:paraId="7437AAF4"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3691F73B" w14:textId="77777777" w:rsidR="00921721" w:rsidRPr="002C6855" w:rsidRDefault="00921721" w:rsidP="00880D09">
                  <w:pPr>
                    <w:spacing w:before="20"/>
                    <w:jc w:val="center"/>
                    <w:rPr>
                      <w:rFonts w:asciiTheme="minorHAnsi" w:hAnsiTheme="minorHAnsi" w:cs="Arial"/>
                      <w:color w:val="4F81BD" w:themeColor="accent1"/>
                      <w:sz w:val="18"/>
                      <w:szCs w:val="18"/>
                      <w:lang w:val="fr-BE"/>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C66130"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Bulk (1000t - 18W)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D8B1E3F" w14:textId="77777777" w:rsidR="00921721" w:rsidRPr="0010476A"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140605"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,107.</w:t>
                  </w:r>
                  <w:r w:rsidRPr="001F3A35">
                    <w:rPr>
                      <w:rFonts w:asciiTheme="minorHAnsi" w:hAnsiTheme="minorHAnsi" w:cs="Arial"/>
                      <w:color w:val="4F81BD" w:themeColor="accent1"/>
                      <w:sz w:val="18"/>
                      <w:szCs w:val="18"/>
                      <w:lang w:val="en-GB"/>
                    </w:rPr>
                    <w:t xml:space="preserve">53 </w:t>
                  </w:r>
                </w:p>
              </w:tc>
            </w:tr>
            <w:tr w:rsidR="00921721" w:rsidRPr="006856C6" w14:paraId="7A1D6292"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16A65B3D" w14:textId="77777777" w:rsidR="00921721" w:rsidRPr="002C6855" w:rsidRDefault="00921721" w:rsidP="00880D09">
                  <w:pPr>
                    <w:spacing w:before="20"/>
                    <w:jc w:val="center"/>
                    <w:rPr>
                      <w:rFonts w:asciiTheme="minorHAnsi" w:hAnsiTheme="minorHAnsi" w:cs="Arial"/>
                      <w:color w:val="4F81BD" w:themeColor="accent1"/>
                      <w:sz w:val="18"/>
                      <w:szCs w:val="18"/>
                      <w:lang w:val="fr-BE"/>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06EBBC"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Volume (1000t - 26W)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F8E4418"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D71A6A" w14:textId="77777777" w:rsidR="00921721" w:rsidRPr="000756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11,107.</w:t>
                  </w:r>
                  <w:r w:rsidRPr="001F3A35">
                    <w:rPr>
                      <w:rFonts w:asciiTheme="minorHAnsi" w:hAnsiTheme="minorHAnsi" w:cs="Arial"/>
                      <w:color w:val="4F81BD" w:themeColor="accent1"/>
                      <w:sz w:val="18"/>
                      <w:szCs w:val="18"/>
                      <w:lang w:val="en-GB"/>
                    </w:rPr>
                    <w:t xml:space="preserve">53 </w:t>
                  </w:r>
                </w:p>
              </w:tc>
            </w:tr>
            <w:tr w:rsidR="00921721" w:rsidRPr="006856C6" w14:paraId="139FB365" w14:textId="77777777" w:rsidTr="00880D09">
              <w:trPr>
                <w:trHeight w:val="382"/>
              </w:trPr>
              <w:tc>
                <w:tcPr>
                  <w:tcW w:w="1280" w:type="dxa"/>
                  <w:vMerge/>
                  <w:tcBorders>
                    <w:left w:val="single" w:sz="4" w:space="0" w:color="FFFFFF"/>
                    <w:bottom w:val="single" w:sz="4" w:space="0" w:color="FFFFFF"/>
                    <w:right w:val="nil"/>
                  </w:tcBorders>
                  <w:shd w:val="clear" w:color="auto" w:fill="DBE5F1" w:themeFill="accent1" w:themeFillTint="33"/>
                  <w:vAlign w:val="center"/>
                </w:tcPr>
                <w:p w14:paraId="545B63DD"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12F39F"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Container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F18E889"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99DBE70" w14:textId="77777777" w:rsidR="00921721" w:rsidRPr="000756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11,107.</w:t>
                  </w:r>
                  <w:r w:rsidRPr="001F3A35">
                    <w:rPr>
                      <w:rFonts w:asciiTheme="minorHAnsi" w:hAnsiTheme="minorHAnsi" w:cs="Arial"/>
                      <w:color w:val="4F81BD" w:themeColor="accent1"/>
                      <w:sz w:val="18"/>
                      <w:szCs w:val="18"/>
                      <w:lang w:val="en-GB"/>
                    </w:rPr>
                    <w:t xml:space="preserve">53 </w:t>
                  </w:r>
                </w:p>
              </w:tc>
            </w:tr>
            <w:tr w:rsidR="00921721" w:rsidRPr="007463B9" w14:paraId="792BB711" w14:textId="77777777" w:rsidTr="00880D09">
              <w:trPr>
                <w:trHeight w:val="382"/>
              </w:trPr>
              <w:tc>
                <w:tcPr>
                  <w:tcW w:w="1280" w:type="dxa"/>
                  <w:vMerge w:val="restart"/>
                  <w:tcBorders>
                    <w:top w:val="single" w:sz="4" w:space="0" w:color="FFFFFF"/>
                    <w:left w:val="single" w:sz="4" w:space="0" w:color="FFFFFF"/>
                    <w:right w:val="nil"/>
                  </w:tcBorders>
                  <w:shd w:val="clear" w:color="auto" w:fill="DBE5F1" w:themeFill="accent1" w:themeFillTint="33"/>
                  <w:vAlign w:val="center"/>
                </w:tcPr>
                <w:p w14:paraId="70B1E1F6"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368403" w14:textId="77777777" w:rsidR="00921721" w:rsidRPr="00493091" w:rsidRDefault="00921721" w:rsidP="00880D09">
                  <w:pPr>
                    <w:jc w:val="center"/>
                    <w:rPr>
                      <w:rFonts w:asciiTheme="minorHAnsi" w:hAnsiTheme="minorHAnsi" w:cs="Arial"/>
                      <w:color w:val="4F81BD" w:themeColor="accent1"/>
                      <w:sz w:val="18"/>
                      <w:szCs w:val="18"/>
                      <w:lang w:val="en-US"/>
                    </w:rPr>
                  </w:pPr>
                  <w:r w:rsidRPr="00493091">
                    <w:rPr>
                      <w:rFonts w:asciiTheme="minorHAnsi" w:hAnsiTheme="minorHAnsi" w:cs="Arial"/>
                      <w:color w:val="4F81BD" w:themeColor="accent1"/>
                      <w:sz w:val="18"/>
                      <w:szCs w:val="18"/>
                      <w:lang w:val="en-US"/>
                    </w:rPr>
                    <w:t>Average, all types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D736BCB"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FAF23C"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r w:rsidR="00921721" w:rsidRPr="007463B9" w14:paraId="4FD5634D"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1D1B0E20" w14:textId="77777777" w:rsidR="00921721" w:rsidRPr="00437FA6" w:rsidRDefault="00921721" w:rsidP="00880D09">
                  <w:pPr>
                    <w:spacing w:before="20"/>
                    <w:jc w:val="center"/>
                    <w:rPr>
                      <w:rFonts w:asciiTheme="minorHAnsi" w:hAnsiTheme="minorHAnsi" w:cs="Arial"/>
                      <w:color w:val="4F81BD" w:themeColor="accent1"/>
                      <w:sz w:val="18"/>
                      <w:szCs w:val="18"/>
                      <w:lang w:val="en-US"/>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F99A59"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Bulk (1000t - 18W)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FA30F10"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85C4A3"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r w:rsidR="00921721" w:rsidRPr="007463B9" w14:paraId="17404FA0"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484F62C1" w14:textId="77777777" w:rsidR="00921721" w:rsidRPr="00437FA6" w:rsidRDefault="00921721" w:rsidP="00880D09">
                  <w:pPr>
                    <w:spacing w:before="20"/>
                    <w:jc w:val="center"/>
                    <w:rPr>
                      <w:rFonts w:asciiTheme="minorHAnsi" w:hAnsiTheme="minorHAnsi" w:cs="Arial"/>
                      <w:color w:val="4F81BD" w:themeColor="accent1"/>
                      <w:sz w:val="18"/>
                      <w:szCs w:val="18"/>
                      <w:lang w:val="en-US"/>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8C6187"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Volume (1000t - 26W)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C864299"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B5B728"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r w:rsidR="00921721" w:rsidRPr="007463B9" w14:paraId="46BBD6A2" w14:textId="77777777" w:rsidTr="00880D09">
              <w:trPr>
                <w:trHeight w:val="382"/>
              </w:trPr>
              <w:tc>
                <w:tcPr>
                  <w:tcW w:w="1280" w:type="dxa"/>
                  <w:vMerge/>
                  <w:tcBorders>
                    <w:left w:val="single" w:sz="4" w:space="0" w:color="FFFFFF"/>
                    <w:bottom w:val="single" w:sz="4" w:space="0" w:color="FFFFFF"/>
                    <w:right w:val="nil"/>
                  </w:tcBorders>
                  <w:shd w:val="clear" w:color="auto" w:fill="DBE5F1" w:themeFill="accent1" w:themeFillTint="33"/>
                  <w:vAlign w:val="center"/>
                </w:tcPr>
                <w:p w14:paraId="193B7BA7" w14:textId="77777777" w:rsidR="00921721" w:rsidRPr="00437FA6" w:rsidRDefault="00921721" w:rsidP="00880D09">
                  <w:pPr>
                    <w:spacing w:before="20"/>
                    <w:jc w:val="center"/>
                    <w:rPr>
                      <w:rFonts w:asciiTheme="minorHAnsi" w:hAnsiTheme="minorHAnsi" w:cs="Arial"/>
                      <w:color w:val="4F81BD" w:themeColor="accent1"/>
                      <w:sz w:val="18"/>
                      <w:szCs w:val="18"/>
                      <w:lang w:val="en-US"/>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0376EF"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Container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1F66A52"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5987CF"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bl>
          <w:p w14:paraId="2F25D4CD" w14:textId="77777777" w:rsidR="00921721" w:rsidRDefault="00921721" w:rsidP="00880D09">
            <w:pPr>
              <w:spacing w:after="120"/>
              <w:ind w:right="170"/>
              <w:jc w:val="both"/>
              <w:rPr>
                <w:rFonts w:asciiTheme="minorHAnsi" w:hAnsiTheme="minorHAnsi" w:cs="Arial"/>
                <w:b/>
                <w:i/>
                <w:sz w:val="16"/>
                <w:szCs w:val="16"/>
                <w:lang w:val="en-US"/>
              </w:rPr>
            </w:pPr>
            <w:r w:rsidRPr="00437FA6">
              <w:rPr>
                <w:rFonts w:asciiTheme="minorHAnsi" w:hAnsiTheme="minorHAnsi" w:cs="Arial"/>
                <w:b/>
                <w:i/>
                <w:sz w:val="16"/>
                <w:szCs w:val="16"/>
                <w:lang w:val="en-US"/>
              </w:rPr>
              <w:t xml:space="preserve">Source: CUPT </w:t>
            </w:r>
            <w:r>
              <w:rPr>
                <w:rFonts w:asciiTheme="minorHAnsi" w:hAnsiTheme="minorHAnsi" w:cs="Arial"/>
                <w:b/>
                <w:i/>
                <w:sz w:val="16"/>
                <w:szCs w:val="16"/>
                <w:lang w:val="en-GB"/>
              </w:rPr>
              <w:t>work based on</w:t>
            </w:r>
            <w:r w:rsidRPr="00437FA6">
              <w:rPr>
                <w:rFonts w:asciiTheme="minorHAnsi" w:hAnsiTheme="minorHAnsi" w:cs="Arial"/>
                <w:b/>
                <w:i/>
                <w:sz w:val="16"/>
                <w:szCs w:val="16"/>
                <w:lang w:val="en-US"/>
              </w:rPr>
              <w:t xml:space="preserve"> "EIB Project Carbon Footprint Methodologies", July 2020</w:t>
            </w:r>
            <w:r w:rsidRPr="00BA2098">
              <w:rPr>
                <w:rFonts w:asciiTheme="minorHAnsi" w:hAnsiTheme="minorHAnsi" w:cs="Arial"/>
                <w:b/>
                <w:i/>
                <w:sz w:val="16"/>
                <w:szCs w:val="16"/>
                <w:lang w:val="en-US"/>
              </w:rPr>
              <w:t xml:space="preserve">, </w:t>
            </w:r>
            <w:r>
              <w:rPr>
                <w:rFonts w:asciiTheme="minorHAnsi" w:hAnsiTheme="minorHAnsi" w:cs="Arial"/>
                <w:b/>
                <w:i/>
                <w:sz w:val="16"/>
                <w:szCs w:val="16"/>
                <w:lang w:val="en-US"/>
              </w:rPr>
              <w:t xml:space="preserve">and the </w:t>
            </w:r>
            <w:r w:rsidRPr="003A7E7C">
              <w:rPr>
                <w:rFonts w:asciiTheme="minorHAnsi" w:hAnsiTheme="minorHAnsi" w:cs="Arial"/>
                <w:b/>
                <w:i/>
                <w:sz w:val="16"/>
                <w:szCs w:val="16"/>
                <w:lang w:val="en-GB"/>
              </w:rPr>
              <w:t>national electricity grid GHG emission factor</w:t>
            </w:r>
            <w:r>
              <w:rPr>
                <w:rFonts w:asciiTheme="minorHAnsi" w:hAnsiTheme="minorHAnsi" w:cs="Arial"/>
                <w:b/>
                <w:i/>
                <w:sz w:val="16"/>
                <w:szCs w:val="16"/>
                <w:lang w:val="en-GB"/>
              </w:rPr>
              <w:t xml:space="preserve"> for 2019 as reported by </w:t>
            </w:r>
            <w:proofErr w:type="spellStart"/>
            <w:r>
              <w:rPr>
                <w:rFonts w:asciiTheme="minorHAnsi" w:hAnsiTheme="minorHAnsi" w:cs="Arial"/>
                <w:b/>
                <w:i/>
                <w:sz w:val="16"/>
                <w:szCs w:val="16"/>
                <w:lang w:val="en-GB"/>
              </w:rPr>
              <w:t>KOBiZE</w:t>
            </w:r>
            <w:proofErr w:type="spellEnd"/>
            <w:r>
              <w:rPr>
                <w:rFonts w:asciiTheme="minorHAnsi" w:hAnsiTheme="minorHAnsi" w:cs="Arial"/>
                <w:b/>
                <w:i/>
                <w:sz w:val="16"/>
                <w:szCs w:val="16"/>
                <w:lang w:val="en-GB"/>
              </w:rPr>
              <w:t xml:space="preserve"> (December 2020)</w:t>
            </w:r>
            <w:r w:rsidRPr="00BA2098">
              <w:rPr>
                <w:rFonts w:asciiTheme="minorHAnsi" w:hAnsiTheme="minorHAnsi" w:cs="Arial"/>
                <w:b/>
                <w:i/>
                <w:sz w:val="16"/>
                <w:szCs w:val="16"/>
                <w:lang w:val="en-US"/>
              </w:rPr>
              <w:t xml:space="preserve">. </w:t>
            </w:r>
          </w:p>
          <w:p w14:paraId="59618F0B" w14:textId="77777777" w:rsidR="00921721" w:rsidRPr="002C6855" w:rsidRDefault="00921721" w:rsidP="00880D09">
            <w:pPr>
              <w:spacing w:after="120"/>
              <w:ind w:right="170"/>
              <w:jc w:val="both"/>
              <w:rPr>
                <w:rFonts w:asciiTheme="minorHAnsi" w:hAnsiTheme="minorHAnsi"/>
                <w:b/>
                <w:i/>
                <w:sz w:val="16"/>
                <w:szCs w:val="16"/>
                <w:lang w:val="en-GB"/>
              </w:rPr>
            </w:pPr>
            <w:r w:rsidRPr="002C6855">
              <w:rPr>
                <w:rFonts w:asciiTheme="minorHAnsi" w:hAnsiTheme="minorHAnsi" w:cs="Arial"/>
                <w:b/>
                <w:i/>
                <w:sz w:val="16"/>
                <w:szCs w:val="16"/>
                <w:lang w:val="en-GB"/>
              </w:rPr>
              <w:t>(*)</w:t>
            </w:r>
            <w:r>
              <w:rPr>
                <w:rFonts w:asciiTheme="minorHAnsi" w:hAnsiTheme="minorHAnsi" w:cs="Arial"/>
                <w:b/>
                <w:i/>
                <w:sz w:val="16"/>
                <w:szCs w:val="16"/>
                <w:lang w:val="en-GB"/>
              </w:rPr>
              <w:t> </w:t>
            </w:r>
            <w:r w:rsidRPr="002C6855">
              <w:rPr>
                <w:rFonts w:asciiTheme="minorHAnsi" w:hAnsiTheme="minorHAnsi" w:cs="Arial"/>
                <w:b/>
                <w:i/>
                <w:sz w:val="16"/>
                <w:szCs w:val="16"/>
                <w:lang w:val="en-GB"/>
              </w:rPr>
              <w:t>Total emissions related to the generation and transmission of grid electricity consumed by the train and emissions related to the fuel consumption of the train.</w:t>
            </w:r>
          </w:p>
          <w:p w14:paraId="0EB97948" w14:textId="77777777" w:rsidR="00921721" w:rsidRDefault="00921721" w:rsidP="00880D09">
            <w:pPr>
              <w:pStyle w:val="anxnormal"/>
              <w:spacing w:after="120"/>
              <w:ind w:left="0"/>
              <w:rPr>
                <w:rFonts w:asciiTheme="minorHAnsi" w:hAnsiTheme="minorHAnsi"/>
                <w:u w:val="single"/>
                <w:lang w:val="en-GB" w:eastAsia="en-US"/>
              </w:rPr>
            </w:pPr>
          </w:p>
          <w:p w14:paraId="7C6E824A" w14:textId="77777777" w:rsidR="00921721" w:rsidRDefault="00921721" w:rsidP="00880D09">
            <w:pPr>
              <w:pStyle w:val="anxnormal"/>
              <w:spacing w:after="120"/>
              <w:ind w:left="0"/>
              <w:rPr>
                <w:rFonts w:asciiTheme="minorHAnsi" w:hAnsiTheme="minorHAnsi"/>
                <w:u w:val="single"/>
                <w:lang w:val="en-GB" w:eastAsia="en-US"/>
              </w:rPr>
            </w:pPr>
          </w:p>
          <w:p w14:paraId="3689477F" w14:textId="77777777" w:rsidR="00921721" w:rsidRDefault="00921721" w:rsidP="00880D09">
            <w:pPr>
              <w:pStyle w:val="anxnormal"/>
              <w:spacing w:after="120"/>
              <w:ind w:left="0"/>
              <w:rPr>
                <w:rFonts w:asciiTheme="minorHAnsi" w:hAnsiTheme="minorHAnsi"/>
                <w:u w:val="single"/>
                <w:lang w:val="en-GB" w:eastAsia="en-US"/>
              </w:rPr>
            </w:pPr>
          </w:p>
          <w:p w14:paraId="4B889B4B" w14:textId="77777777" w:rsidR="00921721" w:rsidRPr="002C6855" w:rsidRDefault="00921721" w:rsidP="00880D09">
            <w:pPr>
              <w:pStyle w:val="anxnormal"/>
              <w:spacing w:after="120"/>
              <w:ind w:left="0"/>
              <w:rPr>
                <w:rFonts w:asciiTheme="minorHAnsi" w:hAnsiTheme="minorHAnsi"/>
                <w:u w:val="single"/>
                <w:lang w:val="en-GB" w:eastAsia="en-US"/>
              </w:rPr>
            </w:pPr>
            <w:r w:rsidRPr="002C6855">
              <w:rPr>
                <w:rFonts w:asciiTheme="minorHAnsi" w:hAnsiTheme="minorHAnsi"/>
                <w:u w:val="single"/>
                <w:lang w:val="en-GB" w:eastAsia="en-US"/>
              </w:rPr>
              <w:t>Unit cost of GHG emissions</w:t>
            </w:r>
          </w:p>
          <w:p w14:paraId="52BA6303"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 xml:space="preserve">EIB shadow cost of carbon </w:t>
            </w:r>
            <w:r w:rsidRPr="00E9220B">
              <w:rPr>
                <w:rFonts w:asciiTheme="minorHAnsi" w:hAnsiTheme="minorHAnsi"/>
                <w:lang w:val="en-GB" w:eastAsia="en-US"/>
              </w:rPr>
              <w:t>in €/tCO</w:t>
            </w:r>
            <w:r w:rsidRPr="00FF1EB0">
              <w:rPr>
                <w:rFonts w:asciiTheme="minorHAnsi" w:hAnsiTheme="minorHAnsi"/>
                <w:vertAlign w:val="subscript"/>
                <w:lang w:val="en-GB" w:eastAsia="en-US"/>
              </w:rPr>
              <w:t>2</w:t>
            </w:r>
            <w:r w:rsidRPr="00E9220B">
              <w:rPr>
                <w:rFonts w:asciiTheme="minorHAnsi" w:hAnsiTheme="minorHAnsi"/>
                <w:lang w:val="en-GB" w:eastAsia="en-US"/>
              </w:rPr>
              <w:t>e, 2016-prices</w:t>
            </w:r>
          </w:p>
          <w:tbl>
            <w:tblPr>
              <w:tblW w:w="7217" w:type="dxa"/>
              <w:tblLayout w:type="fixed"/>
              <w:tblLook w:val="04A0" w:firstRow="1" w:lastRow="0" w:firstColumn="1" w:lastColumn="0" w:noHBand="0" w:noVBand="1"/>
            </w:tblPr>
            <w:tblGrid>
              <w:gridCol w:w="902"/>
              <w:gridCol w:w="902"/>
              <w:gridCol w:w="902"/>
              <w:gridCol w:w="902"/>
              <w:gridCol w:w="902"/>
              <w:gridCol w:w="902"/>
              <w:gridCol w:w="902"/>
              <w:gridCol w:w="903"/>
            </w:tblGrid>
            <w:tr w:rsidR="00921721" w:rsidRPr="007463B9" w14:paraId="5E49CE21" w14:textId="77777777" w:rsidTr="00880D09">
              <w:trPr>
                <w:trHeight w:hRule="exact" w:val="424"/>
              </w:trPr>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37550F7" w14:textId="77777777" w:rsidR="00921721" w:rsidRPr="00D74336"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GB"/>
                    </w:rPr>
                    <w:t>Year</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6AFFCA1"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983DF9">
                    <w:rPr>
                      <w:rFonts w:asciiTheme="minorHAnsi" w:eastAsia="Arial Narrow" w:hAnsiTheme="minorHAnsi" w:cs="Arial Narrow"/>
                      <w:b/>
                      <w:color w:val="FFFFFF"/>
                      <w:spacing w:val="-1"/>
                      <w:w w:val="108"/>
                      <w:position w:val="-1"/>
                      <w:sz w:val="18"/>
                      <w:szCs w:val="18"/>
                      <w:lang w:val="en-US"/>
                    </w:rPr>
                    <w:t>2020</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87B91B8" w14:textId="77777777" w:rsidR="00921721" w:rsidRPr="00B74323"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US"/>
                    </w:rPr>
                    <w:t>2025</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77920287"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2030</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777E835"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2035</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0E141A24"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2040</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43B853C"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2045</w:t>
                  </w:r>
                </w:p>
              </w:tc>
              <w:tc>
                <w:tcPr>
                  <w:tcW w:w="903"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A732470"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2050</w:t>
                  </w:r>
                </w:p>
              </w:tc>
            </w:tr>
            <w:tr w:rsidR="00921721" w:rsidRPr="007463B9" w14:paraId="67FE3659" w14:textId="77777777" w:rsidTr="00880D09">
              <w:trPr>
                <w:trHeight w:val="143"/>
              </w:trPr>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75A1FA" w14:textId="77777777" w:rsidR="00921721" w:rsidRPr="002C6855"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lang w:val="en-US"/>
                    </w:rPr>
                  </w:pPr>
                  <w:r w:rsidRPr="00B72029">
                    <w:rPr>
                      <w:rFonts w:asciiTheme="minorHAnsi" w:hAnsiTheme="minorHAnsi"/>
                      <w:color w:val="4F81BD" w:themeColor="accent1"/>
                      <w:sz w:val="18"/>
                      <w:lang w:val="en-GB"/>
                    </w:rPr>
                    <w:t>E</w:t>
                  </w:r>
                  <w:r w:rsidRPr="00637253">
                    <w:rPr>
                      <w:rFonts w:asciiTheme="minorHAnsi" w:hAnsiTheme="minorHAnsi"/>
                      <w:color w:val="4F81BD" w:themeColor="accent1"/>
                      <w:sz w:val="18"/>
                      <w:lang w:val="en-GB"/>
                    </w:rPr>
                    <w:t>UR/</w:t>
                  </w:r>
                  <w:r>
                    <w:rPr>
                      <w:rFonts w:asciiTheme="minorHAnsi" w:hAnsiTheme="minorHAnsi"/>
                      <w:color w:val="4F81BD" w:themeColor="accent1"/>
                      <w:sz w:val="18"/>
                      <w:lang w:val="en-GB"/>
                    </w:rPr>
                    <w:t xml:space="preserve"> </w:t>
                  </w:r>
                  <w:r w:rsidRPr="00637253">
                    <w:rPr>
                      <w:rFonts w:asciiTheme="minorHAnsi" w:hAnsiTheme="minorHAnsi"/>
                      <w:color w:val="4F81BD" w:themeColor="accent1"/>
                      <w:sz w:val="18"/>
                      <w:lang w:val="en-GB"/>
                    </w:rPr>
                    <w:t>tCO</w:t>
                  </w:r>
                  <w:r w:rsidRPr="00FF1EB0">
                    <w:rPr>
                      <w:rFonts w:asciiTheme="minorHAnsi" w:hAnsiTheme="minorHAnsi"/>
                      <w:color w:val="4F81BD" w:themeColor="accent1"/>
                      <w:sz w:val="18"/>
                      <w:vertAlign w:val="subscript"/>
                      <w:lang w:val="en-GB"/>
                    </w:rPr>
                    <w:t>2</w:t>
                  </w:r>
                  <w:r>
                    <w:rPr>
                      <w:rFonts w:asciiTheme="minorHAnsi" w:hAnsiTheme="minorHAnsi"/>
                      <w:color w:val="4F81BD" w:themeColor="accent1"/>
                      <w:sz w:val="18"/>
                      <w:lang w:val="en-GB"/>
                    </w:rPr>
                    <w:t>e</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D3D36E"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62F41C"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165</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3BA526"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250</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63B6784"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390</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FEFC16"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525</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199643"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660</w:t>
                  </w:r>
                </w:p>
              </w:tc>
              <w:tc>
                <w:tcPr>
                  <w:tcW w:w="90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A639A5"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800</w:t>
                  </w:r>
                </w:p>
              </w:tc>
            </w:tr>
          </w:tbl>
          <w:p w14:paraId="1E77D225" w14:textId="77777777" w:rsidR="00921721" w:rsidRPr="00D74336" w:rsidRDefault="00921721" w:rsidP="00880D09">
            <w:pPr>
              <w:ind w:right="170"/>
              <w:jc w:val="both"/>
              <w:rPr>
                <w:rFonts w:asciiTheme="minorHAnsi" w:hAnsiTheme="minorHAnsi" w:cs="Arial"/>
                <w:b/>
                <w:i/>
                <w:sz w:val="16"/>
                <w:szCs w:val="16"/>
                <w:lang w:val="en-GB"/>
              </w:rPr>
            </w:pPr>
            <w:r w:rsidRPr="00D74336">
              <w:rPr>
                <w:rFonts w:asciiTheme="minorHAnsi" w:hAnsiTheme="minorHAnsi" w:cs="Arial"/>
                <w:b/>
                <w:i/>
                <w:sz w:val="16"/>
                <w:szCs w:val="16"/>
                <w:lang w:val="en-GB"/>
              </w:rPr>
              <w:t xml:space="preserve">Source: </w:t>
            </w:r>
            <w:r w:rsidRPr="00983DF9">
              <w:rPr>
                <w:rFonts w:asciiTheme="minorHAnsi" w:hAnsiTheme="minorHAnsi" w:cs="Arial"/>
                <w:b/>
                <w:i/>
                <w:sz w:val="16"/>
                <w:szCs w:val="16"/>
                <w:lang w:val="en-US"/>
              </w:rPr>
              <w:t>EIB Group Climate Bank Roadmap (2020) (Annex 5. Aligned carbon prices)</w:t>
            </w:r>
            <w:r w:rsidRPr="00D74336">
              <w:rPr>
                <w:rFonts w:asciiTheme="minorHAnsi" w:hAnsiTheme="minorHAnsi" w:cs="Arial"/>
                <w:b/>
                <w:i/>
                <w:sz w:val="16"/>
                <w:szCs w:val="16"/>
                <w:lang w:val="en-GB"/>
              </w:rPr>
              <w:t>.</w:t>
            </w:r>
          </w:p>
          <w:p w14:paraId="75C598CD" w14:textId="77777777" w:rsidR="00921721" w:rsidRDefault="00921721" w:rsidP="00880D09">
            <w:pPr>
              <w:pStyle w:val="anxnormal"/>
              <w:spacing w:after="120"/>
              <w:ind w:left="0"/>
              <w:rPr>
                <w:rFonts w:asciiTheme="minorHAnsi" w:hAnsiTheme="minorHAnsi"/>
                <w:u w:val="single"/>
                <w:lang w:val="en-GB" w:eastAsia="en-US"/>
              </w:rPr>
            </w:pPr>
          </w:p>
          <w:p w14:paraId="3883D5A0" w14:textId="77777777" w:rsidR="00921721" w:rsidRDefault="00921721" w:rsidP="00880D09">
            <w:pPr>
              <w:pStyle w:val="anxnormal"/>
              <w:spacing w:after="120"/>
              <w:ind w:left="0"/>
              <w:rPr>
                <w:rFonts w:asciiTheme="minorHAnsi" w:hAnsiTheme="minorHAnsi"/>
                <w:u w:val="single"/>
                <w:lang w:val="en-GB" w:eastAsia="en-US"/>
              </w:rPr>
            </w:pPr>
          </w:p>
          <w:p w14:paraId="34A73D5B" w14:textId="77777777" w:rsidR="00921721" w:rsidRDefault="00921721" w:rsidP="00880D09">
            <w:pPr>
              <w:pStyle w:val="anxnormal"/>
              <w:spacing w:after="120"/>
              <w:ind w:left="0"/>
              <w:rPr>
                <w:rFonts w:asciiTheme="minorHAnsi" w:hAnsiTheme="minorHAnsi"/>
                <w:u w:val="single"/>
                <w:lang w:val="en-GB" w:eastAsia="en-US"/>
              </w:rPr>
            </w:pPr>
          </w:p>
          <w:p w14:paraId="0EE9AAEC" w14:textId="77777777" w:rsidR="00921721" w:rsidRPr="00187A0E" w:rsidRDefault="00921721" w:rsidP="00880D09">
            <w:pPr>
              <w:pStyle w:val="anxnormal"/>
              <w:spacing w:after="120"/>
              <w:ind w:left="0"/>
              <w:rPr>
                <w:rFonts w:asciiTheme="minorHAnsi" w:hAnsiTheme="minorHAnsi"/>
                <w:u w:val="single"/>
                <w:lang w:val="en-GB" w:eastAsia="en-US"/>
              </w:rPr>
            </w:pPr>
            <w:r w:rsidRPr="00187A0E">
              <w:rPr>
                <w:rFonts w:asciiTheme="minorHAnsi" w:hAnsiTheme="minorHAnsi"/>
                <w:u w:val="single"/>
                <w:lang w:val="en-GB" w:eastAsia="en-US"/>
              </w:rPr>
              <w:t>Climate change unit costs calculation and evolution over time</w:t>
            </w:r>
          </w:p>
          <w:p w14:paraId="354ED190"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 xml:space="preserve">The </w:t>
            </w:r>
            <w:r w:rsidRPr="00187A0E">
              <w:rPr>
                <w:rFonts w:asciiTheme="minorHAnsi" w:hAnsiTheme="minorHAnsi"/>
                <w:lang w:val="en-GB" w:eastAsia="en-US"/>
              </w:rPr>
              <w:t xml:space="preserve">unit cost for the </w:t>
            </w:r>
            <w:r>
              <w:rPr>
                <w:rFonts w:asciiTheme="minorHAnsi" w:hAnsiTheme="minorHAnsi"/>
                <w:lang w:val="en-GB" w:eastAsia="en-US"/>
              </w:rPr>
              <w:t xml:space="preserve">currently adopted </w:t>
            </w:r>
            <w:r w:rsidRPr="00187A0E">
              <w:rPr>
                <w:rFonts w:asciiTheme="minorHAnsi" w:hAnsiTheme="minorHAnsi"/>
                <w:lang w:val="en-GB" w:eastAsia="en-US"/>
              </w:rPr>
              <w:t>base year</w:t>
            </w:r>
            <w:r w:rsidRPr="00983DF9">
              <w:rPr>
                <w:rFonts w:asciiTheme="minorHAnsi" w:hAnsiTheme="minorHAnsi"/>
                <w:lang w:val="en-GB" w:eastAsia="en-US"/>
              </w:rPr>
              <w:t xml:space="preserve"> (202</w:t>
            </w:r>
            <w:r>
              <w:rPr>
                <w:rFonts w:asciiTheme="minorHAnsi" w:hAnsiTheme="minorHAnsi"/>
                <w:lang w:val="en-GB" w:eastAsia="en-US"/>
              </w:rPr>
              <w:t>1</w:t>
            </w:r>
            <w:r w:rsidRPr="00983DF9">
              <w:rPr>
                <w:rFonts w:asciiTheme="minorHAnsi" w:hAnsiTheme="minorHAnsi"/>
                <w:lang w:val="en-GB" w:eastAsia="en-US"/>
              </w:rPr>
              <w:t xml:space="preserve">) </w:t>
            </w:r>
            <w:r>
              <w:rPr>
                <w:rFonts w:asciiTheme="minorHAnsi" w:hAnsiTheme="minorHAnsi"/>
                <w:lang w:val="en-GB" w:eastAsia="en-US"/>
              </w:rPr>
              <w:t xml:space="preserve">is </w:t>
            </w:r>
            <w:r w:rsidRPr="00983DF9">
              <w:rPr>
                <w:rFonts w:asciiTheme="minorHAnsi" w:hAnsiTheme="minorHAnsi"/>
                <w:lang w:val="en-GB" w:eastAsia="en-US"/>
              </w:rPr>
              <w:t>first exchange</w:t>
            </w:r>
            <w:r>
              <w:rPr>
                <w:rFonts w:asciiTheme="minorHAnsi" w:hAnsiTheme="minorHAnsi"/>
                <w:lang w:val="en-GB" w:eastAsia="en-US"/>
              </w:rPr>
              <w:t>d</w:t>
            </w:r>
            <w:r w:rsidRPr="00983DF9">
              <w:rPr>
                <w:rFonts w:asciiTheme="minorHAnsi" w:hAnsiTheme="minorHAnsi"/>
                <w:lang w:val="en-GB" w:eastAsia="en-US"/>
              </w:rPr>
              <w:t xml:space="preserve"> from EUR to PLN (exchange rate 2016), then </w:t>
            </w:r>
            <w:r>
              <w:rPr>
                <w:rFonts w:asciiTheme="minorHAnsi" w:hAnsiTheme="minorHAnsi"/>
                <w:lang w:val="en-GB" w:eastAsia="en-US"/>
              </w:rPr>
              <w:t>the</w:t>
            </w:r>
            <w:r w:rsidRPr="00983DF9">
              <w:rPr>
                <w:rFonts w:asciiTheme="minorHAnsi" w:hAnsiTheme="minorHAnsi"/>
                <w:lang w:val="en-GB" w:eastAsia="en-US"/>
              </w:rPr>
              <w:t xml:space="preserve"> price basis of CO</w:t>
            </w:r>
            <w:r w:rsidRPr="002C6855">
              <w:rPr>
                <w:rFonts w:asciiTheme="minorHAnsi" w:hAnsiTheme="minorHAnsi"/>
                <w:vertAlign w:val="subscript"/>
                <w:lang w:val="en-GB" w:eastAsia="en-US"/>
              </w:rPr>
              <w:t>2</w:t>
            </w:r>
            <w:r w:rsidRPr="00983DF9">
              <w:rPr>
                <w:rFonts w:asciiTheme="minorHAnsi" w:hAnsiTheme="minorHAnsi"/>
                <w:lang w:val="en-GB" w:eastAsia="en-US"/>
              </w:rPr>
              <w:t xml:space="preserve"> unit cost (2016)</w:t>
            </w:r>
            <w:r>
              <w:rPr>
                <w:rFonts w:asciiTheme="minorHAnsi" w:hAnsiTheme="minorHAnsi"/>
                <w:lang w:val="en-GB" w:eastAsia="en-US"/>
              </w:rPr>
              <w:t xml:space="preserve"> is converted</w:t>
            </w:r>
            <w:r w:rsidRPr="00983DF9">
              <w:rPr>
                <w:rFonts w:asciiTheme="minorHAnsi" w:hAnsiTheme="minorHAnsi"/>
                <w:lang w:val="en-GB" w:eastAsia="en-US"/>
              </w:rPr>
              <w:t xml:space="preserve"> to price level of </w:t>
            </w:r>
            <w:r w:rsidRPr="004F720E">
              <w:rPr>
                <w:rFonts w:asciiTheme="minorHAnsi" w:hAnsiTheme="minorHAnsi"/>
                <w:lang w:val="en-GB" w:eastAsia="en-US"/>
              </w:rPr>
              <w:t>analysis (2021). The</w:t>
            </w:r>
            <w:r w:rsidRPr="00983DF9">
              <w:rPr>
                <w:rFonts w:asciiTheme="minorHAnsi" w:hAnsiTheme="minorHAnsi"/>
                <w:lang w:val="en-GB" w:eastAsia="en-US"/>
              </w:rPr>
              <w:t xml:space="preserve"> unit costs for the rest of</w:t>
            </w:r>
            <w:r>
              <w:rPr>
                <w:rFonts w:asciiTheme="minorHAnsi" w:hAnsiTheme="minorHAnsi"/>
                <w:lang w:val="en-GB" w:eastAsia="en-US"/>
              </w:rPr>
              <w:t xml:space="preserve"> the</w:t>
            </w:r>
            <w:r w:rsidRPr="00983DF9">
              <w:rPr>
                <w:rFonts w:asciiTheme="minorHAnsi" w:hAnsiTheme="minorHAnsi"/>
                <w:lang w:val="en-GB" w:eastAsia="en-US"/>
              </w:rPr>
              <w:t xml:space="preserve"> reference period </w:t>
            </w:r>
            <w:r>
              <w:rPr>
                <w:rFonts w:asciiTheme="minorHAnsi" w:hAnsiTheme="minorHAnsi"/>
                <w:lang w:val="en-GB" w:eastAsia="en-US"/>
              </w:rPr>
              <w:lastRenderedPageBreak/>
              <w:t>are</w:t>
            </w:r>
            <w:r w:rsidRPr="00983DF9">
              <w:rPr>
                <w:rFonts w:asciiTheme="minorHAnsi" w:hAnsiTheme="minorHAnsi"/>
                <w:lang w:val="en-GB" w:eastAsia="en-US"/>
              </w:rPr>
              <w:t xml:space="preserve"> estimated based on linear interpolation of the above defined unit costs</w:t>
            </w:r>
            <w:r>
              <w:rPr>
                <w:rFonts w:asciiTheme="minorHAnsi" w:hAnsiTheme="minorHAnsi"/>
                <w:lang w:val="en-GB" w:eastAsia="en-US"/>
              </w:rPr>
              <w:t xml:space="preserve">, as presented in the </w:t>
            </w:r>
            <w:r w:rsidRPr="00506A2F">
              <w:rPr>
                <w:rFonts w:asciiTheme="minorHAnsi" w:hAnsiTheme="minorHAnsi"/>
                <w:b/>
                <w:i/>
                <w:lang w:val="en-GB" w:eastAsia="en-US"/>
              </w:rPr>
              <w:t>Excel file</w:t>
            </w:r>
            <w:r w:rsidRPr="00983DF9">
              <w:rPr>
                <w:rFonts w:asciiTheme="minorHAnsi" w:hAnsiTheme="minorHAnsi"/>
                <w:lang w:val="en-GB" w:eastAsia="en-US"/>
              </w:rPr>
              <w:t xml:space="preserve"> for unit costs.</w:t>
            </w:r>
            <w:r w:rsidRPr="00983DF9" w:rsidDel="00E20A3A">
              <w:rPr>
                <w:rFonts w:asciiTheme="minorHAnsi" w:hAnsiTheme="minorHAnsi"/>
                <w:lang w:val="en-GB" w:eastAsia="en-US"/>
              </w:rPr>
              <w:t xml:space="preserve"> </w:t>
            </w:r>
          </w:p>
          <w:p w14:paraId="2BCA5323" w14:textId="77777777" w:rsidR="00921721" w:rsidRDefault="00921721" w:rsidP="00880D09">
            <w:pPr>
              <w:pStyle w:val="anxnormal"/>
              <w:spacing w:after="120"/>
              <w:ind w:left="0"/>
              <w:rPr>
                <w:rFonts w:asciiTheme="minorHAnsi" w:hAnsiTheme="minorHAnsi"/>
                <w:lang w:val="en-GB" w:eastAsia="en-US"/>
              </w:rPr>
            </w:pPr>
          </w:p>
          <w:p w14:paraId="0BE426AE" w14:textId="77777777" w:rsidR="00921721" w:rsidRDefault="00921721" w:rsidP="00880D09">
            <w:pPr>
              <w:pStyle w:val="anxnormal"/>
              <w:spacing w:after="120"/>
              <w:ind w:left="0"/>
              <w:rPr>
                <w:rFonts w:asciiTheme="minorHAnsi" w:hAnsiTheme="minorHAnsi"/>
                <w:lang w:val="en-GB" w:eastAsia="en-US"/>
              </w:rPr>
            </w:pPr>
          </w:p>
          <w:p w14:paraId="4AACA732" w14:textId="77777777" w:rsidR="00921721" w:rsidRPr="009F2FD2" w:rsidRDefault="00921721" w:rsidP="00880D09">
            <w:pPr>
              <w:pStyle w:val="anxnormal"/>
              <w:spacing w:after="120"/>
              <w:ind w:left="0"/>
              <w:rPr>
                <w:rFonts w:asciiTheme="minorHAnsi" w:hAnsiTheme="minorHAnsi" w:cs="Arial-Narrow,Bold"/>
                <w:b/>
                <w:bCs/>
                <w:color w:val="4F81BD" w:themeColor="accent1"/>
                <w:sz w:val="23"/>
                <w:szCs w:val="23"/>
                <w:lang w:val="en-GB" w:eastAsia="en-GB"/>
              </w:rPr>
            </w:pPr>
            <w:r w:rsidRPr="009F2FD2">
              <w:rPr>
                <w:rFonts w:asciiTheme="minorHAnsi" w:hAnsiTheme="minorHAnsi" w:cs="Arial-Narrow,Bold"/>
                <w:b/>
                <w:bCs/>
                <w:color w:val="4F81BD" w:themeColor="accent1"/>
                <w:sz w:val="23"/>
                <w:szCs w:val="23"/>
                <w:lang w:val="en-GB" w:eastAsia="en-GB"/>
              </w:rPr>
              <w:t>8. Costs of noise</w:t>
            </w:r>
          </w:p>
          <w:p w14:paraId="5C96F5AA"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First method</w:t>
            </w:r>
          </w:p>
          <w:p w14:paraId="265B660F"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Economic unit costs of noise</w:t>
            </w:r>
            <w:r>
              <w:rPr>
                <w:rFonts w:asciiTheme="minorHAnsi" w:hAnsiTheme="minorHAnsi"/>
                <w:lang w:val="en-GB" w:eastAsia="en-US"/>
              </w:rPr>
              <w:t xml:space="preserve"> of road vehicles</w:t>
            </w:r>
            <w:r w:rsidRPr="00731E4E">
              <w:rPr>
                <w:rFonts w:asciiTheme="minorHAnsi" w:hAnsiTheme="minorHAnsi"/>
                <w:lang w:val="en-GB" w:eastAsia="en-US"/>
              </w:rPr>
              <w:t xml:space="preserve"> [PLN/</w:t>
            </w:r>
            <w:proofErr w:type="spellStart"/>
            <w:r w:rsidRPr="00731E4E">
              <w:rPr>
                <w:rFonts w:asciiTheme="minorHAnsi" w:hAnsiTheme="minorHAnsi"/>
                <w:lang w:val="en-GB" w:eastAsia="en-US"/>
              </w:rPr>
              <w:t>veh</w:t>
            </w:r>
            <w:proofErr w:type="spellEnd"/>
            <w:r w:rsidRPr="00731E4E">
              <w:rPr>
                <w:rFonts w:asciiTheme="minorHAnsi" w:hAnsiTheme="minorHAnsi"/>
                <w:lang w:val="en-GB" w:eastAsia="en-US"/>
              </w:rPr>
              <w:t>-km], prices 20</w:t>
            </w:r>
            <w:r>
              <w:rPr>
                <w:rFonts w:asciiTheme="minorHAnsi" w:hAnsiTheme="minorHAnsi"/>
                <w:lang w:val="en-GB" w:eastAsia="en-US"/>
              </w:rPr>
              <w:t>21</w:t>
            </w:r>
          </w:p>
          <w:tbl>
            <w:tblPr>
              <w:tblW w:w="6227" w:type="dxa"/>
              <w:tblLayout w:type="fixed"/>
              <w:tblLook w:val="04A0" w:firstRow="1" w:lastRow="0" w:firstColumn="1" w:lastColumn="0" w:noHBand="0" w:noVBand="1"/>
            </w:tblPr>
            <w:tblGrid>
              <w:gridCol w:w="2486"/>
              <w:gridCol w:w="1247"/>
              <w:gridCol w:w="1247"/>
              <w:gridCol w:w="1247"/>
            </w:tblGrid>
            <w:tr w:rsidR="00921721" w:rsidRPr="007463B9" w14:paraId="301A87DA" w14:textId="77777777" w:rsidTr="00880D09">
              <w:trPr>
                <w:trHeight w:hRule="exact" w:val="712"/>
              </w:trPr>
              <w:tc>
                <w:tcPr>
                  <w:tcW w:w="24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B67052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values based on marginal</w:t>
                  </w:r>
                  <w:r w:rsidRPr="003E7EB2">
                    <w:rPr>
                      <w:rFonts w:asciiTheme="minorHAnsi" w:hAnsiTheme="minorHAnsi" w:cs="Arial"/>
                      <w:b/>
                      <w:bCs/>
                      <w:color w:val="FFFFFF"/>
                      <w:sz w:val="18"/>
                      <w:szCs w:val="18"/>
                      <w:lang w:val="en-GB"/>
                    </w:rPr>
                    <w:t xml:space="preserve"> </w:t>
                  </w:r>
                  <w:r>
                    <w:rPr>
                      <w:rFonts w:asciiTheme="minorHAnsi" w:hAnsiTheme="minorHAnsi" w:cs="Arial"/>
                      <w:b/>
                      <w:bCs/>
                      <w:color w:val="FFFFFF"/>
                      <w:sz w:val="18"/>
                      <w:szCs w:val="18"/>
                      <w:lang w:val="en-GB"/>
                    </w:rPr>
                    <w:t xml:space="preserve">external </w:t>
                  </w:r>
                  <w:r w:rsidRPr="003E7EB2">
                    <w:rPr>
                      <w:rFonts w:asciiTheme="minorHAnsi" w:hAnsiTheme="minorHAnsi" w:cs="Arial"/>
                      <w:b/>
                      <w:bCs/>
                      <w:color w:val="FFFFFF"/>
                      <w:sz w:val="18"/>
                      <w:szCs w:val="18"/>
                      <w:lang w:val="en-GB"/>
                    </w:rPr>
                    <w:t>cost</w:t>
                  </w:r>
                  <w:r>
                    <w:rPr>
                      <w:rFonts w:asciiTheme="minorHAnsi" w:hAnsiTheme="minorHAnsi" w:cs="Arial"/>
                      <w:b/>
                      <w:bCs/>
                      <w:color w:val="FFFFFF"/>
                      <w:sz w:val="18"/>
                      <w:szCs w:val="18"/>
                      <w:lang w:val="en-GB"/>
                    </w:rPr>
                    <w:t xml:space="preserve"> of noise</w:t>
                  </w:r>
                  <w:r w:rsidRPr="003E7EB2">
                    <w:rPr>
                      <w:rFonts w:asciiTheme="minorHAnsi" w:hAnsiTheme="minorHAnsi" w:cs="Arial"/>
                      <w:b/>
                      <w:bCs/>
                      <w:color w:val="FFFFFF"/>
                      <w:sz w:val="18"/>
                      <w:szCs w:val="18"/>
                      <w:lang w:val="en-GB"/>
                    </w:rPr>
                    <w:t xml:space="preserve"> (PLN/</w:t>
                  </w:r>
                  <w:proofErr w:type="spellStart"/>
                  <w:r w:rsidRPr="003E7EB2">
                    <w:rPr>
                      <w:rFonts w:asciiTheme="minorHAnsi" w:hAnsiTheme="minorHAnsi" w:cs="Arial"/>
                      <w:b/>
                      <w:bCs/>
                      <w:color w:val="FFFFFF"/>
                      <w:sz w:val="18"/>
                      <w:szCs w:val="18"/>
                      <w:lang w:val="en-GB"/>
                    </w:rPr>
                    <w:t>vehkm</w:t>
                  </w:r>
                  <w:proofErr w:type="spellEnd"/>
                  <w:r>
                    <w:rPr>
                      <w:rFonts w:asciiTheme="minorHAnsi" w:hAnsiTheme="minorHAnsi" w:cs="Arial"/>
                      <w:b/>
                      <w:bCs/>
                      <w:color w:val="FFFFFF"/>
                      <w:sz w:val="18"/>
                      <w:szCs w:val="18"/>
                      <w:lang w:val="en-GB"/>
                    </w:rPr>
                    <w:t>)</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A3C4E8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569D69D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FF1F39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7463B9" w14:paraId="179B1265"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DA7F41" w14:textId="77777777" w:rsidR="00921721" w:rsidRPr="001569CA"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LV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D5097E9"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0.057</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27E0A16F"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6F9DE65B"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0.0004</w:t>
                  </w:r>
                </w:p>
              </w:tc>
            </w:tr>
            <w:tr w:rsidR="00921721" w:rsidRPr="007463B9" w14:paraId="30CCEDF3"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1D5E5F" w14:textId="77777777" w:rsidR="00921721" w:rsidRPr="00CA444D"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HGV</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08BA2667"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0.703</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685FE042"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412B2F93"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0.005</w:t>
                  </w:r>
                </w:p>
              </w:tc>
            </w:tr>
            <w:tr w:rsidR="00921721" w:rsidRPr="007463B9" w14:paraId="0D0DA644"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D14B0F" w14:textId="77777777" w:rsidR="00921721"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Bus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383958BD"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0.444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B0E1FC8"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0.028</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37E5FC52"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0.003</w:t>
                  </w:r>
                </w:p>
              </w:tc>
            </w:tr>
          </w:tbl>
          <w:p w14:paraId="5FB03553" w14:textId="77777777" w:rsidR="00921721" w:rsidRPr="002708B4" w:rsidRDefault="00921721" w:rsidP="00880D09">
            <w:pPr>
              <w:ind w:right="170"/>
              <w:jc w:val="both"/>
              <w:rPr>
                <w:rFonts w:asciiTheme="minorHAnsi" w:hAnsiTheme="minorHAnsi" w:cs="Arial"/>
                <w:b/>
                <w:i/>
                <w:sz w:val="16"/>
                <w:szCs w:val="16"/>
                <w:lang w:val="en-US"/>
              </w:rPr>
            </w:pPr>
            <w:r w:rsidRPr="00CF54F6">
              <w:rPr>
                <w:rFonts w:asciiTheme="minorHAnsi" w:hAnsiTheme="minorHAnsi" w:cs="Arial"/>
                <w:b/>
                <w:i/>
                <w:sz w:val="16"/>
                <w:szCs w:val="16"/>
                <w:lang w:val="en-US"/>
              </w:rPr>
              <w:t xml:space="preserve">Source: CUPT-JASPERS work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w:t>
            </w:r>
            <w:r w:rsidRPr="002708B4">
              <w:rPr>
                <w:rFonts w:asciiTheme="minorHAnsi" w:hAnsiTheme="minorHAnsi" w:cs="Arial"/>
                <w:b/>
                <w:i/>
                <w:sz w:val="16"/>
                <w:szCs w:val="16"/>
                <w:lang w:val="en-US"/>
              </w:rPr>
              <w:t xml:space="preserve"> </w:t>
            </w:r>
          </w:p>
          <w:p w14:paraId="05FA9AF4" w14:textId="77777777" w:rsidR="00921721" w:rsidRPr="002F209F" w:rsidRDefault="00921721" w:rsidP="00880D09">
            <w:pPr>
              <w:ind w:right="170"/>
              <w:jc w:val="both"/>
              <w:rPr>
                <w:rFonts w:asciiTheme="minorHAnsi" w:hAnsiTheme="minorHAnsi" w:cs="Arial"/>
                <w:b/>
                <w:i/>
                <w:sz w:val="16"/>
                <w:szCs w:val="16"/>
                <w:lang w:val="en-US"/>
              </w:rPr>
            </w:pPr>
            <w:r w:rsidRPr="002F209F">
              <w:rPr>
                <w:rFonts w:asciiTheme="minorHAnsi" w:hAnsiTheme="minorHAnsi" w:cs="Arial"/>
                <w:b/>
                <w:i/>
                <w:sz w:val="16"/>
                <w:szCs w:val="16"/>
                <w:lang w:val="en-US"/>
              </w:rPr>
              <w:t xml:space="preserve">(*) </w:t>
            </w:r>
            <w:r w:rsidRPr="002C6855">
              <w:rPr>
                <w:rFonts w:asciiTheme="minorHAnsi" w:hAnsiTheme="minorHAnsi" w:cs="Arial"/>
                <w:b/>
                <w:i/>
                <w:sz w:val="16"/>
                <w:szCs w:val="16"/>
                <w:lang w:val="en-US"/>
              </w:rPr>
              <w:t>Metropolitan area</w:t>
            </w:r>
            <w:r w:rsidRPr="002F209F">
              <w:rPr>
                <w:rFonts w:asciiTheme="minorHAnsi" w:hAnsiTheme="minorHAnsi" w:cs="Arial"/>
                <w:b/>
                <w:i/>
                <w:sz w:val="16"/>
                <w:szCs w:val="16"/>
                <w:lang w:val="en-US"/>
              </w:rPr>
              <w:t xml:space="preserve">: </w:t>
            </w:r>
            <w:r w:rsidRPr="002C6855">
              <w:rPr>
                <w:rFonts w:asciiTheme="minorHAnsi" w:hAnsiTheme="minorHAnsi" w:cs="Arial"/>
                <w:b/>
                <w:i/>
                <w:sz w:val="16"/>
                <w:szCs w:val="16"/>
                <w:lang w:val="en-US"/>
              </w:rPr>
              <w:t xml:space="preserve">city or agglomeration </w:t>
            </w:r>
            <w:r>
              <w:rPr>
                <w:rFonts w:asciiTheme="minorHAnsi" w:hAnsiTheme="minorHAnsi" w:cs="Arial"/>
                <w:b/>
                <w:i/>
                <w:sz w:val="16"/>
                <w:szCs w:val="16"/>
                <w:lang w:val="en-US"/>
              </w:rPr>
              <w:t>larger than</w:t>
            </w:r>
            <w:r w:rsidRPr="002F209F">
              <w:rPr>
                <w:rFonts w:asciiTheme="minorHAnsi" w:hAnsiTheme="minorHAnsi" w:cs="Arial"/>
                <w:b/>
                <w:i/>
                <w:sz w:val="16"/>
                <w:szCs w:val="16"/>
                <w:lang w:val="en-US"/>
              </w:rPr>
              <w:t xml:space="preserve"> 0.5 million </w:t>
            </w:r>
            <w:r>
              <w:rPr>
                <w:rFonts w:asciiTheme="minorHAnsi" w:hAnsiTheme="minorHAnsi" w:cs="Arial"/>
                <w:b/>
                <w:i/>
                <w:sz w:val="16"/>
                <w:szCs w:val="16"/>
                <w:lang w:val="en-US"/>
              </w:rPr>
              <w:t xml:space="preserve">inhabitants </w:t>
            </w:r>
            <w:r w:rsidRPr="002F209F">
              <w:rPr>
                <w:rFonts w:asciiTheme="minorHAnsi" w:hAnsiTheme="minorHAnsi" w:cs="Arial"/>
                <w:b/>
                <w:i/>
                <w:sz w:val="16"/>
                <w:szCs w:val="16"/>
                <w:lang w:val="en-US"/>
              </w:rPr>
              <w:t xml:space="preserve">(definition </w:t>
            </w:r>
            <w:r>
              <w:rPr>
                <w:rFonts w:asciiTheme="minorHAnsi" w:hAnsiTheme="minorHAnsi" w:cs="Arial"/>
                <w:b/>
                <w:i/>
                <w:sz w:val="16"/>
                <w:szCs w:val="16"/>
                <w:lang w:val="en-US"/>
              </w:rPr>
              <w:t xml:space="preserve">according to </w:t>
            </w:r>
            <w:r w:rsidRPr="00277A80">
              <w:rPr>
                <w:rFonts w:asciiTheme="minorHAnsi" w:hAnsiTheme="minorHAnsi" w:cs="Arial"/>
                <w:b/>
                <w:i/>
                <w:sz w:val="16"/>
                <w:szCs w:val="16"/>
                <w:lang w:val="en-US"/>
              </w:rPr>
              <w:t>Handbook on the External Costs of Transport, EC, January 2019</w:t>
            </w:r>
            <w:r w:rsidRPr="002F209F">
              <w:rPr>
                <w:rFonts w:asciiTheme="minorHAnsi" w:hAnsiTheme="minorHAnsi" w:cs="Arial"/>
                <w:b/>
                <w:i/>
                <w:sz w:val="16"/>
                <w:szCs w:val="16"/>
                <w:lang w:val="en-US"/>
              </w:rPr>
              <w:t xml:space="preserve">). </w:t>
            </w:r>
          </w:p>
          <w:p w14:paraId="7A174865" w14:textId="77777777" w:rsidR="00921721" w:rsidRPr="002F209F" w:rsidRDefault="00921721" w:rsidP="00880D09">
            <w:pPr>
              <w:ind w:right="170"/>
              <w:jc w:val="both"/>
              <w:rPr>
                <w:rFonts w:asciiTheme="minorHAnsi" w:hAnsiTheme="minorHAnsi" w:cs="Arial"/>
                <w:b/>
                <w:i/>
                <w:sz w:val="16"/>
                <w:szCs w:val="16"/>
                <w:lang w:val="en-US"/>
              </w:rPr>
            </w:pPr>
          </w:p>
          <w:p w14:paraId="6A414F03" w14:textId="77777777" w:rsidR="00921721" w:rsidRDefault="00921721" w:rsidP="00880D09">
            <w:pPr>
              <w:ind w:right="170"/>
              <w:jc w:val="both"/>
              <w:rPr>
                <w:rFonts w:asciiTheme="minorHAnsi" w:hAnsiTheme="minorHAnsi" w:cs="Arial"/>
                <w:snapToGrid w:val="0"/>
                <w:sz w:val="20"/>
                <w:szCs w:val="20"/>
                <w:lang w:val="en-GB" w:eastAsia="en-US"/>
              </w:rPr>
            </w:pPr>
            <w:r w:rsidRPr="002C6855">
              <w:rPr>
                <w:rFonts w:asciiTheme="minorHAnsi" w:hAnsiTheme="minorHAnsi" w:cs="Arial"/>
                <w:snapToGrid w:val="0"/>
                <w:sz w:val="20"/>
                <w:szCs w:val="20"/>
                <w:lang w:val="en-GB" w:eastAsia="en-US"/>
              </w:rPr>
              <w:t>Electric vehicles are not include</w:t>
            </w:r>
            <w:r>
              <w:rPr>
                <w:rFonts w:asciiTheme="minorHAnsi" w:hAnsiTheme="minorHAnsi" w:cs="Arial"/>
                <w:snapToGrid w:val="0"/>
                <w:sz w:val="20"/>
                <w:szCs w:val="20"/>
                <w:lang w:val="en-GB" w:eastAsia="en-US"/>
              </w:rPr>
              <w:t>d</w:t>
            </w:r>
            <w:r w:rsidRPr="002C6855">
              <w:rPr>
                <w:rFonts w:asciiTheme="minorHAnsi" w:hAnsiTheme="minorHAnsi" w:cs="Arial"/>
                <w:snapToGrid w:val="0"/>
                <w:sz w:val="20"/>
                <w:szCs w:val="20"/>
                <w:lang w:val="en-GB" w:eastAsia="en-US"/>
              </w:rPr>
              <w:t xml:space="preserve">. It is assumed that noise costs are omitted for electric vehicles, i.e. unit values apply only to combustion-engine vehicles. </w:t>
            </w:r>
          </w:p>
          <w:p w14:paraId="66811DE6" w14:textId="77777777" w:rsidR="00921721" w:rsidRDefault="00921721" w:rsidP="00880D09">
            <w:pPr>
              <w:ind w:right="170"/>
              <w:jc w:val="both"/>
              <w:rPr>
                <w:rFonts w:asciiTheme="minorHAnsi" w:hAnsiTheme="minorHAnsi" w:cs="Arial"/>
                <w:snapToGrid w:val="0"/>
                <w:sz w:val="20"/>
                <w:szCs w:val="20"/>
                <w:lang w:val="en-GB" w:eastAsia="en-US"/>
              </w:rPr>
            </w:pPr>
          </w:p>
          <w:p w14:paraId="0264EB68" w14:textId="77777777" w:rsidR="00921721" w:rsidRDefault="00921721" w:rsidP="00880D09">
            <w:pPr>
              <w:ind w:right="170"/>
              <w:jc w:val="both"/>
              <w:rPr>
                <w:rFonts w:asciiTheme="minorHAnsi" w:hAnsiTheme="minorHAnsi" w:cs="Arial"/>
                <w:snapToGrid w:val="0"/>
                <w:sz w:val="20"/>
                <w:szCs w:val="20"/>
                <w:lang w:val="en-GB" w:eastAsia="en-US"/>
              </w:rPr>
            </w:pPr>
          </w:p>
          <w:p w14:paraId="74A7A901" w14:textId="77777777" w:rsidR="00921721" w:rsidRPr="00A40C0A" w:rsidRDefault="00921721" w:rsidP="00880D09">
            <w:pPr>
              <w:ind w:right="170"/>
              <w:jc w:val="both"/>
              <w:rPr>
                <w:rFonts w:asciiTheme="minorHAnsi" w:hAnsiTheme="minorHAnsi" w:cs="Arial"/>
                <w:snapToGrid w:val="0"/>
                <w:sz w:val="20"/>
                <w:szCs w:val="20"/>
                <w:u w:val="single"/>
                <w:lang w:val="en-GB" w:eastAsia="en-US"/>
              </w:rPr>
            </w:pPr>
            <w:r w:rsidRPr="00A40C0A">
              <w:rPr>
                <w:rFonts w:asciiTheme="minorHAnsi" w:hAnsiTheme="minorHAnsi" w:cs="Arial"/>
                <w:snapToGrid w:val="0"/>
                <w:sz w:val="20"/>
                <w:szCs w:val="20"/>
                <w:u w:val="single"/>
                <w:lang w:val="en-GB" w:eastAsia="en-US"/>
              </w:rPr>
              <w:t>Rail modes</w:t>
            </w:r>
            <w:r>
              <w:rPr>
                <w:rFonts w:asciiTheme="minorHAnsi" w:hAnsiTheme="minorHAnsi" w:cs="Arial"/>
                <w:snapToGrid w:val="0"/>
                <w:sz w:val="20"/>
                <w:szCs w:val="20"/>
                <w:u w:val="single"/>
                <w:lang w:val="en-GB" w:eastAsia="en-US"/>
              </w:rPr>
              <w:t xml:space="preserve"> </w:t>
            </w:r>
          </w:p>
          <w:p w14:paraId="5F0B7C5B"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Economic unit costs of noise </w:t>
            </w:r>
            <w:r>
              <w:rPr>
                <w:rFonts w:asciiTheme="minorHAnsi" w:hAnsiTheme="minorHAnsi"/>
                <w:lang w:val="en-GB" w:eastAsia="en-US"/>
              </w:rPr>
              <w:t>of railway trains</w:t>
            </w:r>
            <w:r w:rsidRPr="00731E4E">
              <w:rPr>
                <w:rFonts w:asciiTheme="minorHAnsi" w:hAnsiTheme="minorHAnsi"/>
                <w:lang w:val="en-GB" w:eastAsia="en-US"/>
              </w:rPr>
              <w:t xml:space="preserve"> [PLN/</w:t>
            </w:r>
            <w:r>
              <w:rPr>
                <w:rFonts w:asciiTheme="minorHAnsi" w:hAnsiTheme="minorHAnsi"/>
                <w:lang w:val="en-GB" w:eastAsia="en-US"/>
              </w:rPr>
              <w:t>train</w:t>
            </w:r>
            <w:r w:rsidRPr="00731E4E">
              <w:rPr>
                <w:rFonts w:asciiTheme="minorHAnsi" w:hAnsiTheme="minorHAnsi"/>
                <w:lang w:val="en-GB" w:eastAsia="en-US"/>
              </w:rPr>
              <w:t>-km], prices 20</w:t>
            </w:r>
            <w:r>
              <w:rPr>
                <w:rFonts w:asciiTheme="minorHAnsi" w:hAnsiTheme="minorHAnsi"/>
                <w:lang w:val="en-GB" w:eastAsia="en-US"/>
              </w:rPr>
              <w:t>21</w:t>
            </w:r>
          </w:p>
          <w:tbl>
            <w:tblPr>
              <w:tblW w:w="6556" w:type="dxa"/>
              <w:tblLayout w:type="fixed"/>
              <w:tblLook w:val="04A0" w:firstRow="1" w:lastRow="0" w:firstColumn="1" w:lastColumn="0" w:noHBand="0" w:noVBand="1"/>
            </w:tblPr>
            <w:tblGrid>
              <w:gridCol w:w="2616"/>
              <w:gridCol w:w="1312"/>
              <w:gridCol w:w="1314"/>
              <w:gridCol w:w="1314"/>
            </w:tblGrid>
            <w:tr w:rsidR="00921721" w:rsidRPr="007463B9" w14:paraId="6542993C" w14:textId="77777777" w:rsidTr="00880D09">
              <w:trPr>
                <w:trHeight w:hRule="exact" w:val="712"/>
              </w:trPr>
              <w:tc>
                <w:tcPr>
                  <w:tcW w:w="261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6AE9CAD"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values based on marginal</w:t>
                  </w:r>
                  <w:r w:rsidRPr="003E7EB2">
                    <w:rPr>
                      <w:rFonts w:asciiTheme="minorHAnsi" w:hAnsiTheme="minorHAnsi" w:cs="Arial"/>
                      <w:b/>
                      <w:bCs/>
                      <w:color w:val="FFFFFF"/>
                      <w:sz w:val="18"/>
                      <w:szCs w:val="18"/>
                      <w:lang w:val="en-GB"/>
                    </w:rPr>
                    <w:t xml:space="preserve"> </w:t>
                  </w:r>
                  <w:r>
                    <w:rPr>
                      <w:rFonts w:asciiTheme="minorHAnsi" w:hAnsiTheme="minorHAnsi" w:cs="Arial"/>
                      <w:b/>
                      <w:bCs/>
                      <w:color w:val="FFFFFF"/>
                      <w:sz w:val="18"/>
                      <w:szCs w:val="18"/>
                      <w:lang w:val="en-GB"/>
                    </w:rPr>
                    <w:t xml:space="preserve">external </w:t>
                  </w:r>
                  <w:r w:rsidRPr="003E7EB2">
                    <w:rPr>
                      <w:rFonts w:asciiTheme="minorHAnsi" w:hAnsiTheme="minorHAnsi" w:cs="Arial"/>
                      <w:b/>
                      <w:bCs/>
                      <w:color w:val="FFFFFF"/>
                      <w:sz w:val="18"/>
                      <w:szCs w:val="18"/>
                      <w:lang w:val="en-GB"/>
                    </w:rPr>
                    <w:t>cost</w:t>
                  </w:r>
                  <w:r>
                    <w:rPr>
                      <w:rFonts w:asciiTheme="minorHAnsi" w:hAnsiTheme="minorHAnsi" w:cs="Arial"/>
                      <w:b/>
                      <w:bCs/>
                      <w:color w:val="FFFFFF"/>
                      <w:sz w:val="18"/>
                      <w:szCs w:val="18"/>
                      <w:lang w:val="en-GB"/>
                    </w:rPr>
                    <w:t xml:space="preserve"> of noise</w:t>
                  </w:r>
                  <w:r w:rsidRPr="003E7EB2">
                    <w:rPr>
                      <w:rFonts w:asciiTheme="minorHAnsi" w:hAnsiTheme="minorHAnsi" w:cs="Arial"/>
                      <w:b/>
                      <w:bCs/>
                      <w:color w:val="FFFFFF"/>
                      <w:sz w:val="18"/>
                      <w:szCs w:val="18"/>
                      <w:lang w:val="en-GB"/>
                    </w:rPr>
                    <w:t xml:space="preserve"> </w:t>
                  </w:r>
                </w:p>
                <w:p w14:paraId="03BD8F1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3E7EB2">
                    <w:rPr>
                      <w:rFonts w:asciiTheme="minorHAnsi" w:hAnsiTheme="minorHAnsi" w:cs="Arial"/>
                      <w:b/>
                      <w:bCs/>
                      <w:color w:val="FFFFFF"/>
                      <w:sz w:val="18"/>
                      <w:szCs w:val="18"/>
                      <w:lang w:val="en-GB"/>
                    </w:rPr>
                    <w:t>(PLN/</w:t>
                  </w:r>
                  <w:r>
                    <w:rPr>
                      <w:rFonts w:asciiTheme="minorHAnsi" w:hAnsiTheme="minorHAnsi" w:cs="Arial"/>
                      <w:b/>
                      <w:bCs/>
                      <w:color w:val="FFFFFF"/>
                      <w:sz w:val="18"/>
                      <w:szCs w:val="18"/>
                      <w:lang w:val="en-GB"/>
                    </w:rPr>
                    <w:t>train-</w:t>
                  </w:r>
                  <w:r w:rsidRPr="003E7EB2">
                    <w:rPr>
                      <w:rFonts w:asciiTheme="minorHAnsi" w:hAnsiTheme="minorHAnsi" w:cs="Arial"/>
                      <w:b/>
                      <w:bCs/>
                      <w:color w:val="FFFFFF"/>
                      <w:sz w:val="18"/>
                      <w:szCs w:val="18"/>
                      <w:lang w:val="en-GB"/>
                    </w:rPr>
                    <w:t>km</w:t>
                  </w:r>
                  <w:r>
                    <w:rPr>
                      <w:rFonts w:asciiTheme="minorHAnsi" w:hAnsiTheme="minorHAnsi" w:cs="Arial"/>
                      <w:b/>
                      <w:bCs/>
                      <w:color w:val="FFFFFF"/>
                      <w:sz w:val="18"/>
                      <w:szCs w:val="18"/>
                      <w:lang w:val="en-GB"/>
                    </w:rPr>
                    <w:t>)</w:t>
                  </w:r>
                </w:p>
              </w:tc>
              <w:tc>
                <w:tcPr>
                  <w:tcW w:w="131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A270A99"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314"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66CE4D9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314" w:type="dxa"/>
                  <w:tcBorders>
                    <w:top w:val="single" w:sz="4" w:space="0" w:color="FFFFFF"/>
                    <w:left w:val="single" w:sz="4" w:space="0" w:color="FFFFFF"/>
                    <w:bottom w:val="single" w:sz="4" w:space="0" w:color="FFFFFF"/>
                    <w:right w:val="nil"/>
                  </w:tcBorders>
                  <w:shd w:val="clear" w:color="auto" w:fill="A6A6A6" w:themeFill="background1" w:themeFillShade="A6"/>
                </w:tcPr>
                <w:p w14:paraId="1384B5E4"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7463B9" w14:paraId="35AF8CCB" w14:textId="77777777" w:rsidTr="00880D09">
              <w:trPr>
                <w:trHeight w:val="255"/>
              </w:trPr>
              <w:tc>
                <w:tcPr>
                  <w:tcW w:w="261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FD6F7C"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Passenger train</w:t>
                  </w:r>
                </w:p>
              </w:tc>
              <w:tc>
                <w:tcPr>
                  <w:tcW w:w="131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AAB5FA"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269</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13E7B3"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0.627</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1AC9A7D"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0.081</w:t>
                  </w:r>
                </w:p>
              </w:tc>
            </w:tr>
            <w:tr w:rsidR="00921721" w:rsidRPr="007463B9" w14:paraId="133E8269" w14:textId="77777777" w:rsidTr="00880D09">
              <w:trPr>
                <w:trHeight w:val="207"/>
              </w:trPr>
              <w:tc>
                <w:tcPr>
                  <w:tcW w:w="261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B92A5A"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Freight train</w:t>
                  </w:r>
                </w:p>
              </w:tc>
              <w:tc>
                <w:tcPr>
                  <w:tcW w:w="131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9A9A09"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.852</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140EDA"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0.808</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8ABB42"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0.117</w:t>
                  </w:r>
                </w:p>
              </w:tc>
            </w:tr>
          </w:tbl>
          <w:p w14:paraId="601DA8CB" w14:textId="77777777" w:rsidR="00921721" w:rsidRDefault="00921721" w:rsidP="00880D09">
            <w:pPr>
              <w:ind w:right="170"/>
              <w:jc w:val="both"/>
              <w:rPr>
                <w:rFonts w:asciiTheme="minorHAnsi" w:hAnsiTheme="minorHAnsi" w:cs="Arial"/>
                <w:snapToGrid w:val="0"/>
                <w:sz w:val="20"/>
                <w:szCs w:val="20"/>
                <w:lang w:val="en-GB" w:eastAsia="en-US"/>
              </w:rPr>
            </w:pPr>
            <w:r w:rsidRPr="00CF54F6">
              <w:rPr>
                <w:rFonts w:asciiTheme="minorHAnsi" w:hAnsiTheme="minorHAnsi" w:cs="Arial"/>
                <w:b/>
                <w:i/>
                <w:sz w:val="16"/>
                <w:szCs w:val="16"/>
                <w:lang w:val="en-US"/>
              </w:rPr>
              <w:t>Source:</w:t>
            </w:r>
            <w:r w:rsidRPr="003E7EB2">
              <w:rPr>
                <w:lang w:val="en-US"/>
              </w:rPr>
              <w:t xml:space="preserve"> </w:t>
            </w:r>
            <w:r w:rsidRPr="00CF54F6">
              <w:rPr>
                <w:rFonts w:asciiTheme="minorHAnsi" w:hAnsiTheme="minorHAnsi" w:cs="Arial"/>
                <w:b/>
                <w:i/>
                <w:sz w:val="16"/>
                <w:szCs w:val="16"/>
                <w:lang w:val="en-US"/>
              </w:rPr>
              <w:t xml:space="preserve">CUPT-JASPERS work based on </w:t>
            </w:r>
            <w:r w:rsidRPr="00747F5E">
              <w:rPr>
                <w:rFonts w:asciiTheme="minorHAnsi" w:hAnsiTheme="minorHAnsi" w:cs="Arial"/>
                <w:b/>
                <w:i/>
                <w:sz w:val="16"/>
                <w:szCs w:val="16"/>
                <w:lang w:val="en-US"/>
              </w:rPr>
              <w:t xml:space="preserve">Handbook on the External Costs of Transport (January 2019), </w:t>
            </w:r>
            <w:r>
              <w:rPr>
                <w:rFonts w:asciiTheme="minorHAnsi" w:hAnsiTheme="minorHAnsi" w:cs="Arial"/>
                <w:b/>
                <w:i/>
                <w:sz w:val="16"/>
                <w:szCs w:val="16"/>
                <w:lang w:val="en-US"/>
              </w:rPr>
              <w:t>file</w:t>
            </w:r>
            <w:r w:rsidRPr="00747F5E">
              <w:rPr>
                <w:rFonts w:asciiTheme="minorHAnsi" w:hAnsiTheme="minorHAnsi" w:cs="Arial"/>
                <w:b/>
                <w:i/>
                <w:sz w:val="16"/>
                <w:szCs w:val="16"/>
                <w:lang w:val="en-US"/>
              </w:rPr>
              <w:t xml:space="preserve"> "FINAL_marginal_costs_air-poll_climate_WTT_noise.xlsx"</w:t>
            </w:r>
            <w:r>
              <w:rPr>
                <w:rFonts w:asciiTheme="minorHAnsi" w:hAnsiTheme="minorHAnsi" w:cs="Arial"/>
                <w:b/>
                <w:i/>
                <w:sz w:val="16"/>
                <w:szCs w:val="16"/>
                <w:lang w:val="en-US"/>
              </w:rPr>
              <w:t>, sheet “</w:t>
            </w:r>
            <w:proofErr w:type="spellStart"/>
            <w:r w:rsidRPr="002E7D1B">
              <w:rPr>
                <w:rFonts w:asciiTheme="minorHAnsi" w:hAnsiTheme="minorHAnsi" w:cs="Arial"/>
                <w:b/>
                <w:i/>
                <w:sz w:val="16"/>
                <w:szCs w:val="16"/>
                <w:lang w:val="en-GB"/>
              </w:rPr>
              <w:t>noise_all</w:t>
            </w:r>
            <w:proofErr w:type="spellEnd"/>
            <w:r>
              <w:rPr>
                <w:rFonts w:asciiTheme="minorHAnsi" w:hAnsiTheme="minorHAnsi" w:cs="Arial"/>
                <w:b/>
                <w:i/>
                <w:sz w:val="16"/>
                <w:szCs w:val="16"/>
                <w:lang w:val="en-US"/>
              </w:rPr>
              <w:t>”</w:t>
            </w:r>
          </w:p>
          <w:p w14:paraId="6CE16BDB" w14:textId="77777777" w:rsidR="00921721" w:rsidRDefault="00921721" w:rsidP="00880D09">
            <w:pPr>
              <w:ind w:right="170"/>
              <w:jc w:val="both"/>
              <w:rPr>
                <w:rFonts w:asciiTheme="minorHAnsi" w:hAnsiTheme="minorHAnsi" w:cs="Arial"/>
                <w:snapToGrid w:val="0"/>
                <w:sz w:val="20"/>
                <w:szCs w:val="20"/>
                <w:lang w:val="en-GB" w:eastAsia="en-US"/>
              </w:rPr>
            </w:pPr>
          </w:p>
          <w:p w14:paraId="1EF390EB" w14:textId="77777777" w:rsidR="00921721" w:rsidRDefault="00921721" w:rsidP="00880D09">
            <w:pPr>
              <w:pStyle w:val="anxnormal"/>
              <w:ind w:left="0"/>
              <w:rPr>
                <w:rFonts w:asciiTheme="minorHAnsi" w:hAnsiTheme="minorHAnsi"/>
                <w:u w:val="single"/>
                <w:lang w:val="en-GB" w:eastAsia="en-US"/>
              </w:rPr>
            </w:pPr>
          </w:p>
          <w:p w14:paraId="010B51A1" w14:textId="77777777" w:rsidR="00921721" w:rsidRDefault="00921721" w:rsidP="00880D09">
            <w:pPr>
              <w:pStyle w:val="anxnormal"/>
              <w:ind w:left="0"/>
              <w:rPr>
                <w:rFonts w:asciiTheme="minorHAnsi" w:hAnsiTheme="minorHAnsi"/>
                <w:u w:val="single"/>
                <w:lang w:val="en-GB" w:eastAsia="en-US"/>
              </w:rPr>
            </w:pPr>
          </w:p>
          <w:p w14:paraId="2A474131"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Second method</w:t>
            </w:r>
          </w:p>
          <w:p w14:paraId="0A9CB505" w14:textId="77777777" w:rsidR="00921721" w:rsidRPr="002C6855" w:rsidRDefault="00921721" w:rsidP="00880D09">
            <w:pPr>
              <w:pStyle w:val="anxnormal"/>
              <w:spacing w:after="120"/>
              <w:ind w:left="0"/>
              <w:rPr>
                <w:rFonts w:asciiTheme="minorHAnsi" w:hAnsiTheme="minorHAnsi"/>
                <w:lang w:val="en-GB" w:eastAsia="en-US"/>
              </w:rPr>
            </w:pPr>
            <w:r w:rsidRPr="002C6855">
              <w:rPr>
                <w:rFonts w:asciiTheme="minorHAnsi" w:hAnsiTheme="minorHAnsi"/>
                <w:lang w:val="en-GB" w:eastAsia="en-US"/>
              </w:rPr>
              <w:lastRenderedPageBreak/>
              <w:t>Impact indicator for noise exposure: percentage of adult persons highly annoyed per person (all ages) exposed</w:t>
            </w:r>
            <w:r>
              <w:rPr>
                <w:rFonts w:asciiTheme="minorHAnsi" w:hAnsiTheme="minorHAnsi"/>
                <w:lang w:val="en-GB" w:eastAsia="en-US"/>
              </w:rPr>
              <w:t xml:space="preserve"> to excessive noise</w:t>
            </w:r>
          </w:p>
          <w:tbl>
            <w:tblPr>
              <w:tblW w:w="3962" w:type="dxa"/>
              <w:tblLayout w:type="fixed"/>
              <w:tblLook w:val="04A0" w:firstRow="1" w:lastRow="0" w:firstColumn="1" w:lastColumn="0" w:noHBand="0" w:noVBand="1"/>
            </w:tblPr>
            <w:tblGrid>
              <w:gridCol w:w="1378"/>
              <w:gridCol w:w="2584"/>
            </w:tblGrid>
            <w:tr w:rsidR="00921721" w:rsidRPr="007463B9" w14:paraId="451EBDB6" w14:textId="77777777" w:rsidTr="00880D09">
              <w:trPr>
                <w:trHeight w:hRule="exact" w:val="569"/>
              </w:trPr>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8D932FB" w14:textId="77777777" w:rsidR="00921721" w:rsidRPr="002C6855" w:rsidRDefault="00921721" w:rsidP="00880D09">
                  <w:pPr>
                    <w:jc w:val="center"/>
                    <w:rPr>
                      <w:rFonts w:asciiTheme="minorHAnsi" w:hAnsiTheme="minorHAnsi" w:cs="Arial"/>
                      <w:b/>
                      <w:bCs/>
                      <w:color w:val="FFFFFF"/>
                      <w:sz w:val="18"/>
                      <w:szCs w:val="18"/>
                    </w:rPr>
                  </w:pPr>
                  <w:proofErr w:type="spellStart"/>
                  <w:r w:rsidRPr="002C6855">
                    <w:rPr>
                      <w:rFonts w:asciiTheme="minorHAnsi" w:hAnsiTheme="minorHAnsi" w:cs="Arial"/>
                      <w:b/>
                      <w:bCs/>
                      <w:color w:val="FFFFFF"/>
                      <w:sz w:val="18"/>
                      <w:szCs w:val="18"/>
                    </w:rPr>
                    <w:t>LAeq</w:t>
                  </w:r>
                  <w:proofErr w:type="spellEnd"/>
                  <w:r w:rsidRPr="002C6855">
                    <w:rPr>
                      <w:rFonts w:asciiTheme="minorHAnsi" w:hAnsiTheme="minorHAnsi" w:cs="Arial"/>
                      <w:b/>
                      <w:bCs/>
                      <w:color w:val="FFFFFF"/>
                      <w:sz w:val="18"/>
                      <w:szCs w:val="18"/>
                    </w:rPr>
                    <w:t xml:space="preserve"> </w:t>
                  </w:r>
                  <w:proofErr w:type="spellStart"/>
                  <w:r w:rsidRPr="002C6855">
                    <w:rPr>
                      <w:rFonts w:asciiTheme="minorHAnsi" w:hAnsiTheme="minorHAnsi" w:cs="Arial"/>
                      <w:b/>
                      <w:bCs/>
                      <w:color w:val="FFFFFF"/>
                      <w:sz w:val="18"/>
                      <w:szCs w:val="18"/>
                    </w:rPr>
                    <w:t>dB</w:t>
                  </w:r>
                  <w:proofErr w:type="spellEnd"/>
                </w:p>
              </w:tc>
              <w:tc>
                <w:tcPr>
                  <w:tcW w:w="258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F85A52D" w14:textId="77777777" w:rsidR="00921721" w:rsidRPr="002C6855" w:rsidRDefault="00921721" w:rsidP="00880D09">
                  <w:pPr>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Percentage of people annoyed by noise (%)</w:t>
                  </w:r>
                </w:p>
              </w:tc>
            </w:tr>
            <w:tr w:rsidR="00921721" w:rsidRPr="007463B9" w14:paraId="657B07AD"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60CD74"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55-57</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B6A8EA"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6</w:t>
                  </w:r>
                </w:p>
              </w:tc>
            </w:tr>
            <w:tr w:rsidR="00921721" w:rsidRPr="007463B9" w14:paraId="49079A35"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E25C8D"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58-60</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056BDB"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5</w:t>
                  </w:r>
                </w:p>
              </w:tc>
            </w:tr>
            <w:tr w:rsidR="00921721" w:rsidRPr="007463B9" w14:paraId="15F78E29"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B3C197"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61-63</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168BA1"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9</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9</w:t>
                  </w:r>
                </w:p>
              </w:tc>
            </w:tr>
            <w:tr w:rsidR="00921721" w:rsidRPr="007463B9" w14:paraId="1FE7529D"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15793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64-66</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D8D16F"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13</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0</w:t>
                  </w:r>
                </w:p>
              </w:tc>
            </w:tr>
            <w:tr w:rsidR="00921721" w:rsidRPr="007463B9" w14:paraId="04BECC64"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5908D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67-69</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AB59FC2"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8</w:t>
                  </w:r>
                </w:p>
              </w:tc>
            </w:tr>
            <w:tr w:rsidR="00921721" w:rsidRPr="007463B9" w14:paraId="324A7ED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6B3D5E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70-72</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C227E0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5</w:t>
                  </w:r>
                </w:p>
              </w:tc>
            </w:tr>
            <w:tr w:rsidR="00921721" w:rsidRPr="007463B9" w14:paraId="3D6C333C"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F171FF"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73-75</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AF26B1"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27</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3</w:t>
                  </w:r>
                </w:p>
              </w:tc>
            </w:tr>
            <w:tr w:rsidR="00921721" w:rsidRPr="007463B9" w14:paraId="2547902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F663F4"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76-78</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657BB4"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34</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2</w:t>
                  </w:r>
                </w:p>
              </w:tc>
            </w:tr>
            <w:tr w:rsidR="00921721" w:rsidRPr="007463B9" w14:paraId="6E642477"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728B0D"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78-81</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4D4BD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42</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4</w:t>
                  </w:r>
                </w:p>
              </w:tc>
            </w:tr>
          </w:tbl>
          <w:p w14:paraId="12D7D881" w14:textId="77777777" w:rsidR="00921721" w:rsidRPr="002C6855" w:rsidRDefault="00921721" w:rsidP="00880D09">
            <w:pPr>
              <w:ind w:right="170"/>
              <w:jc w:val="both"/>
              <w:rPr>
                <w:rFonts w:asciiTheme="minorHAnsi" w:hAnsiTheme="minorHAnsi" w:cs="Arial"/>
                <w:b/>
                <w:i/>
                <w:sz w:val="16"/>
                <w:szCs w:val="16"/>
                <w:lang w:val="en-GB"/>
              </w:rPr>
            </w:pPr>
            <w:r w:rsidRPr="002C6855">
              <w:rPr>
                <w:rFonts w:asciiTheme="minorHAnsi" w:hAnsiTheme="minorHAnsi" w:cs="Arial"/>
                <w:b/>
                <w:i/>
                <w:sz w:val="16"/>
                <w:szCs w:val="16"/>
                <w:lang w:val="en-GB"/>
              </w:rPr>
              <w:t>Source: Proprietary work based on HEATCO.</w:t>
            </w:r>
          </w:p>
          <w:p w14:paraId="7D99764C" w14:textId="77777777" w:rsidR="00921721" w:rsidRPr="002C6855" w:rsidRDefault="00921721" w:rsidP="00880D09">
            <w:pPr>
              <w:pStyle w:val="anxnormal"/>
              <w:spacing w:after="120"/>
              <w:ind w:left="0"/>
              <w:rPr>
                <w:rFonts w:asciiTheme="minorHAnsi" w:hAnsiTheme="minorHAnsi"/>
                <w:lang w:val="en-GB" w:eastAsia="en-US"/>
              </w:rPr>
            </w:pPr>
            <w:r w:rsidRPr="002C6855">
              <w:rPr>
                <w:rFonts w:asciiTheme="minorHAnsi" w:hAnsiTheme="minorHAnsi"/>
                <w:lang w:val="en-GB" w:eastAsia="en-US"/>
              </w:rPr>
              <w:t>Economic unit costs of noise [PLN/person/year], prices 20</w:t>
            </w:r>
            <w:r>
              <w:rPr>
                <w:rFonts w:asciiTheme="minorHAnsi" w:hAnsiTheme="minorHAnsi"/>
                <w:lang w:val="en-GB" w:eastAsia="en-US"/>
              </w:rPr>
              <w:t>21</w:t>
            </w:r>
          </w:p>
          <w:tbl>
            <w:tblPr>
              <w:tblW w:w="4849" w:type="dxa"/>
              <w:tblLayout w:type="fixed"/>
              <w:tblLook w:val="04A0" w:firstRow="1" w:lastRow="0" w:firstColumn="1" w:lastColumn="0" w:noHBand="0" w:noVBand="1"/>
            </w:tblPr>
            <w:tblGrid>
              <w:gridCol w:w="969"/>
              <w:gridCol w:w="969"/>
              <w:gridCol w:w="969"/>
              <w:gridCol w:w="969"/>
              <w:gridCol w:w="973"/>
            </w:tblGrid>
            <w:tr w:rsidR="00921721" w:rsidRPr="007463B9" w14:paraId="02281ED6" w14:textId="77777777" w:rsidTr="00880D09">
              <w:trPr>
                <w:trHeight w:val="478"/>
              </w:trPr>
              <w:tc>
                <w:tcPr>
                  <w:tcW w:w="4849" w:type="dxa"/>
                  <w:gridSpan w:val="5"/>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35C2C9C"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Unit noise costs for different levels in dB (A) (PLN/person/year)</w:t>
                  </w:r>
                </w:p>
              </w:tc>
            </w:tr>
            <w:tr w:rsidR="00921721" w:rsidRPr="007463B9" w14:paraId="4B00C87B" w14:textId="77777777" w:rsidTr="00880D09">
              <w:trPr>
                <w:trHeight w:hRule="exact" w:val="309"/>
              </w:trPr>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833BA21"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55-59</w:t>
                  </w:r>
                </w:p>
              </w:tc>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3785B48"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60-64</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4B52BB16"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65-69</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3FE02457"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70-74</w:t>
                  </w:r>
                </w:p>
              </w:tc>
              <w:tc>
                <w:tcPr>
                  <w:tcW w:w="9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4DF0649"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&gt;</w:t>
                  </w:r>
                  <w:r w:rsidRPr="002C6855">
                    <w:rPr>
                      <w:rFonts w:asciiTheme="minorHAnsi" w:hAnsiTheme="minorHAnsi" w:cs="Arial"/>
                      <w:b/>
                      <w:bCs/>
                      <w:color w:val="FFFFFF"/>
                      <w:sz w:val="18"/>
                      <w:szCs w:val="18"/>
                      <w:lang w:val="en-GB"/>
                    </w:rPr>
                    <w:t>75</w:t>
                  </w:r>
                </w:p>
              </w:tc>
            </w:tr>
            <w:tr w:rsidR="00921721" w:rsidRPr="007463B9" w14:paraId="6E4F06EF" w14:textId="77777777" w:rsidTr="00880D09">
              <w:trPr>
                <w:trHeight w:val="258"/>
              </w:trPr>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17E5BB"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414</w:t>
                  </w:r>
                </w:p>
              </w:tc>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D528F9"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879</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791C3FA"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1,514</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E1840C4"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2,435</w:t>
                  </w:r>
                </w:p>
              </w:tc>
              <w:tc>
                <w:tcPr>
                  <w:tcW w:w="97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37944BE"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3,089</w:t>
                  </w:r>
                </w:p>
              </w:tc>
            </w:tr>
          </w:tbl>
          <w:p w14:paraId="68C9FDD3" w14:textId="77777777" w:rsidR="00921721" w:rsidRPr="00645142" w:rsidRDefault="00921721" w:rsidP="00880D09">
            <w:pPr>
              <w:spacing w:after="120"/>
              <w:rPr>
                <w:rFonts w:asciiTheme="minorHAnsi" w:hAnsiTheme="minorHAnsi" w:cs="Arial"/>
                <w:b/>
                <w:i/>
                <w:sz w:val="16"/>
                <w:szCs w:val="16"/>
                <w:lang w:val="en-US"/>
              </w:rPr>
            </w:pPr>
            <w:r w:rsidRPr="002C6855">
              <w:rPr>
                <w:rFonts w:asciiTheme="minorHAnsi" w:hAnsiTheme="minorHAnsi" w:cs="Arial"/>
                <w:b/>
                <w:i/>
                <w:sz w:val="16"/>
                <w:szCs w:val="16"/>
                <w:lang w:val="en-GB"/>
              </w:rPr>
              <w:t xml:space="preserve">Source: </w:t>
            </w:r>
            <w:r w:rsidRPr="00CF54F6">
              <w:rPr>
                <w:rFonts w:asciiTheme="minorHAnsi" w:hAnsiTheme="minorHAnsi" w:cs="Arial"/>
                <w:b/>
                <w:i/>
                <w:sz w:val="16"/>
                <w:szCs w:val="16"/>
                <w:lang w:val="en-US"/>
              </w:rPr>
              <w:t xml:space="preserve">CUPT-JASPERS work based on </w:t>
            </w:r>
            <w:r w:rsidRPr="00747F5E">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 file</w:t>
            </w:r>
            <w:r w:rsidRPr="00747F5E">
              <w:rPr>
                <w:rFonts w:asciiTheme="minorHAnsi" w:hAnsiTheme="minorHAnsi" w:cs="Arial"/>
                <w:b/>
                <w:i/>
                <w:sz w:val="16"/>
                <w:szCs w:val="16"/>
                <w:lang w:val="en-US"/>
              </w:rPr>
              <w:t xml:space="preserve"> "FINAL_marginal_costs_air-poll_climate_WTT_noise.xlsx"</w:t>
            </w:r>
            <w:r>
              <w:rPr>
                <w:rFonts w:asciiTheme="minorHAnsi" w:hAnsiTheme="minorHAnsi" w:cs="Arial"/>
                <w:b/>
                <w:i/>
                <w:sz w:val="16"/>
                <w:szCs w:val="16"/>
                <w:lang w:val="en-US"/>
              </w:rPr>
              <w:t>, sheet “</w:t>
            </w:r>
            <w:proofErr w:type="spellStart"/>
            <w:r w:rsidRPr="002E7D1B">
              <w:rPr>
                <w:rFonts w:asciiTheme="minorHAnsi" w:hAnsiTheme="minorHAnsi" w:cs="Arial"/>
                <w:b/>
                <w:i/>
                <w:sz w:val="16"/>
                <w:szCs w:val="16"/>
                <w:lang w:val="en-GB"/>
              </w:rPr>
              <w:t>noise_</w:t>
            </w:r>
            <w:r>
              <w:rPr>
                <w:rFonts w:asciiTheme="minorHAnsi" w:hAnsiTheme="minorHAnsi" w:cs="Arial"/>
                <w:b/>
                <w:i/>
                <w:sz w:val="16"/>
                <w:szCs w:val="16"/>
                <w:lang w:val="en-GB"/>
              </w:rPr>
              <w:t>input</w:t>
            </w:r>
            <w:proofErr w:type="spellEnd"/>
            <w:r>
              <w:rPr>
                <w:rFonts w:asciiTheme="minorHAnsi" w:hAnsiTheme="minorHAnsi" w:cs="Arial"/>
                <w:b/>
                <w:i/>
                <w:sz w:val="16"/>
                <w:szCs w:val="16"/>
                <w:lang w:val="en-US"/>
              </w:rPr>
              <w:t>”.</w:t>
            </w:r>
          </w:p>
          <w:p w14:paraId="281B835C" w14:textId="77777777" w:rsidR="00921721" w:rsidRDefault="00921721" w:rsidP="00880D09">
            <w:pPr>
              <w:pStyle w:val="anxnormal"/>
              <w:ind w:left="0"/>
              <w:rPr>
                <w:rFonts w:asciiTheme="minorHAnsi" w:hAnsiTheme="minorHAnsi"/>
                <w:u w:val="single"/>
                <w:lang w:val="en-GB" w:eastAsia="en-US"/>
              </w:rPr>
            </w:pPr>
          </w:p>
          <w:p w14:paraId="428B35FD" w14:textId="77777777" w:rsidR="00921721" w:rsidRDefault="00921721" w:rsidP="00880D09">
            <w:pPr>
              <w:pStyle w:val="anxnormal"/>
              <w:ind w:left="0"/>
              <w:rPr>
                <w:rFonts w:asciiTheme="minorHAnsi" w:hAnsiTheme="minorHAnsi"/>
                <w:u w:val="single"/>
                <w:lang w:val="en-GB" w:eastAsia="en-US"/>
              </w:rPr>
            </w:pPr>
          </w:p>
          <w:p w14:paraId="71A31561"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18782EB7"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Unit noise costs evolution over time (to be calculated) </w:t>
            </w:r>
            <w:r>
              <w:rPr>
                <w:rFonts w:asciiTheme="minorHAnsi" w:hAnsiTheme="minorHAnsi"/>
                <w:lang w:val="en-GB" w:eastAsia="en-US"/>
              </w:rPr>
              <w:t>is</w:t>
            </w:r>
            <w:r w:rsidRPr="00731E4E">
              <w:rPr>
                <w:rFonts w:asciiTheme="minorHAnsi" w:hAnsiTheme="minorHAnsi"/>
                <w:lang w:val="en-GB" w:eastAsia="en-US"/>
              </w:rPr>
              <w:t xml:space="preserve"> based on GDP per capita growth (</w:t>
            </w:r>
            <w:r>
              <w:rPr>
                <w:rFonts w:asciiTheme="minorHAnsi" w:hAnsiTheme="minorHAnsi"/>
                <w:lang w:val="en-GB" w:eastAsia="en-US"/>
              </w:rPr>
              <w:t>values provided in point </w:t>
            </w:r>
            <w:r w:rsidRPr="00731E4E">
              <w:rPr>
                <w:rFonts w:asciiTheme="minorHAnsi" w:hAnsiTheme="minorHAnsi"/>
                <w:lang w:val="en-GB" w:eastAsia="en-US"/>
              </w:rPr>
              <w:t xml:space="preserve">2) with an elasticity of 0.8. </w:t>
            </w:r>
          </w:p>
          <w:p w14:paraId="55A4DB5A" w14:textId="77777777" w:rsidR="00921721" w:rsidRDefault="00921721" w:rsidP="00880D09">
            <w:pPr>
              <w:ind w:right="170"/>
              <w:jc w:val="both"/>
              <w:rPr>
                <w:rFonts w:asciiTheme="minorHAnsi" w:hAnsiTheme="minorHAnsi" w:cs="Arial"/>
                <w:sz w:val="20"/>
                <w:szCs w:val="20"/>
                <w:highlight w:val="magenta"/>
                <w:lang w:val="en-GB"/>
              </w:rPr>
            </w:pPr>
          </w:p>
          <w:p w14:paraId="307FE05E" w14:textId="77777777" w:rsidR="00921721" w:rsidRDefault="00921721" w:rsidP="00880D09">
            <w:pPr>
              <w:ind w:right="170"/>
              <w:jc w:val="both"/>
              <w:rPr>
                <w:rFonts w:asciiTheme="minorHAnsi" w:hAnsiTheme="minorHAnsi" w:cs="Arial"/>
                <w:sz w:val="20"/>
                <w:szCs w:val="20"/>
                <w:highlight w:val="magenta"/>
                <w:lang w:val="en-GB"/>
              </w:rPr>
            </w:pPr>
          </w:p>
          <w:p w14:paraId="34CF335E" w14:textId="77777777" w:rsidR="00921721" w:rsidRDefault="00921721" w:rsidP="00880D09">
            <w:pPr>
              <w:ind w:right="170"/>
              <w:jc w:val="both"/>
              <w:rPr>
                <w:rFonts w:asciiTheme="minorHAnsi" w:hAnsiTheme="minorHAnsi" w:cs="Arial"/>
                <w:sz w:val="20"/>
                <w:szCs w:val="20"/>
                <w:lang w:val="en-GB"/>
              </w:rPr>
            </w:pPr>
          </w:p>
          <w:p w14:paraId="0BF25FFD" w14:textId="77777777" w:rsidR="00921721" w:rsidRDefault="00921721" w:rsidP="00880D09">
            <w:pPr>
              <w:pStyle w:val="anxnormal"/>
              <w:ind w:left="0"/>
              <w:rPr>
                <w:rFonts w:asciiTheme="minorHAnsi" w:hAnsiTheme="minorHAnsi" w:cs="Arial-Narrow,Bold"/>
                <w:b/>
                <w:bCs/>
                <w:color w:val="4F81BD" w:themeColor="accent1"/>
                <w:sz w:val="23"/>
                <w:szCs w:val="23"/>
                <w:lang w:val="en-GB" w:eastAsia="en-GB"/>
              </w:rPr>
            </w:pPr>
            <w:r w:rsidRPr="00F13EAB">
              <w:rPr>
                <w:rFonts w:asciiTheme="minorHAnsi" w:hAnsiTheme="minorHAnsi" w:cs="Arial-Narrow,Bold"/>
                <w:b/>
                <w:bCs/>
                <w:color w:val="4F81BD" w:themeColor="accent1"/>
                <w:sz w:val="23"/>
                <w:szCs w:val="23"/>
                <w:lang w:val="en-GB" w:eastAsia="en-GB"/>
              </w:rPr>
              <w:t xml:space="preserve">9. </w:t>
            </w:r>
            <w:r w:rsidRPr="008C036A">
              <w:rPr>
                <w:rFonts w:asciiTheme="minorHAnsi" w:hAnsiTheme="minorHAnsi" w:cs="Arial-Narrow,Bold"/>
                <w:b/>
                <w:bCs/>
                <w:color w:val="4F81BD" w:themeColor="accent1"/>
                <w:sz w:val="23"/>
                <w:szCs w:val="23"/>
                <w:lang w:val="en-GB" w:eastAsia="en-GB"/>
              </w:rPr>
              <w:t>Costs of</w:t>
            </w:r>
            <w:r w:rsidRPr="00CD7B3F">
              <w:rPr>
                <w:rFonts w:asciiTheme="minorHAnsi" w:hAnsiTheme="minorHAnsi" w:cs="Arial-Narrow,Bold"/>
                <w:b/>
                <w:bCs/>
                <w:color w:val="4F81BD" w:themeColor="accent1"/>
                <w:sz w:val="23"/>
                <w:szCs w:val="23"/>
                <w:lang w:val="en-GB" w:eastAsia="en-GB"/>
              </w:rPr>
              <w:t xml:space="preserve"> maintenance of road infrastructure (unit costs applicable to</w:t>
            </w:r>
            <w:r>
              <w:rPr>
                <w:rFonts w:asciiTheme="minorHAnsi" w:hAnsiTheme="minorHAnsi" w:cs="Arial-Narrow,Bold"/>
                <w:b/>
                <w:bCs/>
                <w:color w:val="4F81BD" w:themeColor="accent1"/>
                <w:sz w:val="23"/>
                <w:szCs w:val="23"/>
                <w:lang w:val="en-GB" w:eastAsia="en-GB"/>
              </w:rPr>
              <w:t xml:space="preserve"> </w:t>
            </w:r>
            <w:r w:rsidRPr="00CD7B3F">
              <w:rPr>
                <w:rFonts w:asciiTheme="minorHAnsi" w:hAnsiTheme="minorHAnsi" w:cs="Arial-Narrow,Bold"/>
                <w:b/>
                <w:bCs/>
                <w:color w:val="4F81BD" w:themeColor="accent1"/>
                <w:sz w:val="23"/>
                <w:szCs w:val="23"/>
                <w:lang w:val="en-GB" w:eastAsia="en-GB"/>
              </w:rPr>
              <w:t>bituminous and concrete pavements)</w:t>
            </w:r>
          </w:p>
          <w:p w14:paraId="6C592148" w14:textId="77777777" w:rsidR="00921721" w:rsidRDefault="00921721" w:rsidP="00880D09">
            <w:pPr>
              <w:pStyle w:val="anxnormal"/>
              <w:spacing w:after="120"/>
              <w:ind w:left="0"/>
              <w:rPr>
                <w:rFonts w:asciiTheme="minorHAnsi" w:hAnsiTheme="minorHAnsi"/>
                <w:lang w:val="en-GB" w:eastAsia="en-US"/>
              </w:rPr>
            </w:pPr>
            <w:r w:rsidRPr="00D011D4">
              <w:rPr>
                <w:rFonts w:asciiTheme="minorHAnsi" w:hAnsiTheme="minorHAnsi"/>
                <w:lang w:val="en-GB" w:eastAsia="en-US"/>
              </w:rPr>
              <w:lastRenderedPageBreak/>
              <w:t>If project-specific and justified O&amp;M costs data is available (i.e. the maintenance approach proposed in chapter 1.9.2 and values proposed below are not appropriate for consideration), the proposed specific operation and maintenance costs should be presented in unit costs per km and in the particular components in order to facilitate a quick comparison between project investment options.</w:t>
            </w:r>
            <w:r>
              <w:rPr>
                <w:rFonts w:asciiTheme="minorHAnsi" w:hAnsiTheme="minorHAnsi"/>
                <w:lang w:val="en-GB" w:eastAsia="en-US"/>
              </w:rPr>
              <w:t xml:space="preserve"> </w:t>
            </w:r>
          </w:p>
          <w:p w14:paraId="325EC616" w14:textId="77777777" w:rsidR="00921721" w:rsidRPr="00CD7B3F"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Unit costs of routine operation and maintenance [PLN/km]</w:t>
            </w:r>
            <w:r>
              <w:rPr>
                <w:rFonts w:asciiTheme="minorHAnsi" w:hAnsiTheme="minorHAnsi"/>
                <w:lang w:val="en-GB" w:eastAsia="en-US"/>
              </w:rPr>
              <w:t>, prices 2021</w:t>
            </w:r>
          </w:p>
          <w:tbl>
            <w:tblPr>
              <w:tblW w:w="6939" w:type="dxa"/>
              <w:tblLayout w:type="fixed"/>
              <w:tblLook w:val="04A0" w:firstRow="1" w:lastRow="0" w:firstColumn="1" w:lastColumn="0" w:noHBand="0" w:noVBand="1"/>
            </w:tblPr>
            <w:tblGrid>
              <w:gridCol w:w="3469"/>
              <w:gridCol w:w="3470"/>
            </w:tblGrid>
            <w:tr w:rsidR="00921721" w:rsidRPr="007463B9" w14:paraId="231680E2" w14:textId="77777777" w:rsidTr="00880D09">
              <w:trPr>
                <w:trHeight w:hRule="exact" w:val="535"/>
              </w:trPr>
              <w:tc>
                <w:tcPr>
                  <w:tcW w:w="34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E20870"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US"/>
                    </w:rPr>
                  </w:pPr>
                  <w:r w:rsidRPr="00CD7B3F">
                    <w:rPr>
                      <w:rFonts w:asciiTheme="minorHAnsi" w:hAnsiTheme="minorHAnsi" w:cs="Arial"/>
                      <w:b/>
                      <w:bCs/>
                      <w:color w:val="FFFFFF"/>
                      <w:sz w:val="18"/>
                      <w:szCs w:val="18"/>
                      <w:lang w:val="en-US"/>
                    </w:rPr>
                    <w:t>Road class</w:t>
                  </w:r>
                </w:p>
              </w:tc>
              <w:tc>
                <w:tcPr>
                  <w:tcW w:w="3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26AB7B6"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GB"/>
                    </w:rPr>
                  </w:pPr>
                  <w:r w:rsidRPr="00CD7B3F">
                    <w:rPr>
                      <w:rFonts w:asciiTheme="minorHAnsi" w:hAnsiTheme="minorHAnsi" w:cs="Arial"/>
                      <w:b/>
                      <w:bCs/>
                      <w:color w:val="FFFFFF"/>
                      <w:sz w:val="18"/>
                      <w:szCs w:val="18"/>
                      <w:lang w:val="en-GB"/>
                    </w:rPr>
                    <w:t>Unit costs of routine operation and maintenance [PLN/km], net</w:t>
                  </w:r>
                </w:p>
              </w:tc>
            </w:tr>
            <w:tr w:rsidR="00921721" w:rsidRPr="007463B9" w14:paraId="66DFA3D2"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5B27A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A,S - 2x2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0E264A"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9</w:t>
                  </w:r>
                  <w:r w:rsidRPr="00CD7B3F">
                    <w:rPr>
                      <w:rFonts w:asciiTheme="minorHAnsi" w:hAnsiTheme="minorHAnsi" w:cs="Arial"/>
                      <w:color w:val="4F81BD" w:themeColor="accent1"/>
                      <w:sz w:val="18"/>
                      <w:szCs w:val="18"/>
                      <w:lang w:val="en-GB"/>
                    </w:rPr>
                    <w:t>0 000</w:t>
                  </w:r>
                </w:p>
              </w:tc>
            </w:tr>
            <w:tr w:rsidR="00921721" w:rsidRPr="007463B9" w14:paraId="6403046B"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9C9F4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2+1</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986262"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4</w:t>
                  </w:r>
                  <w:r w:rsidRPr="00CD7B3F">
                    <w:rPr>
                      <w:rFonts w:asciiTheme="minorHAnsi" w:hAnsiTheme="minorHAnsi" w:cs="Arial"/>
                      <w:color w:val="4F81BD" w:themeColor="accent1"/>
                      <w:sz w:val="18"/>
                      <w:szCs w:val="18"/>
                      <w:lang w:val="en-GB"/>
                    </w:rPr>
                    <w:t>0 000</w:t>
                  </w:r>
                </w:p>
              </w:tc>
            </w:tr>
            <w:tr w:rsidR="00921721" w:rsidRPr="007463B9" w14:paraId="6AA680DC"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CD6D43"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E58EDC"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10</w:t>
                  </w:r>
                  <w:r w:rsidRPr="00CD7B3F">
                    <w:rPr>
                      <w:rFonts w:asciiTheme="minorHAnsi" w:hAnsiTheme="minorHAnsi" w:cs="Arial"/>
                      <w:color w:val="4F81BD" w:themeColor="accent1"/>
                      <w:sz w:val="18"/>
                      <w:szCs w:val="18"/>
                      <w:lang w:val="en-GB"/>
                    </w:rPr>
                    <w:t xml:space="preserve"> 000</w:t>
                  </w:r>
                </w:p>
              </w:tc>
            </w:tr>
            <w:tr w:rsidR="00921721" w:rsidRPr="007463B9" w14:paraId="43A0621E"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AA6A57"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BE4D17"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3</w:t>
                  </w:r>
                  <w:r w:rsidRPr="00CD7B3F">
                    <w:rPr>
                      <w:rFonts w:asciiTheme="minorHAnsi" w:hAnsiTheme="minorHAnsi" w:cs="Arial"/>
                      <w:color w:val="4F81BD" w:themeColor="accent1"/>
                      <w:sz w:val="18"/>
                      <w:szCs w:val="18"/>
                      <w:lang w:val="en-GB"/>
                    </w:rPr>
                    <w:t>0 000</w:t>
                  </w:r>
                </w:p>
              </w:tc>
            </w:tr>
            <w:tr w:rsidR="00921721" w:rsidRPr="007463B9" w14:paraId="25EAFDBD"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E0EEF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3D54C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 xml:space="preserve"> 000</w:t>
                  </w:r>
                </w:p>
              </w:tc>
            </w:tr>
            <w:tr w:rsidR="00921721" w:rsidRPr="007463B9" w14:paraId="275C68A8"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14F727"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5A758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 xml:space="preserve"> 000</w:t>
                  </w:r>
                </w:p>
              </w:tc>
            </w:tr>
          </w:tbl>
          <w:p w14:paraId="1F27C4FB" w14:textId="77777777" w:rsidR="00921721" w:rsidRPr="00CD7B3F" w:rsidRDefault="00921721" w:rsidP="00880D09">
            <w:pPr>
              <w:spacing w:before="120" w:after="120"/>
              <w:ind w:right="170"/>
              <w:jc w:val="both"/>
              <w:rPr>
                <w:rFonts w:asciiTheme="minorHAnsi" w:hAnsiTheme="minorHAnsi" w:cs="Arial"/>
                <w:b/>
                <w:i/>
                <w:sz w:val="16"/>
                <w:szCs w:val="16"/>
                <w:lang w:val="en-GB"/>
              </w:rPr>
            </w:pPr>
            <w:r w:rsidRPr="00CD7B3F">
              <w:rPr>
                <w:rFonts w:asciiTheme="minorHAnsi" w:hAnsiTheme="minorHAnsi" w:cs="Arial"/>
                <w:b/>
                <w:i/>
                <w:sz w:val="16"/>
                <w:szCs w:val="16"/>
                <w:lang w:val="en-GB"/>
              </w:rPr>
              <w:t xml:space="preserve">Source: Proprietary calculations based on costs taken from </w:t>
            </w:r>
            <w:proofErr w:type="spellStart"/>
            <w:r w:rsidRPr="00CD7B3F">
              <w:rPr>
                <w:rFonts w:asciiTheme="minorHAnsi" w:hAnsiTheme="minorHAnsi" w:cs="Arial"/>
                <w:b/>
                <w:i/>
                <w:sz w:val="16"/>
                <w:szCs w:val="16"/>
                <w:lang w:val="en-GB"/>
              </w:rPr>
              <w:t>GDDKiA</w:t>
            </w:r>
            <w:proofErr w:type="spellEnd"/>
            <w:r w:rsidRPr="00CD7B3F">
              <w:rPr>
                <w:rFonts w:asciiTheme="minorHAnsi" w:hAnsiTheme="minorHAnsi" w:cs="Arial"/>
                <w:b/>
                <w:i/>
                <w:sz w:val="16"/>
                <w:szCs w:val="16"/>
                <w:lang w:val="en-GB"/>
              </w:rPr>
              <w:t xml:space="preserve"> “Maintain standard”</w:t>
            </w:r>
            <w:r>
              <w:rPr>
                <w:rFonts w:asciiTheme="minorHAnsi" w:hAnsiTheme="minorHAnsi" w:cs="Arial"/>
                <w:b/>
                <w:i/>
                <w:sz w:val="16"/>
                <w:szCs w:val="16"/>
                <w:lang w:val="en-GB"/>
              </w:rPr>
              <w:t xml:space="preserve"> tenders</w:t>
            </w:r>
            <w:r w:rsidRPr="00CD7B3F">
              <w:rPr>
                <w:rFonts w:asciiTheme="minorHAnsi" w:hAnsiTheme="minorHAnsi" w:cs="Arial"/>
                <w:b/>
                <w:i/>
                <w:sz w:val="16"/>
                <w:szCs w:val="16"/>
                <w:lang w:val="en-GB"/>
              </w:rPr>
              <w:t xml:space="preserve">. </w:t>
            </w:r>
          </w:p>
          <w:p w14:paraId="53BCA3C1" w14:textId="77777777" w:rsidR="00921721" w:rsidRPr="00CD7B3F" w:rsidRDefault="00921721" w:rsidP="00880D09">
            <w:pPr>
              <w:ind w:right="170"/>
              <w:jc w:val="both"/>
              <w:rPr>
                <w:rFonts w:asciiTheme="minorHAnsi" w:hAnsiTheme="minorHAnsi" w:cs="Arial"/>
                <w:sz w:val="16"/>
                <w:szCs w:val="16"/>
                <w:lang w:val="en-GB"/>
              </w:rPr>
            </w:pPr>
            <w:r w:rsidRPr="00CD7B3F">
              <w:rPr>
                <w:rFonts w:asciiTheme="minorHAnsi" w:hAnsiTheme="minorHAnsi" w:cs="Arial"/>
                <w:sz w:val="16"/>
                <w:szCs w:val="16"/>
                <w:lang w:val="en-GB"/>
              </w:rPr>
              <w:t>Note: (1)</w:t>
            </w:r>
            <w:r>
              <w:rPr>
                <w:rFonts w:asciiTheme="minorHAnsi" w:hAnsiTheme="minorHAnsi" w:cs="Arial"/>
                <w:sz w:val="16"/>
                <w:szCs w:val="16"/>
                <w:lang w:val="en-GB"/>
              </w:rPr>
              <w:t> </w:t>
            </w:r>
            <w:r w:rsidRPr="00CD7B3F">
              <w:rPr>
                <w:rFonts w:asciiTheme="minorHAnsi" w:hAnsiTheme="minorHAnsi" w:cs="Arial"/>
                <w:sz w:val="16"/>
                <w:szCs w:val="16"/>
                <w:lang w:val="en-GB"/>
              </w:rPr>
              <w:t xml:space="preserve">The above mentioned unit costs include all routine and preventive maintenance activities </w:t>
            </w:r>
            <w:r>
              <w:rPr>
                <w:rFonts w:asciiTheme="minorHAnsi" w:hAnsiTheme="minorHAnsi" w:cs="Arial"/>
                <w:sz w:val="16"/>
                <w:szCs w:val="16"/>
                <w:lang w:val="en-GB"/>
              </w:rPr>
              <w:t>for</w:t>
            </w:r>
            <w:r w:rsidRPr="00CD7B3F">
              <w:rPr>
                <w:rFonts w:asciiTheme="minorHAnsi" w:hAnsiTheme="minorHAnsi" w:cs="Arial"/>
                <w:sz w:val="16"/>
                <w:szCs w:val="16"/>
                <w:lang w:val="en-GB"/>
              </w:rPr>
              <w:t xml:space="preserve"> all road infrastructure assets (pavement, </w:t>
            </w:r>
            <w:r>
              <w:rPr>
                <w:rFonts w:asciiTheme="minorHAnsi" w:hAnsiTheme="minorHAnsi" w:cs="Arial"/>
                <w:sz w:val="16"/>
                <w:szCs w:val="16"/>
                <w:lang w:val="en-GB"/>
              </w:rPr>
              <w:t xml:space="preserve">interchanges and other facilities, service roads, </w:t>
            </w:r>
            <w:r w:rsidRPr="00CD7B3F">
              <w:rPr>
                <w:rFonts w:asciiTheme="minorHAnsi" w:hAnsiTheme="minorHAnsi" w:cs="Arial"/>
                <w:sz w:val="16"/>
                <w:szCs w:val="16"/>
                <w:lang w:val="en-GB"/>
              </w:rPr>
              <w:t xml:space="preserve">drainage, safety equipment, noise screens, etc.). </w:t>
            </w:r>
          </w:p>
          <w:p w14:paraId="06E30366" w14:textId="77777777" w:rsidR="00921721" w:rsidRPr="00CD7B3F" w:rsidRDefault="00921721" w:rsidP="00880D09">
            <w:pPr>
              <w:ind w:right="170"/>
              <w:jc w:val="both"/>
              <w:rPr>
                <w:rFonts w:asciiTheme="minorHAnsi" w:hAnsiTheme="minorHAnsi" w:cs="Arial"/>
                <w:sz w:val="16"/>
                <w:szCs w:val="16"/>
                <w:lang w:val="en-GB"/>
              </w:rPr>
            </w:pPr>
            <w:r>
              <w:rPr>
                <w:rFonts w:asciiTheme="minorHAnsi" w:hAnsiTheme="minorHAnsi" w:cs="Arial"/>
                <w:sz w:val="16"/>
                <w:szCs w:val="16"/>
                <w:lang w:val="en-GB"/>
              </w:rPr>
              <w:t>(2) </w:t>
            </w:r>
            <w:r w:rsidRPr="00CD7B3F">
              <w:rPr>
                <w:rFonts w:asciiTheme="minorHAnsi" w:hAnsiTheme="minorHAnsi" w:cs="Arial"/>
                <w:sz w:val="16"/>
                <w:szCs w:val="16"/>
                <w:lang w:val="en-GB"/>
              </w:rPr>
              <w:t>In case of cross-sections other than the ones listed above (also for lower categories of roads), a pro-rata correction coefficient may be applied to reflect the difference in lanes (or width).</w:t>
            </w:r>
          </w:p>
          <w:p w14:paraId="4E062331" w14:textId="77777777" w:rsidR="00921721" w:rsidRDefault="00921721" w:rsidP="00880D09">
            <w:pPr>
              <w:pStyle w:val="anxnormal"/>
              <w:spacing w:after="120"/>
              <w:ind w:left="0"/>
              <w:rPr>
                <w:rFonts w:asciiTheme="minorHAnsi" w:hAnsiTheme="minorHAnsi"/>
                <w:lang w:val="en-GB" w:eastAsia="en-US"/>
              </w:rPr>
            </w:pPr>
          </w:p>
          <w:p w14:paraId="5C80DF0C" w14:textId="77777777" w:rsidR="00921721" w:rsidRPr="00CD7B3F"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Unit costs of periodic maintenance [PLN/km]</w:t>
            </w:r>
            <w:r>
              <w:rPr>
                <w:rFonts w:asciiTheme="minorHAnsi" w:hAnsiTheme="minorHAnsi"/>
                <w:lang w:val="en-GB" w:eastAsia="en-US"/>
              </w:rPr>
              <w:t>, prices 2021</w:t>
            </w:r>
          </w:p>
          <w:tbl>
            <w:tblPr>
              <w:tblW w:w="6939" w:type="dxa"/>
              <w:tblLayout w:type="fixed"/>
              <w:tblLook w:val="04A0" w:firstRow="1" w:lastRow="0" w:firstColumn="1" w:lastColumn="0" w:noHBand="0" w:noVBand="1"/>
            </w:tblPr>
            <w:tblGrid>
              <w:gridCol w:w="3469"/>
              <w:gridCol w:w="3470"/>
            </w:tblGrid>
            <w:tr w:rsidR="00921721" w:rsidRPr="007463B9" w14:paraId="2375CCDA" w14:textId="77777777" w:rsidTr="00880D09">
              <w:trPr>
                <w:trHeight w:hRule="exact" w:val="536"/>
              </w:trPr>
              <w:tc>
                <w:tcPr>
                  <w:tcW w:w="34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6F9BDCD" w14:textId="77777777" w:rsidR="00921721" w:rsidRPr="00C61254" w:rsidRDefault="00921721" w:rsidP="00880D09">
                  <w:pPr>
                    <w:snapToGrid w:val="0"/>
                    <w:spacing w:before="20" w:after="20"/>
                    <w:jc w:val="center"/>
                    <w:rPr>
                      <w:rFonts w:asciiTheme="minorHAnsi" w:hAnsiTheme="minorHAnsi" w:cs="Arial"/>
                      <w:b/>
                      <w:bCs/>
                      <w:color w:val="FFFFFF"/>
                      <w:sz w:val="18"/>
                      <w:szCs w:val="18"/>
                      <w:lang w:val="en-US"/>
                    </w:rPr>
                  </w:pPr>
                  <w:r w:rsidRPr="00C61254">
                    <w:rPr>
                      <w:rFonts w:asciiTheme="minorHAnsi" w:hAnsiTheme="minorHAnsi" w:cs="Arial"/>
                      <w:b/>
                      <w:bCs/>
                      <w:color w:val="FFFFFF"/>
                      <w:sz w:val="18"/>
                      <w:szCs w:val="18"/>
                      <w:lang w:val="en-US"/>
                    </w:rPr>
                    <w:t>Road class</w:t>
                  </w:r>
                </w:p>
              </w:tc>
              <w:tc>
                <w:tcPr>
                  <w:tcW w:w="3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5F357A2"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GB"/>
                    </w:rPr>
                  </w:pPr>
                  <w:r w:rsidRPr="00CD7B3F">
                    <w:rPr>
                      <w:rFonts w:asciiTheme="minorHAnsi" w:hAnsiTheme="minorHAnsi" w:cs="Arial"/>
                      <w:b/>
                      <w:bCs/>
                      <w:color w:val="FFFFFF"/>
                      <w:sz w:val="18"/>
                      <w:szCs w:val="18"/>
                      <w:lang w:val="en-GB"/>
                    </w:rPr>
                    <w:t>Unit costs of periodic maintenance [PLN/km], net</w:t>
                  </w:r>
                </w:p>
              </w:tc>
            </w:tr>
            <w:tr w:rsidR="00921721" w:rsidRPr="007463B9" w14:paraId="7442ECA3"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40895B"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A,S - 2x2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E250C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 xml:space="preserve">1 </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00 000</w:t>
                  </w:r>
                </w:p>
              </w:tc>
            </w:tr>
            <w:tr w:rsidR="00921721" w:rsidRPr="007463B9" w14:paraId="79F5700C"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7D2871"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2+1</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856160"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 xml:space="preserve">1 </w:t>
                  </w:r>
                  <w:r>
                    <w:rPr>
                      <w:rFonts w:asciiTheme="minorHAnsi" w:hAnsiTheme="minorHAnsi" w:cs="Arial"/>
                      <w:color w:val="4F81BD" w:themeColor="accent1"/>
                      <w:sz w:val="18"/>
                      <w:szCs w:val="18"/>
                      <w:lang w:val="en-GB"/>
                    </w:rPr>
                    <w:t>1</w:t>
                  </w:r>
                  <w:r w:rsidRPr="00CD7B3F">
                    <w:rPr>
                      <w:rFonts w:asciiTheme="minorHAnsi" w:hAnsiTheme="minorHAnsi" w:cs="Arial"/>
                      <w:color w:val="4F81BD" w:themeColor="accent1"/>
                      <w:sz w:val="18"/>
                      <w:szCs w:val="18"/>
                      <w:lang w:val="en-GB"/>
                    </w:rPr>
                    <w:t>00 000</w:t>
                  </w:r>
                </w:p>
              </w:tc>
            </w:tr>
            <w:tr w:rsidR="00921721" w:rsidRPr="007463B9" w14:paraId="3B7309E4"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D863D6"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7ADCB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9</w:t>
                  </w:r>
                  <w:r w:rsidRPr="00CD7B3F">
                    <w:rPr>
                      <w:rFonts w:asciiTheme="minorHAnsi" w:hAnsiTheme="minorHAnsi" w:cs="Arial"/>
                      <w:color w:val="4F81BD" w:themeColor="accent1"/>
                      <w:sz w:val="18"/>
                      <w:szCs w:val="18"/>
                      <w:lang w:val="en-GB"/>
                    </w:rPr>
                    <w:t>00 000</w:t>
                  </w:r>
                </w:p>
              </w:tc>
            </w:tr>
            <w:tr w:rsidR="00921721" w:rsidRPr="007463B9" w14:paraId="18EF9E90"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4F3164"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26A0B2"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 xml:space="preserve">1 </w:t>
                  </w:r>
                  <w:r>
                    <w:rPr>
                      <w:rFonts w:asciiTheme="minorHAnsi" w:hAnsiTheme="minorHAnsi" w:cs="Arial"/>
                      <w:color w:val="4F81BD" w:themeColor="accent1"/>
                      <w:sz w:val="18"/>
                      <w:szCs w:val="18"/>
                      <w:lang w:val="en-GB"/>
                    </w:rPr>
                    <w:t>2</w:t>
                  </w:r>
                  <w:r w:rsidRPr="00CD7B3F">
                    <w:rPr>
                      <w:rFonts w:asciiTheme="minorHAnsi" w:hAnsiTheme="minorHAnsi" w:cs="Arial"/>
                      <w:color w:val="4F81BD" w:themeColor="accent1"/>
                      <w:sz w:val="18"/>
                      <w:szCs w:val="18"/>
                      <w:lang w:val="en-GB"/>
                    </w:rPr>
                    <w:t>00 000</w:t>
                  </w:r>
                </w:p>
              </w:tc>
            </w:tr>
            <w:tr w:rsidR="00921721" w:rsidRPr="007463B9" w14:paraId="77AA0EA0"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A2C23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02ACB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8</w:t>
                  </w:r>
                  <w:r w:rsidRPr="00CD7B3F">
                    <w:rPr>
                      <w:rFonts w:asciiTheme="minorHAnsi" w:hAnsiTheme="minorHAnsi" w:cs="Arial"/>
                      <w:color w:val="4F81BD" w:themeColor="accent1"/>
                      <w:sz w:val="18"/>
                      <w:szCs w:val="18"/>
                      <w:lang w:val="en-GB"/>
                    </w:rPr>
                    <w:t>00 000</w:t>
                  </w:r>
                </w:p>
              </w:tc>
            </w:tr>
            <w:tr w:rsidR="00921721" w:rsidRPr="007463B9" w14:paraId="05803E20"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FFF80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DBE22A" w14:textId="77777777" w:rsidR="00921721" w:rsidRPr="00CD7B3F" w:rsidRDefault="00921721" w:rsidP="00880D09">
                  <w:pPr>
                    <w:tabs>
                      <w:tab w:val="left" w:pos="945"/>
                      <w:tab w:val="center" w:pos="1284"/>
                    </w:tabs>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0 000</w:t>
                  </w:r>
                </w:p>
              </w:tc>
            </w:tr>
          </w:tbl>
          <w:p w14:paraId="23DC1570" w14:textId="77777777" w:rsidR="00921721" w:rsidRPr="00CD7B3F" w:rsidRDefault="00921721" w:rsidP="00880D09">
            <w:pPr>
              <w:spacing w:before="120" w:after="120"/>
              <w:ind w:right="170"/>
              <w:jc w:val="both"/>
              <w:rPr>
                <w:rFonts w:asciiTheme="minorHAnsi" w:hAnsiTheme="minorHAnsi" w:cs="Arial"/>
                <w:b/>
                <w:i/>
                <w:spacing w:val="-2"/>
                <w:sz w:val="16"/>
                <w:szCs w:val="16"/>
                <w:lang w:val="en-GB"/>
              </w:rPr>
            </w:pPr>
            <w:r w:rsidRPr="00CD7B3F">
              <w:rPr>
                <w:rFonts w:asciiTheme="minorHAnsi" w:hAnsiTheme="minorHAnsi" w:cs="Arial"/>
                <w:b/>
                <w:i/>
                <w:spacing w:val="-2"/>
                <w:sz w:val="16"/>
                <w:szCs w:val="16"/>
                <w:lang w:val="en-GB"/>
              </w:rPr>
              <w:t xml:space="preserve">Source: Proprietary calculations based on costs taken from </w:t>
            </w:r>
            <w:proofErr w:type="spellStart"/>
            <w:r w:rsidRPr="00CD7B3F">
              <w:rPr>
                <w:rFonts w:asciiTheme="minorHAnsi" w:hAnsiTheme="minorHAnsi" w:cs="Arial"/>
                <w:b/>
                <w:i/>
                <w:spacing w:val="-2"/>
                <w:sz w:val="16"/>
                <w:szCs w:val="16"/>
                <w:lang w:val="en-GB"/>
              </w:rPr>
              <w:t>GDDKiA’s</w:t>
            </w:r>
            <w:proofErr w:type="spellEnd"/>
            <w:r w:rsidRPr="00CD7B3F">
              <w:rPr>
                <w:rFonts w:asciiTheme="minorHAnsi" w:hAnsiTheme="minorHAnsi" w:cs="Arial"/>
                <w:b/>
                <w:i/>
                <w:spacing w:val="-2"/>
                <w:sz w:val="16"/>
                <w:szCs w:val="16"/>
                <w:lang w:val="en-GB"/>
              </w:rPr>
              <w:t xml:space="preserve"> </w:t>
            </w:r>
            <w:r>
              <w:rPr>
                <w:rFonts w:asciiTheme="minorHAnsi" w:hAnsiTheme="minorHAnsi" w:cs="Arial"/>
                <w:b/>
                <w:i/>
                <w:spacing w:val="-2"/>
                <w:sz w:val="16"/>
                <w:szCs w:val="16"/>
                <w:lang w:val="en-GB"/>
              </w:rPr>
              <w:t>maintenance tenders</w:t>
            </w:r>
            <w:r w:rsidRPr="00CD7B3F">
              <w:rPr>
                <w:rFonts w:asciiTheme="minorHAnsi" w:hAnsiTheme="minorHAnsi" w:cs="Arial"/>
                <w:b/>
                <w:i/>
                <w:spacing w:val="-2"/>
                <w:sz w:val="16"/>
                <w:szCs w:val="16"/>
                <w:lang w:val="en-GB"/>
              </w:rPr>
              <w:t>.</w:t>
            </w:r>
          </w:p>
          <w:p w14:paraId="4D2F2BEC" w14:textId="77777777" w:rsidR="00921721" w:rsidRPr="00CD7B3F" w:rsidRDefault="00921721" w:rsidP="00880D09">
            <w:pPr>
              <w:ind w:right="170"/>
              <w:jc w:val="both"/>
              <w:rPr>
                <w:rFonts w:asciiTheme="minorHAnsi" w:hAnsiTheme="minorHAnsi" w:cs="Arial"/>
                <w:sz w:val="16"/>
                <w:szCs w:val="16"/>
                <w:lang w:val="en-GB"/>
              </w:rPr>
            </w:pPr>
            <w:r>
              <w:rPr>
                <w:rFonts w:asciiTheme="minorHAnsi" w:hAnsiTheme="minorHAnsi" w:cs="Arial"/>
                <w:sz w:val="16"/>
                <w:szCs w:val="16"/>
                <w:lang w:val="en-GB"/>
              </w:rPr>
              <w:t>Note: (1) </w:t>
            </w:r>
            <w:r w:rsidRPr="00CD7B3F">
              <w:rPr>
                <w:rFonts w:asciiTheme="minorHAnsi" w:hAnsiTheme="minorHAnsi" w:cs="Arial"/>
                <w:sz w:val="16"/>
                <w:szCs w:val="16"/>
                <w:lang w:val="en-GB"/>
              </w:rPr>
              <w:t xml:space="preserve">The above mentioned unit costs include all periodic maintenance </w:t>
            </w:r>
            <w:r>
              <w:rPr>
                <w:rFonts w:asciiTheme="minorHAnsi" w:hAnsiTheme="minorHAnsi" w:cs="Arial"/>
                <w:sz w:val="16"/>
                <w:szCs w:val="16"/>
                <w:lang w:val="en-GB"/>
              </w:rPr>
              <w:t xml:space="preserve">for </w:t>
            </w:r>
            <w:r w:rsidRPr="00CD7B3F">
              <w:rPr>
                <w:rFonts w:asciiTheme="minorHAnsi" w:hAnsiTheme="minorHAnsi" w:cs="Arial"/>
                <w:sz w:val="16"/>
                <w:szCs w:val="16"/>
                <w:lang w:val="en-GB"/>
              </w:rPr>
              <w:t xml:space="preserve">all road infrastructure assets (pavement, </w:t>
            </w:r>
            <w:r>
              <w:rPr>
                <w:rFonts w:asciiTheme="minorHAnsi" w:hAnsiTheme="minorHAnsi" w:cs="Arial"/>
                <w:sz w:val="16"/>
                <w:szCs w:val="16"/>
                <w:lang w:val="en-GB"/>
              </w:rPr>
              <w:t xml:space="preserve">interchanges and other facilities, service roads, </w:t>
            </w:r>
            <w:r w:rsidRPr="00CD7B3F">
              <w:rPr>
                <w:rFonts w:asciiTheme="minorHAnsi" w:hAnsiTheme="minorHAnsi" w:cs="Arial"/>
                <w:sz w:val="16"/>
                <w:szCs w:val="16"/>
                <w:lang w:val="en-GB"/>
              </w:rPr>
              <w:t>drainage, safety equipment, noise screens, etc.).</w:t>
            </w:r>
          </w:p>
          <w:p w14:paraId="25B4EC74" w14:textId="77777777" w:rsidR="00921721" w:rsidRPr="00CD7B3F" w:rsidRDefault="00921721" w:rsidP="00880D09">
            <w:pPr>
              <w:ind w:right="170"/>
              <w:jc w:val="both"/>
              <w:rPr>
                <w:rFonts w:asciiTheme="minorHAnsi" w:hAnsiTheme="minorHAnsi" w:cs="Arial"/>
                <w:sz w:val="16"/>
                <w:szCs w:val="16"/>
                <w:lang w:val="en-GB"/>
              </w:rPr>
            </w:pPr>
            <w:r>
              <w:rPr>
                <w:rFonts w:asciiTheme="minorHAnsi" w:hAnsiTheme="minorHAnsi" w:cs="Arial"/>
                <w:sz w:val="16"/>
                <w:szCs w:val="16"/>
                <w:lang w:val="en-GB"/>
              </w:rPr>
              <w:lastRenderedPageBreak/>
              <w:t>(2) </w:t>
            </w:r>
            <w:r w:rsidRPr="00CD7B3F">
              <w:rPr>
                <w:rFonts w:asciiTheme="minorHAnsi" w:hAnsiTheme="minorHAnsi" w:cs="Arial"/>
                <w:sz w:val="16"/>
                <w:szCs w:val="16"/>
                <w:lang w:val="en-GB"/>
              </w:rPr>
              <w:t>In case of cross-sections other than the ones listed above (also for lower categories of roads), a pro-rata correction coefficient may be applied to reflect the difference in lanes (or width).</w:t>
            </w:r>
          </w:p>
          <w:p w14:paraId="28DFF150" w14:textId="77777777" w:rsidR="00921721" w:rsidRPr="00CD7B3F" w:rsidRDefault="00921721" w:rsidP="00880D09">
            <w:pPr>
              <w:ind w:right="170"/>
              <w:jc w:val="both"/>
              <w:rPr>
                <w:rFonts w:asciiTheme="minorHAnsi" w:hAnsiTheme="minorHAnsi" w:cs="Arial"/>
                <w:sz w:val="16"/>
                <w:szCs w:val="16"/>
                <w:lang w:val="en-GB"/>
              </w:rPr>
            </w:pPr>
          </w:p>
          <w:p w14:paraId="3239555E" w14:textId="77777777" w:rsidR="00921721" w:rsidRPr="00CD7B3F" w:rsidRDefault="00921721" w:rsidP="00880D09">
            <w:pPr>
              <w:pStyle w:val="anxnormal"/>
              <w:ind w:left="0"/>
              <w:rPr>
                <w:rFonts w:asciiTheme="minorHAnsi" w:hAnsiTheme="minorHAnsi"/>
                <w:u w:val="single"/>
                <w:lang w:val="en-GB" w:eastAsia="en-US"/>
              </w:rPr>
            </w:pPr>
            <w:r w:rsidRPr="00CD7B3F">
              <w:rPr>
                <w:rFonts w:asciiTheme="minorHAnsi" w:hAnsiTheme="minorHAnsi"/>
                <w:u w:val="single"/>
                <w:lang w:val="en-GB" w:eastAsia="en-US"/>
              </w:rPr>
              <w:t>Unit cost evolution over time</w:t>
            </w:r>
          </w:p>
          <w:p w14:paraId="5C8CBFAD"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It is assumed that there will be </w:t>
            </w:r>
            <w:r>
              <w:rPr>
                <w:rFonts w:asciiTheme="minorHAnsi" w:hAnsiTheme="minorHAnsi"/>
                <w:lang w:val="en-GB" w:eastAsia="en-US"/>
              </w:rPr>
              <w:t>no</w:t>
            </w:r>
            <w:r w:rsidRPr="00731E4E">
              <w:rPr>
                <w:rFonts w:asciiTheme="minorHAnsi" w:hAnsiTheme="minorHAnsi"/>
                <w:lang w:val="en-GB" w:eastAsia="en-US"/>
              </w:rPr>
              <w:t xml:space="preserve"> real increase in unit </w:t>
            </w:r>
            <w:r>
              <w:rPr>
                <w:rFonts w:asciiTheme="minorHAnsi" w:hAnsiTheme="minorHAnsi"/>
                <w:lang w:val="en-GB" w:eastAsia="en-US"/>
              </w:rPr>
              <w:t xml:space="preserve">costs of </w:t>
            </w:r>
            <w:r w:rsidRPr="00CD7B3F">
              <w:rPr>
                <w:rFonts w:asciiTheme="minorHAnsi" w:hAnsiTheme="minorHAnsi"/>
                <w:lang w:val="en-GB" w:eastAsia="en-US"/>
              </w:rPr>
              <w:t>operation and maintenance</w:t>
            </w:r>
            <w:r w:rsidRPr="00731E4E">
              <w:rPr>
                <w:rFonts w:asciiTheme="minorHAnsi" w:hAnsiTheme="minorHAnsi"/>
                <w:lang w:val="en-GB" w:eastAsia="en-US"/>
              </w:rPr>
              <w:t xml:space="preserve"> </w:t>
            </w:r>
            <w:r>
              <w:rPr>
                <w:rFonts w:asciiTheme="minorHAnsi" w:hAnsiTheme="minorHAnsi"/>
                <w:lang w:val="en-GB" w:eastAsia="en-US"/>
              </w:rPr>
              <w:t xml:space="preserve">of road infrastructure </w:t>
            </w:r>
            <w:r w:rsidRPr="00731E4E">
              <w:rPr>
                <w:rFonts w:asciiTheme="minorHAnsi" w:hAnsiTheme="minorHAnsi"/>
                <w:lang w:val="en-GB" w:eastAsia="en-US"/>
              </w:rPr>
              <w:t>over time</w:t>
            </w:r>
            <w:r w:rsidRPr="005057A8">
              <w:rPr>
                <w:rFonts w:asciiTheme="minorHAnsi" w:hAnsiTheme="minorHAnsi"/>
                <w:lang w:val="en-GB" w:eastAsia="en-US"/>
              </w:rPr>
              <w:t>.</w:t>
            </w:r>
            <w:r w:rsidRPr="002C6855">
              <w:rPr>
                <w:rFonts w:asciiTheme="minorHAnsi" w:hAnsiTheme="minorHAnsi"/>
                <w:lang w:val="en-GB" w:eastAsia="en-US"/>
              </w:rPr>
              <w:t xml:space="preserve"> Only nominal indexation to the price level appropriate for the base year, when it moves on from the </w:t>
            </w:r>
            <w:r w:rsidRPr="0097372E">
              <w:rPr>
                <w:rFonts w:asciiTheme="minorHAnsi" w:hAnsiTheme="minorHAnsi"/>
                <w:lang w:val="en-GB" w:eastAsia="en-US"/>
              </w:rPr>
              <w:t>currently adopted (202</w:t>
            </w:r>
            <w:r>
              <w:rPr>
                <w:rFonts w:asciiTheme="minorHAnsi" w:hAnsiTheme="minorHAnsi"/>
                <w:lang w:val="en-GB" w:eastAsia="en-US"/>
              </w:rPr>
              <w:t>1</w:t>
            </w:r>
            <w:r w:rsidRPr="0097372E">
              <w:rPr>
                <w:rFonts w:asciiTheme="minorHAnsi" w:hAnsiTheme="minorHAnsi"/>
                <w:lang w:val="en-GB" w:eastAsia="en-US"/>
              </w:rPr>
              <w:t>),</w:t>
            </w:r>
            <w:r w:rsidRPr="002C6855">
              <w:rPr>
                <w:rFonts w:asciiTheme="minorHAnsi" w:hAnsiTheme="minorHAnsi"/>
                <w:lang w:val="en-GB" w:eastAsia="en-US"/>
              </w:rPr>
              <w:t xml:space="preserve"> should be conducted with the use of Polish </w:t>
            </w:r>
            <w:r>
              <w:rPr>
                <w:rFonts w:asciiTheme="minorHAnsi" w:hAnsiTheme="minorHAnsi"/>
                <w:lang w:val="en-GB" w:eastAsia="en-US"/>
              </w:rPr>
              <w:t>inflation of prices in construction and assembly industry</w:t>
            </w:r>
            <w:r w:rsidRPr="002C6855">
              <w:rPr>
                <w:rFonts w:asciiTheme="minorHAnsi" w:hAnsiTheme="minorHAnsi"/>
                <w:lang w:val="en-GB" w:eastAsia="en-US"/>
              </w:rPr>
              <w:t>.</w:t>
            </w:r>
            <w:r>
              <w:rPr>
                <w:rFonts w:asciiTheme="minorHAnsi" w:hAnsiTheme="minorHAnsi"/>
                <w:lang w:val="en-GB" w:eastAsia="en-US"/>
              </w:rPr>
              <w:t xml:space="preserve"> </w:t>
            </w:r>
          </w:p>
          <w:p w14:paraId="1EA24975" w14:textId="77777777" w:rsidR="00921721" w:rsidRPr="00CD7B3F" w:rsidRDefault="00921721" w:rsidP="00880D09">
            <w:pPr>
              <w:pStyle w:val="anxnormal"/>
              <w:spacing w:before="0"/>
              <w:ind w:left="0"/>
              <w:rPr>
                <w:rFonts w:asciiTheme="minorHAnsi" w:hAnsiTheme="minorHAnsi"/>
                <w:lang w:val="en-GB" w:eastAsia="en-US"/>
              </w:rPr>
            </w:pPr>
          </w:p>
          <w:p w14:paraId="52E8DFC6" w14:textId="77777777" w:rsidR="00921721" w:rsidRPr="00CD7B3F" w:rsidRDefault="00921721" w:rsidP="00880D09">
            <w:pPr>
              <w:ind w:right="170"/>
              <w:jc w:val="both"/>
              <w:rPr>
                <w:rFonts w:asciiTheme="minorHAnsi" w:hAnsiTheme="minorHAnsi" w:cs="Arial-Narrow,Bold"/>
                <w:b/>
                <w:bCs/>
                <w:color w:val="4F81BD" w:themeColor="accent1"/>
                <w:sz w:val="20"/>
                <w:szCs w:val="20"/>
                <w:lang w:val="en-GB"/>
              </w:rPr>
            </w:pPr>
            <w:r w:rsidRPr="00CD7B3F">
              <w:rPr>
                <w:rFonts w:asciiTheme="minorHAnsi" w:hAnsiTheme="minorHAnsi" w:cs="Arial-Narrow,Bold"/>
                <w:b/>
                <w:bCs/>
                <w:color w:val="4F81BD" w:themeColor="accent1"/>
                <w:sz w:val="20"/>
                <w:szCs w:val="20"/>
                <w:lang w:val="en-GB"/>
              </w:rPr>
              <w:t xml:space="preserve">Unit costs of </w:t>
            </w:r>
            <w:r>
              <w:rPr>
                <w:rFonts w:asciiTheme="minorHAnsi" w:hAnsiTheme="minorHAnsi" w:cs="Arial-Narrow,Bold"/>
                <w:b/>
                <w:bCs/>
                <w:color w:val="4F81BD" w:themeColor="accent1"/>
                <w:sz w:val="20"/>
                <w:szCs w:val="20"/>
                <w:lang w:val="en-GB"/>
              </w:rPr>
              <w:t>large engineering</w:t>
            </w:r>
            <w:r w:rsidRPr="00CD7B3F">
              <w:rPr>
                <w:rFonts w:asciiTheme="minorHAnsi" w:hAnsiTheme="minorHAnsi" w:cs="Arial-Narrow,Bold"/>
                <w:b/>
                <w:bCs/>
                <w:color w:val="4F81BD" w:themeColor="accent1"/>
                <w:sz w:val="20"/>
                <w:szCs w:val="20"/>
                <w:lang w:val="en-GB"/>
              </w:rPr>
              <w:t xml:space="preserve"> structures (only in exceptional cases)</w:t>
            </w:r>
          </w:p>
          <w:p w14:paraId="4ADD99B4" w14:textId="77777777" w:rsidR="00921721" w:rsidRPr="00CD7B3F" w:rsidRDefault="00921721" w:rsidP="00880D09">
            <w:pPr>
              <w:pStyle w:val="anxnormal"/>
              <w:ind w:left="0"/>
              <w:rPr>
                <w:rFonts w:asciiTheme="minorHAnsi" w:hAnsiTheme="minorHAnsi"/>
                <w:lang w:val="en-GB" w:eastAsia="en-US"/>
              </w:rPr>
            </w:pPr>
            <w:r w:rsidRPr="00CD7B3F">
              <w:rPr>
                <w:rFonts w:asciiTheme="minorHAnsi" w:hAnsiTheme="minorHAnsi"/>
                <w:lang w:val="en-GB" w:eastAsia="en-US"/>
              </w:rPr>
              <w:t xml:space="preserve">Generally, it is recommended </w:t>
            </w:r>
            <w:r w:rsidRPr="00CD7B3F">
              <w:rPr>
                <w:rFonts w:asciiTheme="minorHAnsi" w:hAnsiTheme="minorHAnsi"/>
                <w:u w:val="single"/>
                <w:lang w:val="en-GB" w:eastAsia="en-US"/>
              </w:rPr>
              <w:t xml:space="preserve">to </w:t>
            </w:r>
            <w:r>
              <w:rPr>
                <w:rFonts w:asciiTheme="minorHAnsi" w:hAnsiTheme="minorHAnsi"/>
                <w:u w:val="single"/>
                <w:lang w:val="en-GB" w:eastAsia="en-US"/>
              </w:rPr>
              <w:t>have</w:t>
            </w:r>
            <w:r w:rsidRPr="00CD7B3F">
              <w:rPr>
                <w:rFonts w:asciiTheme="minorHAnsi" w:hAnsiTheme="minorHAnsi"/>
                <w:u w:val="single"/>
                <w:lang w:val="en-GB" w:eastAsia="en-US"/>
              </w:rPr>
              <w:t xml:space="preserve"> a particular analysis</w:t>
            </w:r>
            <w:r>
              <w:rPr>
                <w:rFonts w:asciiTheme="minorHAnsi" w:hAnsiTheme="minorHAnsi"/>
                <w:u w:val="single"/>
                <w:lang w:val="en-GB" w:eastAsia="en-US"/>
              </w:rPr>
              <w:t xml:space="preserve"> conducted</w:t>
            </w:r>
            <w:r w:rsidRPr="00CD7B3F">
              <w:rPr>
                <w:rFonts w:asciiTheme="minorHAnsi" w:hAnsiTheme="minorHAnsi"/>
                <w:u w:val="single"/>
                <w:lang w:val="en-GB" w:eastAsia="en-US"/>
              </w:rPr>
              <w:t xml:space="preserve">, case by case, by </w:t>
            </w:r>
            <w:r>
              <w:rPr>
                <w:rFonts w:asciiTheme="minorHAnsi" w:hAnsiTheme="minorHAnsi"/>
                <w:u w:val="single"/>
                <w:lang w:val="en-GB" w:eastAsia="en-US"/>
              </w:rPr>
              <w:t>an</w:t>
            </w:r>
            <w:r w:rsidRPr="00CD7B3F">
              <w:rPr>
                <w:rFonts w:asciiTheme="minorHAnsi" w:hAnsiTheme="minorHAnsi"/>
                <w:u w:val="single"/>
                <w:lang w:val="en-GB" w:eastAsia="en-US"/>
              </w:rPr>
              <w:t xml:space="preserve"> engineering expert</w:t>
            </w:r>
            <w:r w:rsidRPr="00CD7B3F">
              <w:rPr>
                <w:rFonts w:asciiTheme="minorHAnsi" w:hAnsiTheme="minorHAnsi"/>
                <w:lang w:val="en-GB" w:eastAsia="en-US"/>
              </w:rPr>
              <w:t>, to estimate the respective O&amp;M costs, in particular</w:t>
            </w:r>
            <w:r>
              <w:rPr>
                <w:rFonts w:asciiTheme="minorHAnsi" w:hAnsiTheme="minorHAnsi"/>
                <w:lang w:val="en-GB" w:eastAsia="en-US"/>
              </w:rPr>
              <w:t xml:space="preserve"> if the estimates are used to</w:t>
            </w:r>
            <w:r w:rsidRPr="00CD7B3F">
              <w:rPr>
                <w:rFonts w:asciiTheme="minorHAnsi" w:hAnsiTheme="minorHAnsi"/>
                <w:lang w:val="en-GB" w:eastAsia="en-US"/>
              </w:rPr>
              <w:t xml:space="preserve"> forecast</w:t>
            </w:r>
            <w:r>
              <w:rPr>
                <w:rFonts w:asciiTheme="minorHAnsi" w:hAnsiTheme="minorHAnsi"/>
                <w:lang w:val="en-GB" w:eastAsia="en-US"/>
              </w:rPr>
              <w:t xml:space="preserve"> an</w:t>
            </w:r>
            <w:r w:rsidRPr="00CD7B3F">
              <w:rPr>
                <w:rFonts w:asciiTheme="minorHAnsi" w:hAnsiTheme="minorHAnsi"/>
                <w:lang w:val="en-GB" w:eastAsia="en-US"/>
              </w:rPr>
              <w:t xml:space="preserve"> O&amp;M budget</w:t>
            </w:r>
            <w:r>
              <w:rPr>
                <w:rFonts w:asciiTheme="minorHAnsi" w:hAnsiTheme="minorHAnsi"/>
                <w:lang w:val="en-GB" w:eastAsia="en-US"/>
              </w:rPr>
              <w:t xml:space="preserve"> necessary to maintain these structures</w:t>
            </w:r>
            <w:r w:rsidRPr="00CD7B3F">
              <w:rPr>
                <w:rFonts w:asciiTheme="minorHAnsi" w:hAnsiTheme="minorHAnsi"/>
                <w:lang w:val="en-GB" w:eastAsia="en-US"/>
              </w:rPr>
              <w:t>.</w:t>
            </w:r>
          </w:p>
          <w:p w14:paraId="325E6203" w14:textId="77777777" w:rsidR="00921721" w:rsidRPr="00CD7B3F" w:rsidRDefault="00921721" w:rsidP="00880D09">
            <w:pPr>
              <w:pStyle w:val="anxnormal"/>
              <w:ind w:left="0"/>
              <w:rPr>
                <w:rFonts w:asciiTheme="minorHAnsi" w:hAnsiTheme="minorHAnsi"/>
                <w:lang w:val="en-GB" w:eastAsia="en-US"/>
              </w:rPr>
            </w:pPr>
            <w:r>
              <w:rPr>
                <w:rFonts w:asciiTheme="minorHAnsi" w:hAnsiTheme="minorHAnsi"/>
                <w:lang w:val="en-GB" w:eastAsia="en-US"/>
              </w:rPr>
              <w:t>When no other reliable data is available, for</w:t>
            </w:r>
            <w:r w:rsidRPr="00CD7B3F">
              <w:rPr>
                <w:rFonts w:asciiTheme="minorHAnsi" w:hAnsiTheme="minorHAnsi"/>
                <w:lang w:val="en-GB" w:eastAsia="en-US"/>
              </w:rPr>
              <w:t xml:space="preserve"> purposes of CBA, 1.5% of the investment costs </w:t>
            </w:r>
            <w:r>
              <w:rPr>
                <w:rFonts w:asciiTheme="minorHAnsi" w:hAnsiTheme="minorHAnsi"/>
                <w:lang w:val="en-GB" w:eastAsia="en-US"/>
              </w:rPr>
              <w:t xml:space="preserve">is </w:t>
            </w:r>
            <w:r w:rsidRPr="00CD7B3F">
              <w:rPr>
                <w:rFonts w:asciiTheme="minorHAnsi" w:hAnsiTheme="minorHAnsi"/>
                <w:lang w:val="en-GB" w:eastAsia="en-US"/>
              </w:rPr>
              <w:t>consider</w:t>
            </w:r>
            <w:r>
              <w:rPr>
                <w:rFonts w:asciiTheme="minorHAnsi" w:hAnsiTheme="minorHAnsi"/>
                <w:lang w:val="en-GB" w:eastAsia="en-US"/>
              </w:rPr>
              <w:t>ed valid as a preliminary estimation of</w:t>
            </w:r>
            <w:r w:rsidRPr="00CD7B3F">
              <w:rPr>
                <w:rFonts w:asciiTheme="minorHAnsi" w:hAnsiTheme="minorHAnsi"/>
                <w:lang w:val="en-GB" w:eastAsia="en-US"/>
              </w:rPr>
              <w:t xml:space="preserve"> total yearly average routine and periodic O&amp;M costs for the given </w:t>
            </w:r>
            <w:r>
              <w:rPr>
                <w:rFonts w:asciiTheme="minorHAnsi" w:hAnsiTheme="minorHAnsi"/>
                <w:lang w:val="en-GB" w:eastAsia="en-US"/>
              </w:rPr>
              <w:t xml:space="preserve">engineering </w:t>
            </w:r>
            <w:r w:rsidRPr="00CD7B3F">
              <w:rPr>
                <w:rFonts w:asciiTheme="minorHAnsi" w:hAnsiTheme="minorHAnsi"/>
                <w:lang w:val="en-GB" w:eastAsia="en-US"/>
              </w:rPr>
              <w:t xml:space="preserve">structure (identified by </w:t>
            </w:r>
            <w:r>
              <w:rPr>
                <w:rFonts w:asciiTheme="minorHAnsi" w:hAnsiTheme="minorHAnsi"/>
                <w:lang w:val="en-GB" w:eastAsia="en-US"/>
              </w:rPr>
              <w:t>means of</w:t>
            </w:r>
            <w:r w:rsidRPr="00CD7B3F">
              <w:rPr>
                <w:rFonts w:asciiTheme="minorHAnsi" w:hAnsiTheme="minorHAnsi"/>
                <w:lang w:val="en-GB" w:eastAsia="en-US"/>
              </w:rPr>
              <w:t xml:space="preserve"> sound project engineer</w:t>
            </w:r>
            <w:r>
              <w:rPr>
                <w:rFonts w:asciiTheme="minorHAnsi" w:hAnsiTheme="minorHAnsi"/>
                <w:lang w:val="en-GB" w:eastAsia="en-US"/>
              </w:rPr>
              <w:t>ing</w:t>
            </w:r>
            <w:r w:rsidRPr="00CD7B3F">
              <w:rPr>
                <w:rFonts w:asciiTheme="minorHAnsi" w:hAnsiTheme="minorHAnsi"/>
                <w:lang w:val="en-GB" w:eastAsia="en-US"/>
              </w:rPr>
              <w:t xml:space="preserve"> criteria). </w:t>
            </w:r>
            <w:r>
              <w:rPr>
                <w:rFonts w:asciiTheme="minorHAnsi" w:hAnsiTheme="minorHAnsi"/>
                <w:lang w:val="en-GB" w:eastAsia="en-US"/>
              </w:rPr>
              <w:t>F</w:t>
            </w:r>
            <w:r w:rsidRPr="00CD7B3F">
              <w:rPr>
                <w:rFonts w:asciiTheme="minorHAnsi" w:hAnsiTheme="minorHAnsi"/>
                <w:lang w:val="en-GB" w:eastAsia="en-US"/>
              </w:rPr>
              <w:t xml:space="preserve">or the rest of the project </w:t>
            </w:r>
            <w:r>
              <w:rPr>
                <w:rFonts w:asciiTheme="minorHAnsi" w:hAnsiTheme="minorHAnsi"/>
                <w:lang w:val="en-GB" w:eastAsia="en-US"/>
              </w:rPr>
              <w:t xml:space="preserve">road </w:t>
            </w:r>
            <w:r w:rsidRPr="00CD7B3F">
              <w:rPr>
                <w:rFonts w:asciiTheme="minorHAnsi" w:hAnsiTheme="minorHAnsi"/>
                <w:lang w:val="en-GB" w:eastAsia="en-US"/>
              </w:rPr>
              <w:t xml:space="preserve">length, the above proposed overall unit costs </w:t>
            </w:r>
            <w:r>
              <w:rPr>
                <w:rFonts w:asciiTheme="minorHAnsi" w:hAnsiTheme="minorHAnsi"/>
                <w:lang w:val="en-GB" w:eastAsia="en-US"/>
              </w:rPr>
              <w:t xml:space="preserve">of maintenance </w:t>
            </w:r>
            <w:r w:rsidRPr="00CD7B3F">
              <w:rPr>
                <w:rFonts w:asciiTheme="minorHAnsi" w:hAnsiTheme="minorHAnsi"/>
                <w:lang w:val="en-GB" w:eastAsia="en-US"/>
              </w:rPr>
              <w:t xml:space="preserve">(routine and periodic) should be applied. </w:t>
            </w:r>
          </w:p>
          <w:p w14:paraId="69E2DBD6" w14:textId="77777777" w:rsidR="00921721" w:rsidRPr="00141B51" w:rsidRDefault="00921721" w:rsidP="00880D09">
            <w:pPr>
              <w:pStyle w:val="anxnormal"/>
              <w:ind w:left="0"/>
              <w:rPr>
                <w:rFonts w:asciiTheme="minorHAnsi" w:hAnsiTheme="minorHAnsi"/>
                <w:lang w:val="en-GB" w:eastAsia="en-US"/>
              </w:rPr>
            </w:pPr>
          </w:p>
          <w:p w14:paraId="3F189D46" w14:textId="77777777" w:rsidR="00921721" w:rsidRPr="00CD7B3F" w:rsidRDefault="00921721" w:rsidP="00880D09">
            <w:pPr>
              <w:ind w:right="170"/>
              <w:jc w:val="both"/>
              <w:rPr>
                <w:rFonts w:asciiTheme="minorHAnsi" w:hAnsiTheme="minorHAnsi" w:cs="Arial-Narrow,Bold"/>
                <w:b/>
                <w:bCs/>
                <w:color w:val="4F81BD" w:themeColor="accent1"/>
                <w:sz w:val="20"/>
                <w:szCs w:val="20"/>
                <w:lang w:val="en-GB"/>
              </w:rPr>
            </w:pPr>
            <w:r w:rsidRPr="00CD7B3F">
              <w:rPr>
                <w:rFonts w:asciiTheme="minorHAnsi" w:hAnsiTheme="minorHAnsi" w:cs="Arial-Narrow,Bold"/>
                <w:b/>
                <w:bCs/>
                <w:color w:val="4F81BD" w:themeColor="accent1"/>
                <w:sz w:val="20"/>
                <w:szCs w:val="20"/>
                <w:lang w:val="en-GB"/>
              </w:rPr>
              <w:t>Unit operating costs of the tolling system</w:t>
            </w:r>
          </w:p>
          <w:p w14:paraId="2E565BED" w14:textId="77777777" w:rsidR="00921721" w:rsidRDefault="00921721" w:rsidP="00880D09">
            <w:pPr>
              <w:pStyle w:val="anxnormal"/>
              <w:ind w:left="0"/>
              <w:rPr>
                <w:rFonts w:asciiTheme="minorHAnsi" w:hAnsiTheme="minorHAnsi"/>
                <w:lang w:val="en-GB" w:eastAsia="en-US"/>
              </w:rPr>
            </w:pPr>
            <w:r w:rsidRPr="00DA45AE">
              <w:rPr>
                <w:rFonts w:asciiTheme="minorHAnsi" w:hAnsiTheme="minorHAnsi"/>
                <w:lang w:val="en-GB" w:eastAsia="en-US"/>
              </w:rPr>
              <w:t>Proposed electronic toll operating unit costs below are based on</w:t>
            </w:r>
            <w:r>
              <w:rPr>
                <w:rFonts w:asciiTheme="minorHAnsi" w:hAnsiTheme="minorHAnsi"/>
                <w:lang w:val="en-GB" w:eastAsia="en-US"/>
              </w:rPr>
              <w:t xml:space="preserve"> costs associated with operation of the Electronic Tolling System in July, August and September 2021. Until the end of September there were two electronic tolling systems running in parallel: the incumbent </w:t>
            </w:r>
            <w:proofErr w:type="spellStart"/>
            <w:r>
              <w:rPr>
                <w:rFonts w:asciiTheme="minorHAnsi" w:hAnsiTheme="minorHAnsi"/>
                <w:lang w:val="en-GB" w:eastAsia="en-US"/>
              </w:rPr>
              <w:t>viaTOLL</w:t>
            </w:r>
            <w:proofErr w:type="spellEnd"/>
            <w:r>
              <w:rPr>
                <w:rFonts w:asciiTheme="minorHAnsi" w:hAnsiTheme="minorHAnsi"/>
                <w:lang w:val="en-GB" w:eastAsia="en-US"/>
              </w:rPr>
              <w:t xml:space="preserve"> and the introduced e-TOLL. Cost data concerning operation of the Electronic Tolling System refers to both systems. Since 1</w:t>
            </w:r>
            <w:r w:rsidRPr="00DA45AE">
              <w:rPr>
                <w:rFonts w:asciiTheme="minorHAnsi" w:hAnsiTheme="minorHAnsi"/>
                <w:vertAlign w:val="superscript"/>
                <w:lang w:val="en-GB" w:eastAsia="en-US"/>
              </w:rPr>
              <w:t>st</w:t>
            </w:r>
            <w:r>
              <w:rPr>
                <w:rFonts w:asciiTheme="minorHAnsi" w:hAnsiTheme="minorHAnsi"/>
                <w:lang w:val="en-GB" w:eastAsia="en-US"/>
              </w:rPr>
              <w:t xml:space="preserve"> October 2021 e-TOLL became the only system for paying the toll for driving on tolled roads in Poland. During the period covered by cost data, the total length of public tolled roads managed by </w:t>
            </w:r>
            <w:proofErr w:type="spellStart"/>
            <w:r>
              <w:rPr>
                <w:rFonts w:asciiTheme="minorHAnsi" w:hAnsiTheme="minorHAnsi"/>
                <w:lang w:val="en-GB" w:eastAsia="en-US"/>
              </w:rPr>
              <w:t>GDDKiA</w:t>
            </w:r>
            <w:proofErr w:type="spellEnd"/>
            <w:r>
              <w:rPr>
                <w:rFonts w:asciiTheme="minorHAnsi" w:hAnsiTheme="minorHAnsi"/>
                <w:lang w:val="en-GB" w:eastAsia="en-US"/>
              </w:rPr>
              <w:t xml:space="preserve"> amounted to 3.68 thousand kilometres. It will be possible to update unit operating costs of the tolling system based on cost data concerning the system operation after the completion of the introductory period. This may be effected as part of the routine update of unit cost tables published by CUPT. </w:t>
            </w:r>
          </w:p>
          <w:p w14:paraId="4211503D" w14:textId="77777777" w:rsidR="00921721" w:rsidRPr="00CD7B3F" w:rsidRDefault="00921721" w:rsidP="00880D09">
            <w:pPr>
              <w:pStyle w:val="anxnormal"/>
              <w:ind w:left="0"/>
              <w:rPr>
                <w:rFonts w:asciiTheme="minorHAnsi" w:hAnsiTheme="minorHAnsi"/>
                <w:lang w:val="en-GB" w:eastAsia="en-US"/>
              </w:rPr>
            </w:pPr>
          </w:p>
          <w:p w14:paraId="2D401665" w14:textId="79DC29E6" w:rsidR="00921721" w:rsidRDefault="00921721" w:rsidP="00880D09">
            <w:pPr>
              <w:pStyle w:val="anxnormal"/>
              <w:ind w:left="0"/>
              <w:rPr>
                <w:rFonts w:asciiTheme="minorHAnsi" w:hAnsiTheme="minorHAnsi"/>
                <w:lang w:val="en-GB" w:eastAsia="en-US"/>
              </w:rPr>
            </w:pPr>
          </w:p>
          <w:p w14:paraId="0E406574" w14:textId="0C3C7D1C" w:rsidR="00921721" w:rsidRDefault="00921721" w:rsidP="00880D09">
            <w:pPr>
              <w:pStyle w:val="anxnormal"/>
              <w:ind w:left="0"/>
              <w:rPr>
                <w:rFonts w:asciiTheme="minorHAnsi" w:hAnsiTheme="minorHAnsi"/>
                <w:lang w:val="en-GB" w:eastAsia="en-US"/>
              </w:rPr>
            </w:pPr>
          </w:p>
          <w:p w14:paraId="0798626F" w14:textId="77777777" w:rsidR="00921721" w:rsidRPr="00CD7B3F" w:rsidRDefault="00921721" w:rsidP="00880D09">
            <w:pPr>
              <w:pStyle w:val="anxnormal"/>
              <w:ind w:left="0"/>
              <w:rPr>
                <w:rFonts w:asciiTheme="minorHAnsi" w:hAnsiTheme="minorHAnsi"/>
                <w:lang w:val="en-GB" w:eastAsia="en-US"/>
              </w:rPr>
            </w:pPr>
          </w:p>
          <w:p w14:paraId="0EA7D931" w14:textId="77777777" w:rsidR="00921721" w:rsidRPr="00CD7B3F"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Electronic tolling system operating unit costs [PLN/km]</w:t>
            </w:r>
          </w:p>
          <w:tbl>
            <w:tblPr>
              <w:tblW w:w="6939" w:type="dxa"/>
              <w:tblLayout w:type="fixed"/>
              <w:tblLook w:val="04A0" w:firstRow="1" w:lastRow="0" w:firstColumn="1" w:lastColumn="0" w:noHBand="0" w:noVBand="1"/>
            </w:tblPr>
            <w:tblGrid>
              <w:gridCol w:w="3469"/>
              <w:gridCol w:w="3470"/>
            </w:tblGrid>
            <w:tr w:rsidR="00921721" w:rsidRPr="007463B9" w14:paraId="7D9FF606" w14:textId="77777777" w:rsidTr="00880D09">
              <w:trPr>
                <w:trHeight w:hRule="exact" w:val="499"/>
              </w:trPr>
              <w:tc>
                <w:tcPr>
                  <w:tcW w:w="34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843DEA0"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proofErr w:type="spellStart"/>
                  <w:r w:rsidRPr="00CD7B3F">
                    <w:rPr>
                      <w:rFonts w:asciiTheme="minorHAnsi" w:hAnsiTheme="minorHAnsi" w:cs="Arial"/>
                      <w:b/>
                      <w:bCs/>
                      <w:color w:val="FFFFFF"/>
                      <w:sz w:val="18"/>
                      <w:szCs w:val="18"/>
                    </w:rPr>
                    <w:t>Year</w:t>
                  </w:r>
                  <w:proofErr w:type="spellEnd"/>
                </w:p>
              </w:tc>
              <w:tc>
                <w:tcPr>
                  <w:tcW w:w="3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EC0984F"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GB"/>
                    </w:rPr>
                  </w:pPr>
                  <w:r w:rsidRPr="00CD7B3F">
                    <w:rPr>
                      <w:rFonts w:asciiTheme="minorHAnsi" w:hAnsiTheme="minorHAnsi" w:cs="Arial"/>
                      <w:b/>
                      <w:bCs/>
                      <w:color w:val="FFFFFF"/>
                      <w:sz w:val="18"/>
                      <w:szCs w:val="18"/>
                      <w:lang w:val="en-GB"/>
                    </w:rPr>
                    <w:t>Electronic tolling system operating unit costs (PLN/km), net</w:t>
                  </w:r>
                </w:p>
              </w:tc>
            </w:tr>
            <w:tr w:rsidR="00921721" w:rsidRPr="007463B9" w14:paraId="2B64BA9C" w14:textId="77777777" w:rsidTr="00880D09">
              <w:trPr>
                <w:trHeight w:val="22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AE3086"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2021</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8877B2"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63 535</w:t>
                  </w:r>
                </w:p>
              </w:tc>
            </w:tr>
          </w:tbl>
          <w:p w14:paraId="5257CF6F" w14:textId="77777777" w:rsidR="00921721" w:rsidRPr="00CD7B3F" w:rsidRDefault="00921721" w:rsidP="00880D09">
            <w:pPr>
              <w:spacing w:before="120" w:after="120"/>
              <w:ind w:right="170"/>
              <w:jc w:val="both"/>
              <w:rPr>
                <w:rFonts w:asciiTheme="minorHAnsi" w:hAnsiTheme="minorHAnsi" w:cs="Arial"/>
                <w:sz w:val="20"/>
                <w:szCs w:val="20"/>
                <w:lang w:val="en-GB"/>
              </w:rPr>
            </w:pPr>
            <w:r w:rsidRPr="00CD7B3F">
              <w:rPr>
                <w:rFonts w:asciiTheme="minorHAnsi" w:hAnsiTheme="minorHAnsi" w:cs="Arial"/>
                <w:b/>
                <w:i/>
                <w:sz w:val="16"/>
                <w:szCs w:val="16"/>
                <w:lang w:val="en-GB"/>
              </w:rPr>
              <w:t xml:space="preserve">Source: </w:t>
            </w:r>
            <w:r>
              <w:rPr>
                <w:rFonts w:asciiTheme="minorHAnsi" w:hAnsiTheme="minorHAnsi" w:cs="Arial"/>
                <w:b/>
                <w:i/>
                <w:sz w:val="16"/>
                <w:szCs w:val="16"/>
                <w:lang w:val="en-GB"/>
              </w:rPr>
              <w:t>CUPT work based on data from the Ministry of Finance – National Revenue Administration</w:t>
            </w:r>
            <w:r w:rsidRPr="00CD7B3F">
              <w:rPr>
                <w:rFonts w:asciiTheme="minorHAnsi" w:hAnsiTheme="minorHAnsi" w:cs="Arial"/>
                <w:b/>
                <w:i/>
                <w:sz w:val="16"/>
                <w:szCs w:val="16"/>
                <w:lang w:val="en-GB"/>
              </w:rPr>
              <w:t>.</w:t>
            </w:r>
          </w:p>
          <w:p w14:paraId="0DBDAA39" w14:textId="77777777" w:rsidR="00921721" w:rsidRPr="00CD7B3F" w:rsidRDefault="00921721" w:rsidP="00880D09">
            <w:pPr>
              <w:pStyle w:val="anxnormal"/>
              <w:ind w:left="0"/>
              <w:rPr>
                <w:rFonts w:asciiTheme="minorHAnsi" w:hAnsiTheme="minorHAnsi"/>
                <w:u w:val="single"/>
                <w:lang w:val="en-GB" w:eastAsia="en-US"/>
              </w:rPr>
            </w:pPr>
          </w:p>
          <w:p w14:paraId="4037F877" w14:textId="77777777" w:rsidR="00921721" w:rsidRPr="00CD7B3F" w:rsidRDefault="00921721" w:rsidP="00880D09">
            <w:pPr>
              <w:pStyle w:val="anxnormal"/>
              <w:ind w:left="0"/>
              <w:rPr>
                <w:rFonts w:asciiTheme="minorHAnsi" w:hAnsiTheme="minorHAnsi"/>
                <w:u w:val="single"/>
                <w:lang w:val="en-GB" w:eastAsia="en-US"/>
              </w:rPr>
            </w:pPr>
            <w:r w:rsidRPr="00CD7B3F">
              <w:rPr>
                <w:rFonts w:asciiTheme="minorHAnsi" w:hAnsiTheme="minorHAnsi"/>
                <w:u w:val="single"/>
                <w:lang w:val="en-GB" w:eastAsia="en-US"/>
              </w:rPr>
              <w:t>Unit cost evolution over time</w:t>
            </w:r>
          </w:p>
          <w:p w14:paraId="3E43CA11" w14:textId="77777777" w:rsidR="00921721" w:rsidRPr="00AC4126" w:rsidRDefault="00921721" w:rsidP="00880D09">
            <w:pPr>
              <w:pStyle w:val="anxnormal"/>
              <w:ind w:left="0"/>
              <w:rPr>
                <w:rFonts w:asciiTheme="minorHAnsi" w:hAnsiTheme="minorHAnsi"/>
                <w:lang w:val="en-GB" w:eastAsia="en-US"/>
              </w:rPr>
            </w:pPr>
            <w:r w:rsidRPr="00AC4126">
              <w:rPr>
                <w:rFonts w:asciiTheme="minorHAnsi" w:hAnsiTheme="minorHAnsi"/>
                <w:lang w:val="en-GB" w:eastAsia="en-US"/>
              </w:rPr>
              <w:t xml:space="preserve">It is assumed that there will be no real increase in unit costs of operation and maintenance of </w:t>
            </w:r>
            <w:r>
              <w:rPr>
                <w:rFonts w:asciiTheme="minorHAnsi" w:hAnsiTheme="minorHAnsi"/>
                <w:lang w:val="en-GB" w:eastAsia="en-US"/>
              </w:rPr>
              <w:t xml:space="preserve">the electronic tolling system </w:t>
            </w:r>
            <w:r w:rsidRPr="00AC4126">
              <w:rPr>
                <w:rFonts w:asciiTheme="minorHAnsi" w:hAnsiTheme="minorHAnsi"/>
                <w:lang w:val="en-GB" w:eastAsia="en-US"/>
              </w:rPr>
              <w:t xml:space="preserve">over time. Only nominal indexation to the price level appropriate for the base year, when it moves on from the </w:t>
            </w:r>
            <w:r>
              <w:rPr>
                <w:rFonts w:asciiTheme="minorHAnsi" w:hAnsiTheme="minorHAnsi"/>
                <w:lang w:val="en-GB" w:eastAsia="en-US"/>
              </w:rPr>
              <w:t>currently adopted (2021</w:t>
            </w:r>
            <w:r w:rsidRPr="00AC4126">
              <w:rPr>
                <w:rFonts w:asciiTheme="minorHAnsi" w:hAnsiTheme="minorHAnsi"/>
                <w:lang w:val="en-GB" w:eastAsia="en-US"/>
              </w:rPr>
              <w:t>), should be conducted with the use of Polish inflation of prices in construction and assembly industry.</w:t>
            </w:r>
            <w:r>
              <w:rPr>
                <w:rFonts w:asciiTheme="minorHAnsi" w:hAnsiTheme="minorHAnsi"/>
                <w:lang w:val="en-GB" w:eastAsia="en-US"/>
              </w:rPr>
              <w:t xml:space="preserve"> </w:t>
            </w:r>
          </w:p>
          <w:p w14:paraId="49ABCA0A" w14:textId="77777777" w:rsidR="00921721" w:rsidRDefault="00921721" w:rsidP="00880D09">
            <w:pPr>
              <w:pStyle w:val="anxnormal"/>
              <w:ind w:left="0"/>
              <w:rPr>
                <w:rFonts w:asciiTheme="minorHAnsi" w:hAnsiTheme="minorHAnsi"/>
                <w:lang w:val="en-GB" w:eastAsia="en-US"/>
              </w:rPr>
            </w:pPr>
          </w:p>
          <w:p w14:paraId="5E72AFA2" w14:textId="77777777" w:rsidR="00921721" w:rsidRDefault="00921721" w:rsidP="00880D09">
            <w:pPr>
              <w:pStyle w:val="anxnormal"/>
              <w:ind w:left="0"/>
              <w:rPr>
                <w:rFonts w:asciiTheme="minorHAnsi" w:hAnsiTheme="minorHAnsi"/>
                <w:lang w:val="en-GB" w:eastAsia="en-US"/>
              </w:rPr>
            </w:pPr>
          </w:p>
          <w:p w14:paraId="70C8B70F" w14:textId="77777777" w:rsidR="00921721" w:rsidRDefault="00921721" w:rsidP="00880D09">
            <w:pPr>
              <w:pStyle w:val="anxnormal"/>
              <w:ind w:left="0"/>
              <w:rPr>
                <w:rFonts w:asciiTheme="minorHAnsi" w:hAnsiTheme="minorHAnsi"/>
                <w:lang w:val="en-GB" w:eastAsia="en-US"/>
              </w:rPr>
            </w:pPr>
          </w:p>
          <w:p w14:paraId="5F23B927" w14:textId="77777777" w:rsidR="00921721" w:rsidRDefault="00921721" w:rsidP="00880D09">
            <w:pPr>
              <w:pStyle w:val="anxnormal"/>
              <w:ind w:left="0"/>
              <w:rPr>
                <w:rFonts w:asciiTheme="minorHAnsi" w:hAnsiTheme="minorHAnsi"/>
                <w:lang w:val="en-GB" w:eastAsia="en-US"/>
              </w:rPr>
            </w:pPr>
          </w:p>
          <w:p w14:paraId="7882ED00" w14:textId="77777777" w:rsidR="00921721" w:rsidRDefault="00921721" w:rsidP="00880D09">
            <w:pPr>
              <w:pStyle w:val="anxnormal"/>
              <w:ind w:left="0"/>
              <w:rPr>
                <w:rFonts w:asciiTheme="minorHAnsi" w:hAnsiTheme="minorHAnsi"/>
                <w:lang w:val="en-GB" w:eastAsia="en-US"/>
              </w:rPr>
            </w:pPr>
          </w:p>
          <w:p w14:paraId="51CAFF0D" w14:textId="77777777" w:rsidR="00921721" w:rsidRDefault="00921721" w:rsidP="00880D09">
            <w:pPr>
              <w:pStyle w:val="anxnormal"/>
              <w:ind w:left="0"/>
              <w:rPr>
                <w:rFonts w:asciiTheme="minorHAnsi" w:hAnsiTheme="minorHAnsi"/>
                <w:lang w:val="en-GB" w:eastAsia="en-US"/>
              </w:rPr>
            </w:pPr>
          </w:p>
          <w:p w14:paraId="73A77ED8" w14:textId="77777777" w:rsidR="00921721" w:rsidRDefault="00921721" w:rsidP="00880D09">
            <w:pPr>
              <w:pStyle w:val="anxnormal"/>
              <w:ind w:left="0"/>
              <w:rPr>
                <w:rFonts w:asciiTheme="minorHAnsi" w:hAnsiTheme="minorHAnsi"/>
                <w:lang w:val="en-GB" w:eastAsia="en-US"/>
              </w:rPr>
            </w:pPr>
          </w:p>
          <w:p w14:paraId="7BBA1E99" w14:textId="77777777" w:rsidR="00921721" w:rsidRDefault="00921721" w:rsidP="00880D09">
            <w:pPr>
              <w:pStyle w:val="anxnormal"/>
              <w:ind w:left="0"/>
              <w:rPr>
                <w:rFonts w:asciiTheme="minorHAnsi" w:hAnsiTheme="minorHAnsi"/>
                <w:lang w:val="en-GB" w:eastAsia="en-US"/>
              </w:rPr>
            </w:pPr>
          </w:p>
          <w:p w14:paraId="2E34D6C8" w14:textId="77777777" w:rsidR="00921721" w:rsidRDefault="00921721" w:rsidP="00880D09">
            <w:pPr>
              <w:pStyle w:val="anxnormal"/>
              <w:ind w:left="0"/>
              <w:rPr>
                <w:rFonts w:asciiTheme="minorHAnsi" w:hAnsiTheme="minorHAnsi"/>
                <w:lang w:val="en-GB" w:eastAsia="en-US"/>
              </w:rPr>
            </w:pPr>
          </w:p>
          <w:p w14:paraId="3C209298" w14:textId="77777777" w:rsidR="00921721" w:rsidRDefault="00921721" w:rsidP="00880D09">
            <w:pPr>
              <w:pStyle w:val="anxnormal"/>
              <w:ind w:left="0"/>
              <w:rPr>
                <w:rFonts w:asciiTheme="minorHAnsi" w:hAnsiTheme="minorHAnsi"/>
                <w:lang w:val="en-GB" w:eastAsia="en-US"/>
              </w:rPr>
            </w:pPr>
          </w:p>
          <w:p w14:paraId="5CB90BC2" w14:textId="77777777" w:rsidR="00921721" w:rsidRPr="00821B08" w:rsidRDefault="00921721" w:rsidP="00880D09">
            <w:pPr>
              <w:pStyle w:val="anxnormal"/>
              <w:ind w:left="0"/>
              <w:rPr>
                <w:rFonts w:asciiTheme="minorHAnsi" w:hAnsiTheme="minorHAnsi" w:cs="Arial-Narrow,Bold"/>
                <w:b/>
                <w:bCs/>
                <w:color w:val="4F81BD" w:themeColor="accent1"/>
                <w:sz w:val="23"/>
                <w:szCs w:val="23"/>
                <w:lang w:val="en-GB" w:eastAsia="en-GB"/>
              </w:rPr>
            </w:pPr>
            <w:r w:rsidRPr="00821B08">
              <w:rPr>
                <w:rFonts w:asciiTheme="minorHAnsi" w:hAnsiTheme="minorHAnsi" w:cs="Arial-Narrow,Bold"/>
                <w:b/>
                <w:bCs/>
                <w:color w:val="4F81BD" w:themeColor="accent1"/>
                <w:sz w:val="23"/>
                <w:szCs w:val="23"/>
                <w:lang w:val="en-GB" w:eastAsia="en-GB"/>
              </w:rPr>
              <w:t>10. Example: Residual value calculation based on depreciation</w:t>
            </w:r>
          </w:p>
          <w:p w14:paraId="4204EDB7"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Project X construction costs breakdown is presented in the table below:</w:t>
            </w:r>
          </w:p>
          <w:tbl>
            <w:tblPr>
              <w:tblW w:w="7227" w:type="dxa"/>
              <w:tblBorders>
                <w:insideH w:val="single" w:sz="4" w:space="0" w:color="FFFFFF"/>
                <w:insideV w:val="single" w:sz="4" w:space="0" w:color="FFFFFF"/>
              </w:tblBorders>
              <w:tblLayout w:type="fixed"/>
              <w:tblLook w:val="04A0" w:firstRow="1" w:lastRow="0" w:firstColumn="1" w:lastColumn="0" w:noHBand="0" w:noVBand="1"/>
            </w:tblPr>
            <w:tblGrid>
              <w:gridCol w:w="1487"/>
              <w:gridCol w:w="921"/>
              <w:gridCol w:w="1275"/>
              <w:gridCol w:w="1276"/>
              <w:gridCol w:w="1276"/>
              <w:gridCol w:w="992"/>
            </w:tblGrid>
            <w:tr w:rsidR="00921721" w:rsidRPr="007463B9" w14:paraId="4C70D755" w14:textId="77777777" w:rsidTr="00880D09">
              <w:trPr>
                <w:trHeight w:val="226"/>
              </w:trPr>
              <w:tc>
                <w:tcPr>
                  <w:tcW w:w="1487" w:type="dxa"/>
                  <w:vMerge w:val="restart"/>
                  <w:tcBorders>
                    <w:top w:val="nil"/>
                    <w:left w:val="nil"/>
                    <w:bottom w:val="single" w:sz="4" w:space="0" w:color="FFFFFF"/>
                    <w:right w:val="single" w:sz="4" w:space="0" w:color="FFFFFF"/>
                  </w:tcBorders>
                  <w:shd w:val="clear" w:color="auto" w:fill="A6A6A6" w:themeFill="background1" w:themeFillShade="A6"/>
                  <w:vAlign w:val="center"/>
                  <w:hideMark/>
                </w:tcPr>
                <w:p w14:paraId="52204FF5"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rPr>
                  </w:pPr>
                  <w:r w:rsidRPr="0021282C">
                    <w:rPr>
                      <w:rFonts w:asciiTheme="minorHAnsi" w:eastAsia="Arial Narrow" w:hAnsiTheme="minorHAnsi" w:cs="Arial Narrow"/>
                      <w:b/>
                      <w:color w:val="FFFFFF"/>
                      <w:spacing w:val="-1"/>
                      <w:w w:val="108"/>
                      <w:position w:val="-1"/>
                      <w:sz w:val="18"/>
                      <w:szCs w:val="18"/>
                    </w:rPr>
                    <w:lastRenderedPageBreak/>
                    <w:t xml:space="preserve">Project </w:t>
                  </w:r>
                  <w:proofErr w:type="spellStart"/>
                  <w:r w:rsidRPr="0021282C">
                    <w:rPr>
                      <w:rFonts w:asciiTheme="minorHAnsi" w:eastAsia="Arial Narrow" w:hAnsiTheme="minorHAnsi" w:cs="Arial Narrow"/>
                      <w:b/>
                      <w:color w:val="FFFFFF"/>
                      <w:spacing w:val="-1"/>
                      <w:w w:val="108"/>
                      <w:position w:val="-1"/>
                      <w:sz w:val="18"/>
                      <w:szCs w:val="18"/>
                    </w:rPr>
                    <w:t>Item</w:t>
                  </w:r>
                  <w:proofErr w:type="spellEnd"/>
                </w:p>
              </w:tc>
              <w:tc>
                <w:tcPr>
                  <w:tcW w:w="921"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3CA858F9"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rPr>
                  </w:pPr>
                  <w:proofErr w:type="spellStart"/>
                  <w:r w:rsidRPr="0021282C">
                    <w:rPr>
                      <w:rFonts w:asciiTheme="minorHAnsi" w:eastAsia="Arial Narrow" w:hAnsiTheme="minorHAnsi" w:cs="Arial Narrow"/>
                      <w:b/>
                      <w:color w:val="FFFFFF"/>
                      <w:spacing w:val="-1"/>
                      <w:w w:val="108"/>
                      <w:position w:val="-1"/>
                      <w:sz w:val="18"/>
                      <w:szCs w:val="18"/>
                    </w:rPr>
                    <w:t>Costs</w:t>
                  </w:r>
                  <w:proofErr w:type="spellEnd"/>
                </w:p>
              </w:tc>
              <w:tc>
                <w:tcPr>
                  <w:tcW w:w="1275"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216A22AC"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Average physical life of assets</w:t>
                  </w:r>
                </w:p>
              </w:tc>
              <w:tc>
                <w:tcPr>
                  <w:tcW w:w="1276"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7FC0EEA2"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 xml:space="preserve">Required </w:t>
                  </w:r>
                  <w:proofErr w:type="spellStart"/>
                  <w:r w:rsidRPr="0021282C">
                    <w:rPr>
                      <w:rFonts w:asciiTheme="minorHAnsi" w:eastAsia="Arial Narrow" w:hAnsiTheme="minorHAnsi" w:cs="Arial Narrow"/>
                      <w:b/>
                      <w:color w:val="FFFFFF"/>
                      <w:spacing w:val="-1"/>
                      <w:w w:val="108"/>
                      <w:position w:val="-1"/>
                      <w:sz w:val="18"/>
                      <w:szCs w:val="18"/>
                      <w:lang w:val="en-GB"/>
                    </w:rPr>
                    <w:t>replacmt</w:t>
                  </w:r>
                  <w:proofErr w:type="spellEnd"/>
                  <w:r w:rsidRPr="0021282C">
                    <w:rPr>
                      <w:rFonts w:asciiTheme="minorHAnsi" w:eastAsia="Arial Narrow" w:hAnsiTheme="minorHAnsi" w:cs="Arial Narrow"/>
                      <w:b/>
                      <w:color w:val="FFFFFF"/>
                      <w:spacing w:val="-1"/>
                      <w:w w:val="108"/>
                      <w:position w:val="-1"/>
                      <w:sz w:val="18"/>
                      <w:szCs w:val="18"/>
                      <w:lang w:val="en-GB"/>
                    </w:rPr>
                    <w:t>.</w:t>
                  </w:r>
                </w:p>
              </w:tc>
              <w:tc>
                <w:tcPr>
                  <w:tcW w:w="1276"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278FA800"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 xml:space="preserve">Physical life </w:t>
                  </w:r>
                  <w:proofErr w:type="spellStart"/>
                  <w:r w:rsidRPr="0021282C">
                    <w:rPr>
                      <w:rFonts w:asciiTheme="minorHAnsi" w:eastAsia="Arial Narrow" w:hAnsiTheme="minorHAnsi" w:cs="Arial Narrow"/>
                      <w:b/>
                      <w:color w:val="FFFFFF"/>
                      <w:spacing w:val="-1"/>
                      <w:w w:val="108"/>
                      <w:position w:val="-1"/>
                      <w:sz w:val="18"/>
                      <w:szCs w:val="18"/>
                      <w:lang w:val="en-GB"/>
                    </w:rPr>
                    <w:t>incld</w:t>
                  </w:r>
                  <w:proofErr w:type="spellEnd"/>
                  <w:r w:rsidRPr="0021282C">
                    <w:rPr>
                      <w:rFonts w:asciiTheme="minorHAnsi" w:eastAsia="Arial Narrow" w:hAnsiTheme="minorHAnsi" w:cs="Arial Narrow"/>
                      <w:b/>
                      <w:color w:val="FFFFFF"/>
                      <w:spacing w:val="-1"/>
                      <w:w w:val="108"/>
                      <w:position w:val="-1"/>
                      <w:sz w:val="18"/>
                      <w:szCs w:val="18"/>
                      <w:lang w:val="en-GB"/>
                    </w:rPr>
                    <w:t xml:space="preserve">. </w:t>
                  </w:r>
                  <w:proofErr w:type="spellStart"/>
                  <w:r w:rsidRPr="0021282C">
                    <w:rPr>
                      <w:rFonts w:asciiTheme="minorHAnsi" w:eastAsia="Arial Narrow" w:hAnsiTheme="minorHAnsi" w:cs="Arial Narrow"/>
                      <w:b/>
                      <w:color w:val="FFFFFF"/>
                      <w:spacing w:val="-1"/>
                      <w:w w:val="108"/>
                      <w:position w:val="-1"/>
                      <w:sz w:val="18"/>
                      <w:szCs w:val="18"/>
                      <w:lang w:val="en-GB"/>
                    </w:rPr>
                    <w:t>replacmt</w:t>
                  </w:r>
                  <w:proofErr w:type="spellEnd"/>
                  <w:r w:rsidRPr="0021282C">
                    <w:rPr>
                      <w:rFonts w:asciiTheme="minorHAnsi" w:eastAsia="Arial Narrow" w:hAnsiTheme="minorHAnsi" w:cs="Arial Narrow"/>
                      <w:b/>
                      <w:color w:val="FFFFFF"/>
                      <w:spacing w:val="-1"/>
                      <w:w w:val="108"/>
                      <w:position w:val="-1"/>
                      <w:sz w:val="18"/>
                      <w:szCs w:val="18"/>
                      <w:lang w:val="en-GB"/>
                    </w:rPr>
                    <w:t>.</w:t>
                  </w:r>
                </w:p>
              </w:tc>
              <w:tc>
                <w:tcPr>
                  <w:tcW w:w="992" w:type="dxa"/>
                  <w:tcBorders>
                    <w:top w:val="nil"/>
                    <w:left w:val="single" w:sz="4" w:space="0" w:color="FFFFFF"/>
                    <w:bottom w:val="single" w:sz="4" w:space="0" w:color="FFFFFF"/>
                    <w:right w:val="nil"/>
                  </w:tcBorders>
                  <w:shd w:val="clear" w:color="auto" w:fill="A6A6A6" w:themeFill="background1" w:themeFillShade="A6"/>
                  <w:vAlign w:val="center"/>
                  <w:hideMark/>
                </w:tcPr>
                <w:p w14:paraId="4D2CD83F"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 of remaining life</w:t>
                  </w:r>
                </w:p>
              </w:tc>
            </w:tr>
            <w:tr w:rsidR="00921721" w:rsidRPr="007463B9" w14:paraId="376A9EB8" w14:textId="77777777" w:rsidTr="00880D09">
              <w:trPr>
                <w:trHeight w:val="226"/>
              </w:trPr>
              <w:tc>
                <w:tcPr>
                  <w:tcW w:w="1487" w:type="dxa"/>
                  <w:vMerge/>
                  <w:tcBorders>
                    <w:top w:val="nil"/>
                    <w:left w:val="nil"/>
                    <w:bottom w:val="single" w:sz="4" w:space="0" w:color="FFFFFF"/>
                    <w:right w:val="single" w:sz="4" w:space="0" w:color="FFFFFF"/>
                  </w:tcBorders>
                  <w:shd w:val="clear" w:color="auto" w:fill="A6A6A6" w:themeFill="background1" w:themeFillShade="A6"/>
                  <w:vAlign w:val="center"/>
                  <w:hideMark/>
                </w:tcPr>
                <w:p w14:paraId="2001A7AE" w14:textId="77777777" w:rsidR="00921721" w:rsidRPr="00493091" w:rsidRDefault="00921721" w:rsidP="00880D09">
                  <w:pPr>
                    <w:jc w:val="center"/>
                    <w:rPr>
                      <w:rFonts w:asciiTheme="minorHAnsi" w:eastAsia="Arial Narrow" w:hAnsiTheme="minorHAnsi" w:cs="Arial Narrow"/>
                      <w:b/>
                      <w:color w:val="FFFFFF"/>
                      <w:spacing w:val="-1"/>
                      <w:w w:val="108"/>
                      <w:position w:val="-1"/>
                      <w:sz w:val="18"/>
                      <w:szCs w:val="18"/>
                      <w:lang w:val="en-US"/>
                    </w:rPr>
                  </w:pPr>
                </w:p>
              </w:tc>
              <w:tc>
                <w:tcPr>
                  <w:tcW w:w="921"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7A8A82D8"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 xml:space="preserve">in </w:t>
                  </w:r>
                  <w:proofErr w:type="spellStart"/>
                  <w:r w:rsidRPr="0021282C">
                    <w:rPr>
                      <w:rFonts w:asciiTheme="minorHAnsi" w:eastAsia="Arial Narrow" w:hAnsiTheme="minorHAnsi" w:cs="Arial Narrow"/>
                      <w:b/>
                      <w:color w:val="FFFFFF"/>
                      <w:spacing w:val="-1"/>
                      <w:w w:val="108"/>
                      <w:position w:val="-1"/>
                      <w:sz w:val="18"/>
                      <w:szCs w:val="18"/>
                      <w:lang w:val="en-GB"/>
                    </w:rPr>
                    <w:t>mPLN</w:t>
                  </w:r>
                  <w:proofErr w:type="spellEnd"/>
                </w:p>
              </w:tc>
              <w:tc>
                <w:tcPr>
                  <w:tcW w:w="12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2ECA80FF"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Years</w:t>
                  </w:r>
                </w:p>
              </w:tc>
              <w:tc>
                <w:tcPr>
                  <w:tcW w:w="127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9C3791A"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p>
              </w:tc>
              <w:tc>
                <w:tcPr>
                  <w:tcW w:w="127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4B099257"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Years</w:t>
                  </w:r>
                </w:p>
              </w:tc>
              <w:tc>
                <w:tcPr>
                  <w:tcW w:w="99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94000C7"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p>
              </w:tc>
            </w:tr>
            <w:tr w:rsidR="00921721" w:rsidRPr="007463B9" w14:paraId="57DBC0D5" w14:textId="77777777" w:rsidTr="00880D09">
              <w:trPr>
                <w:trHeight w:val="257"/>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057DD2D"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(A) Earthworks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5CCC325"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450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B6713F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C75ED6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321803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411BF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38%</w:t>
                  </w:r>
                </w:p>
              </w:tc>
            </w:tr>
            <w:tr w:rsidR="00921721" w:rsidRPr="007463B9" w14:paraId="5DC75248"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248188E4"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(B) Structures (bridges)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86D60A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722C27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75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B8BEFA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274D27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75</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BC3843"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67%</w:t>
                  </w:r>
                </w:p>
              </w:tc>
            </w:tr>
            <w:tr w:rsidR="00921721" w:rsidRPr="007463B9" w14:paraId="7E36E3B2"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42AC7C3B"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(C) Road works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E26C8B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175</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0EFC450"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94B202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21E6CD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35</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43203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50%</w:t>
                  </w:r>
                </w:p>
              </w:tc>
            </w:tr>
            <w:tr w:rsidR="00921721" w:rsidRPr="007463B9" w14:paraId="77D82572"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ACA2A17"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(D) Drainage</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8BD62B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481B0D8"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E6A338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B485D0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26715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25%</w:t>
                  </w:r>
                </w:p>
              </w:tc>
            </w:tr>
            <w:tr w:rsidR="00921721" w:rsidRPr="007463B9" w14:paraId="3F174973"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3A2181BF"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(E) Retaining structures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27B55A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090C1C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C66C34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D5EB91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5F04F1A"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58%</w:t>
                  </w:r>
                </w:p>
              </w:tc>
            </w:tr>
            <w:tr w:rsidR="00921721" w:rsidRPr="007463B9" w14:paraId="28CEC516"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7B6992AC"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(F) Safety equipment</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C2CBEC8"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B9FC08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AA97B32"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2E7EEB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BE2CE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33%</w:t>
                  </w:r>
                </w:p>
              </w:tc>
            </w:tr>
            <w:tr w:rsidR="00921721" w:rsidRPr="007463B9" w14:paraId="18C72E8A"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F6BA4ED"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(G) Utilities, diversions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FA2D9F5"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100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5907F3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36E5573"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AD0F425"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33015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r>
            <w:tr w:rsidR="00921721" w:rsidRPr="007463B9" w14:paraId="46893423"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2C5125FF"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(H) Environmental protection measures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02B7483"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50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E21AD5D"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D04B89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929DFE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7F8E76"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60%</w:t>
                  </w:r>
                </w:p>
              </w:tc>
            </w:tr>
            <w:tr w:rsidR="00921721" w:rsidRPr="007463B9" w14:paraId="26ACBD43"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8A1F271"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(I) Tolling system</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7DE96B8"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15</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148D720"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271CEF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31F0DD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61C419"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33%</w:t>
                  </w:r>
                </w:p>
              </w:tc>
            </w:tr>
            <w:tr w:rsidR="00921721" w:rsidRPr="007463B9" w14:paraId="538DA3D6"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4BE5866F"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(J) Auxiliary works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F633B06"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CDC21D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40ABB4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ABE5C0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DDEB02"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r>
            <w:tr w:rsidR="00921721" w:rsidRPr="007463B9" w14:paraId="60EDEDE1"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7BD32919"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(K) Land acquisition</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EDC948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80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F3BB16D"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Indefinite</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0127219" w14:textId="77777777" w:rsidR="00921721" w:rsidRPr="00821B08" w:rsidRDefault="00921721" w:rsidP="00880D09">
                  <w:pPr>
                    <w:ind w:right="28"/>
                    <w:jc w:val="center"/>
                    <w:rPr>
                      <w:rFonts w:asciiTheme="minorHAnsi" w:hAnsiTheme="minorHAnsi"/>
                      <w:color w:val="4F81BD" w:themeColor="accent1"/>
                      <w:sz w:val="18"/>
                      <w:lang w:val="en-GB"/>
                    </w:rPr>
                  </w:pP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EAFF83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Indefinite</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D1DBE6"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100%</w:t>
                  </w:r>
                </w:p>
              </w:tc>
            </w:tr>
            <w:tr w:rsidR="00921721" w:rsidRPr="007463B9" w14:paraId="5C51336B" w14:textId="77777777" w:rsidTr="00880D09">
              <w:trPr>
                <w:trHeight w:val="271"/>
              </w:trPr>
              <w:tc>
                <w:tcPr>
                  <w:tcW w:w="1487" w:type="dxa"/>
                  <w:tcBorders>
                    <w:top w:val="single" w:sz="4" w:space="0" w:color="FFFFFF"/>
                    <w:left w:val="nil"/>
                    <w:bottom w:val="nil"/>
                    <w:right w:val="single" w:sz="4" w:space="0" w:color="FFFFFF"/>
                  </w:tcBorders>
                  <w:shd w:val="clear" w:color="auto" w:fill="DBE5F1" w:themeFill="accent1" w:themeFillTint="33"/>
                  <w:vAlign w:val="center"/>
                  <w:hideMark/>
                </w:tcPr>
                <w:p w14:paraId="22CBBD29" w14:textId="77777777" w:rsidR="00921721" w:rsidRPr="00821B08" w:rsidRDefault="00921721" w:rsidP="00880D09">
                  <w:pPr>
                    <w:ind w:right="28"/>
                    <w:rPr>
                      <w:rFonts w:asciiTheme="minorHAnsi" w:hAnsiTheme="minorHAnsi"/>
                      <w:i/>
                      <w:color w:val="4F81BD" w:themeColor="accent1"/>
                      <w:sz w:val="18"/>
                      <w:lang w:val="en-GB"/>
                    </w:rPr>
                  </w:pPr>
                  <w:r w:rsidRPr="00821B08">
                    <w:rPr>
                      <w:rFonts w:asciiTheme="minorHAnsi" w:hAnsiTheme="minorHAnsi"/>
                      <w:i/>
                      <w:color w:val="4F81BD" w:themeColor="accent1"/>
                      <w:sz w:val="18"/>
                      <w:lang w:val="en-GB"/>
                    </w:rPr>
                    <w:t>Total costs</w:t>
                  </w:r>
                </w:p>
              </w:tc>
              <w:tc>
                <w:tcPr>
                  <w:tcW w:w="921" w:type="dxa"/>
                  <w:tcBorders>
                    <w:top w:val="single" w:sz="4" w:space="0" w:color="FFFFFF"/>
                    <w:left w:val="single" w:sz="4" w:space="0" w:color="FFFFFF"/>
                    <w:bottom w:val="nil"/>
                    <w:right w:val="single" w:sz="4" w:space="0" w:color="FFFFFF"/>
                  </w:tcBorders>
                  <w:shd w:val="clear" w:color="auto" w:fill="DBE5F1" w:themeFill="accent1" w:themeFillTint="33"/>
                  <w:vAlign w:val="center"/>
                  <w:hideMark/>
                </w:tcPr>
                <w:p w14:paraId="7D24A15C" w14:textId="77777777" w:rsidR="00921721" w:rsidRPr="00821B08" w:rsidRDefault="00921721" w:rsidP="00880D09">
                  <w:pPr>
                    <w:ind w:right="28"/>
                    <w:jc w:val="center"/>
                    <w:rPr>
                      <w:rFonts w:asciiTheme="minorHAnsi" w:hAnsiTheme="minorHAnsi"/>
                      <w:i/>
                      <w:color w:val="4F81BD" w:themeColor="accent1"/>
                      <w:sz w:val="18"/>
                      <w:lang w:val="en-GB"/>
                    </w:rPr>
                  </w:pPr>
                  <w:r w:rsidRPr="00821B08">
                    <w:rPr>
                      <w:rFonts w:asciiTheme="minorHAnsi" w:hAnsiTheme="minorHAnsi"/>
                      <w:i/>
                      <w:color w:val="4F81BD" w:themeColor="accent1"/>
                      <w:sz w:val="18"/>
                      <w:lang w:val="en-GB"/>
                    </w:rPr>
                    <w:t>1 260</w:t>
                  </w:r>
                </w:p>
              </w:tc>
              <w:tc>
                <w:tcPr>
                  <w:tcW w:w="1275"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014F53F7" w14:textId="77777777" w:rsidR="00921721" w:rsidRPr="00821B08" w:rsidRDefault="00921721" w:rsidP="00880D09">
                  <w:pPr>
                    <w:ind w:right="28"/>
                    <w:jc w:val="center"/>
                    <w:rPr>
                      <w:rFonts w:asciiTheme="minorHAnsi" w:hAnsiTheme="minorHAnsi"/>
                      <w:color w:val="4F81BD" w:themeColor="accent1"/>
                      <w:sz w:val="18"/>
                      <w:lang w:val="en-GB"/>
                    </w:rPr>
                  </w:pPr>
                </w:p>
              </w:tc>
              <w:tc>
                <w:tcPr>
                  <w:tcW w:w="1276"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5B54E2DA" w14:textId="77777777" w:rsidR="00921721" w:rsidRPr="00821B08" w:rsidRDefault="00921721" w:rsidP="00880D09">
                  <w:pPr>
                    <w:ind w:right="28"/>
                    <w:jc w:val="center"/>
                    <w:rPr>
                      <w:rFonts w:asciiTheme="minorHAnsi" w:hAnsiTheme="minorHAnsi"/>
                      <w:color w:val="4F81BD" w:themeColor="accent1"/>
                      <w:sz w:val="18"/>
                      <w:lang w:val="en-GB"/>
                    </w:rPr>
                  </w:pPr>
                </w:p>
              </w:tc>
              <w:tc>
                <w:tcPr>
                  <w:tcW w:w="1276"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628FA0E8" w14:textId="77777777" w:rsidR="00921721" w:rsidRPr="00821B08" w:rsidRDefault="00921721" w:rsidP="00880D09">
                  <w:pPr>
                    <w:ind w:right="28"/>
                    <w:jc w:val="center"/>
                    <w:rPr>
                      <w:rFonts w:asciiTheme="minorHAnsi" w:hAnsiTheme="minorHAnsi"/>
                      <w:color w:val="4F81BD" w:themeColor="accent1"/>
                      <w:sz w:val="18"/>
                      <w:lang w:val="en-GB"/>
                    </w:rPr>
                  </w:pPr>
                </w:p>
              </w:tc>
              <w:tc>
                <w:tcPr>
                  <w:tcW w:w="992" w:type="dxa"/>
                  <w:tcBorders>
                    <w:top w:val="single" w:sz="4" w:space="0" w:color="FFFFFF"/>
                    <w:left w:val="single" w:sz="4" w:space="0" w:color="FFFFFF"/>
                    <w:bottom w:val="nil"/>
                    <w:right w:val="nil"/>
                  </w:tcBorders>
                  <w:shd w:val="clear" w:color="auto" w:fill="DBE5F1" w:themeFill="accent1" w:themeFillTint="33"/>
                  <w:vAlign w:val="center"/>
                </w:tcPr>
                <w:p w14:paraId="3B1CD62C" w14:textId="77777777" w:rsidR="00921721" w:rsidRPr="00821B08" w:rsidRDefault="00921721" w:rsidP="00880D09">
                  <w:pPr>
                    <w:ind w:right="28"/>
                    <w:jc w:val="center"/>
                    <w:rPr>
                      <w:rFonts w:asciiTheme="minorHAnsi" w:hAnsiTheme="minorHAnsi"/>
                      <w:color w:val="4F81BD" w:themeColor="accent1"/>
                      <w:sz w:val="18"/>
                      <w:lang w:val="en-GB"/>
                    </w:rPr>
                  </w:pPr>
                </w:p>
              </w:tc>
            </w:tr>
          </w:tbl>
          <w:p w14:paraId="322E7D1E" w14:textId="77777777" w:rsidR="00921721" w:rsidRPr="00EB6237" w:rsidRDefault="00921721" w:rsidP="00880D09">
            <w:pPr>
              <w:ind w:right="170"/>
              <w:jc w:val="both"/>
              <w:rPr>
                <w:rFonts w:asciiTheme="minorHAnsi" w:hAnsiTheme="minorHAnsi" w:cs="Arial"/>
                <w:sz w:val="17"/>
                <w:szCs w:val="17"/>
                <w:lang w:val="en-GB"/>
              </w:rPr>
            </w:pPr>
            <w:r w:rsidRPr="00EB6237">
              <w:rPr>
                <w:rFonts w:asciiTheme="minorHAnsi" w:hAnsiTheme="minorHAnsi" w:cs="Arial"/>
                <w:sz w:val="17"/>
                <w:szCs w:val="17"/>
                <w:lang w:val="en-GB"/>
              </w:rPr>
              <w:t xml:space="preserve">* Values </w:t>
            </w:r>
            <w:r>
              <w:rPr>
                <w:rFonts w:asciiTheme="minorHAnsi" w:hAnsiTheme="minorHAnsi" w:cs="Arial"/>
                <w:sz w:val="17"/>
                <w:szCs w:val="17"/>
                <w:lang w:val="en-GB"/>
              </w:rPr>
              <w:t>of a</w:t>
            </w:r>
            <w:r w:rsidRPr="00387FFD">
              <w:rPr>
                <w:rFonts w:asciiTheme="minorHAnsi" w:hAnsiTheme="minorHAnsi" w:cs="Arial"/>
                <w:sz w:val="17"/>
                <w:szCs w:val="17"/>
                <w:lang w:val="en-GB"/>
              </w:rPr>
              <w:t xml:space="preserve">verage physical life of road infrastructure assets </w:t>
            </w:r>
            <w:r w:rsidRPr="00EB6237">
              <w:rPr>
                <w:rFonts w:asciiTheme="minorHAnsi" w:hAnsiTheme="minorHAnsi" w:cs="Arial"/>
                <w:sz w:val="17"/>
                <w:szCs w:val="17"/>
                <w:lang w:val="en-GB"/>
              </w:rPr>
              <w:t>not presented in</w:t>
            </w:r>
            <w:r>
              <w:rPr>
                <w:rFonts w:asciiTheme="minorHAnsi" w:hAnsiTheme="minorHAnsi" w:cs="Arial"/>
                <w:sz w:val="17"/>
                <w:szCs w:val="17"/>
                <w:lang w:val="en-GB"/>
              </w:rPr>
              <w:t xml:space="preserve"> Table 12, section 1.11</w:t>
            </w:r>
            <w:r w:rsidRPr="00EB6237">
              <w:rPr>
                <w:rFonts w:asciiTheme="minorHAnsi" w:hAnsiTheme="minorHAnsi" w:cs="Arial"/>
                <w:sz w:val="17"/>
                <w:szCs w:val="17"/>
                <w:lang w:val="en-GB"/>
              </w:rPr>
              <w:t xml:space="preserve"> of </w:t>
            </w:r>
            <w:r>
              <w:rPr>
                <w:rFonts w:asciiTheme="minorHAnsi" w:hAnsiTheme="minorHAnsi" w:cs="Arial"/>
                <w:sz w:val="17"/>
                <w:szCs w:val="17"/>
                <w:lang w:val="en-GB"/>
              </w:rPr>
              <w:t xml:space="preserve">this Blue Book </w:t>
            </w:r>
            <w:r w:rsidRPr="00EB6237">
              <w:rPr>
                <w:rFonts w:asciiTheme="minorHAnsi" w:hAnsiTheme="minorHAnsi" w:cs="Arial"/>
                <w:sz w:val="17"/>
                <w:szCs w:val="17"/>
                <w:lang w:val="en-GB"/>
              </w:rPr>
              <w:t xml:space="preserve">are assumed based on sectorial knowledge </w:t>
            </w:r>
            <w:r>
              <w:rPr>
                <w:rFonts w:asciiTheme="minorHAnsi" w:hAnsiTheme="minorHAnsi" w:cs="Arial"/>
                <w:sz w:val="17"/>
                <w:szCs w:val="17"/>
                <w:lang w:val="en-GB"/>
              </w:rPr>
              <w:t>regarding</w:t>
            </w:r>
            <w:r w:rsidRPr="00EB6237">
              <w:rPr>
                <w:rFonts w:asciiTheme="minorHAnsi" w:hAnsiTheme="minorHAnsi" w:cs="Arial"/>
                <w:sz w:val="17"/>
                <w:szCs w:val="17"/>
                <w:lang w:val="en-GB"/>
              </w:rPr>
              <w:t xml:space="preserve"> periodic maintenance activities. </w:t>
            </w:r>
          </w:p>
          <w:p w14:paraId="3C82BB4B" w14:textId="77777777" w:rsidR="00921721" w:rsidRPr="00EB6237" w:rsidRDefault="00921721" w:rsidP="00880D09">
            <w:pPr>
              <w:ind w:right="170"/>
              <w:jc w:val="both"/>
              <w:rPr>
                <w:rFonts w:asciiTheme="minorHAnsi" w:hAnsiTheme="minorHAnsi" w:cs="Arial"/>
                <w:sz w:val="17"/>
                <w:szCs w:val="17"/>
                <w:lang w:val="en-GB"/>
              </w:rPr>
            </w:pPr>
            <w:r w:rsidRPr="00EB6237">
              <w:rPr>
                <w:rFonts w:asciiTheme="minorHAnsi" w:hAnsiTheme="minorHAnsi" w:cs="Arial"/>
                <w:sz w:val="17"/>
                <w:szCs w:val="17"/>
                <w:lang w:val="en-GB"/>
              </w:rPr>
              <w:t xml:space="preserve">** </w:t>
            </w:r>
            <w:r>
              <w:rPr>
                <w:rFonts w:asciiTheme="minorHAnsi" w:hAnsiTheme="minorHAnsi" w:cs="Arial"/>
                <w:sz w:val="17"/>
                <w:szCs w:val="17"/>
                <w:lang w:val="en-GB"/>
              </w:rPr>
              <w:t>I</w:t>
            </w:r>
            <w:r w:rsidRPr="00EB6237">
              <w:rPr>
                <w:rFonts w:asciiTheme="minorHAnsi" w:hAnsiTheme="minorHAnsi" w:cs="Arial"/>
                <w:sz w:val="17"/>
                <w:szCs w:val="17"/>
                <w:lang w:val="en-GB"/>
              </w:rPr>
              <w:t xml:space="preserve">t is assumed that the remaining assets value after 25 years will be null. </w:t>
            </w:r>
          </w:p>
          <w:p w14:paraId="7E580C73" w14:textId="77777777" w:rsidR="00921721" w:rsidRDefault="00921721" w:rsidP="00880D09">
            <w:pPr>
              <w:ind w:right="170"/>
              <w:jc w:val="both"/>
              <w:rPr>
                <w:rFonts w:asciiTheme="minorHAnsi" w:hAnsiTheme="minorHAnsi" w:cs="Arial"/>
                <w:sz w:val="18"/>
                <w:szCs w:val="18"/>
                <w:lang w:val="en-GB"/>
              </w:rPr>
            </w:pPr>
          </w:p>
          <w:p w14:paraId="12E2A0AD" w14:textId="77777777" w:rsidR="00921721" w:rsidRDefault="00921721" w:rsidP="00880D09">
            <w:pPr>
              <w:ind w:right="170"/>
              <w:jc w:val="both"/>
              <w:rPr>
                <w:rFonts w:asciiTheme="minorHAnsi" w:hAnsiTheme="minorHAnsi" w:cs="Arial"/>
                <w:sz w:val="18"/>
                <w:szCs w:val="18"/>
                <w:lang w:val="en-GB"/>
              </w:rPr>
            </w:pPr>
          </w:p>
          <w:p w14:paraId="1B3ABAEE" w14:textId="77777777" w:rsidR="00921721" w:rsidRDefault="00921721" w:rsidP="00880D09">
            <w:pPr>
              <w:ind w:right="170"/>
              <w:jc w:val="both"/>
              <w:rPr>
                <w:rFonts w:asciiTheme="minorHAnsi" w:hAnsiTheme="minorHAnsi" w:cs="Arial"/>
                <w:sz w:val="18"/>
                <w:szCs w:val="18"/>
                <w:lang w:val="en-GB"/>
              </w:rPr>
            </w:pPr>
          </w:p>
          <w:p w14:paraId="37220B23" w14:textId="77777777" w:rsidR="00921721" w:rsidRDefault="00921721" w:rsidP="00880D09">
            <w:pPr>
              <w:ind w:right="170"/>
              <w:jc w:val="both"/>
              <w:rPr>
                <w:rFonts w:asciiTheme="minorHAnsi" w:hAnsiTheme="minorHAnsi" w:cs="Arial"/>
                <w:sz w:val="18"/>
                <w:szCs w:val="18"/>
                <w:lang w:val="en-GB"/>
              </w:rPr>
            </w:pPr>
          </w:p>
          <w:p w14:paraId="30120CEA" w14:textId="77777777" w:rsidR="00921721" w:rsidRDefault="00921721" w:rsidP="00880D09">
            <w:pPr>
              <w:ind w:right="170"/>
              <w:jc w:val="both"/>
              <w:rPr>
                <w:rFonts w:asciiTheme="minorHAnsi" w:hAnsiTheme="minorHAnsi" w:cs="Arial"/>
                <w:sz w:val="18"/>
                <w:szCs w:val="18"/>
                <w:lang w:val="en-GB"/>
              </w:rPr>
            </w:pPr>
          </w:p>
          <w:p w14:paraId="3F86469F" w14:textId="77777777" w:rsidR="00921721" w:rsidRDefault="00921721" w:rsidP="00880D09">
            <w:pPr>
              <w:ind w:right="170"/>
              <w:jc w:val="both"/>
              <w:rPr>
                <w:rFonts w:asciiTheme="minorHAnsi" w:hAnsiTheme="minorHAnsi" w:cs="Arial"/>
                <w:sz w:val="18"/>
                <w:szCs w:val="18"/>
                <w:lang w:val="en-GB"/>
              </w:rPr>
            </w:pPr>
          </w:p>
          <w:tbl>
            <w:tblPr>
              <w:tblW w:w="6295" w:type="dxa"/>
              <w:jc w:val="center"/>
              <w:tblLayout w:type="fixed"/>
              <w:tblLook w:val="04A0" w:firstRow="1" w:lastRow="0" w:firstColumn="1" w:lastColumn="0" w:noHBand="0" w:noVBand="1"/>
            </w:tblPr>
            <w:tblGrid>
              <w:gridCol w:w="327"/>
              <w:gridCol w:w="2764"/>
              <w:gridCol w:w="3204"/>
            </w:tblGrid>
            <w:tr w:rsidR="00921721" w:rsidRPr="00731E4E" w14:paraId="0F32EEC1" w14:textId="77777777" w:rsidTr="00880D09">
              <w:trPr>
                <w:trHeight w:hRule="exact" w:val="293"/>
                <w:jc w:val="center"/>
              </w:trPr>
              <w:tc>
                <w:tcPr>
                  <w:tcW w:w="3091"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6A42495"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proofErr w:type="spellStart"/>
                  <w:r w:rsidRPr="00731E4E">
                    <w:rPr>
                      <w:rFonts w:asciiTheme="minorHAnsi" w:eastAsia="Arial Narrow" w:hAnsiTheme="minorHAnsi" w:cs="Arial Narrow"/>
                      <w:b/>
                      <w:color w:val="FFFFFF"/>
                      <w:spacing w:val="-1"/>
                      <w:w w:val="108"/>
                      <w:position w:val="-1"/>
                      <w:sz w:val="18"/>
                      <w:szCs w:val="18"/>
                    </w:rPr>
                    <w:t>Steps</w:t>
                  </w:r>
                  <w:proofErr w:type="spellEnd"/>
                </w:p>
              </w:tc>
              <w:tc>
                <w:tcPr>
                  <w:tcW w:w="320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21C353C"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proofErr w:type="spellStart"/>
                  <w:r w:rsidRPr="00731E4E">
                    <w:rPr>
                      <w:rFonts w:asciiTheme="minorHAnsi" w:eastAsia="Arial Narrow" w:hAnsiTheme="minorHAnsi" w:cs="Arial Narrow"/>
                      <w:b/>
                      <w:color w:val="FFFFFF"/>
                      <w:spacing w:val="-1"/>
                      <w:w w:val="108"/>
                      <w:position w:val="-1"/>
                      <w:sz w:val="18"/>
                      <w:szCs w:val="18"/>
                    </w:rPr>
                    <w:t>Example</w:t>
                  </w:r>
                  <w:proofErr w:type="spellEnd"/>
                </w:p>
              </w:tc>
            </w:tr>
            <w:tr w:rsidR="00921721" w:rsidRPr="00731E4E" w14:paraId="35A3241E"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2FFE1F2F"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1</w:t>
                  </w:r>
                </w:p>
              </w:tc>
              <w:tc>
                <w:tcPr>
                  <w:tcW w:w="2764" w:type="dxa"/>
                  <w:tcBorders>
                    <w:top w:val="single" w:sz="4" w:space="0" w:color="FFFFFF"/>
                    <w:left w:val="single" w:sz="4" w:space="0" w:color="FFFFFF"/>
                    <w:bottom w:val="single" w:sz="4" w:space="0" w:color="FFFFFF"/>
                    <w:right w:val="nil"/>
                  </w:tcBorders>
                  <w:shd w:val="clear" w:color="auto" w:fill="DBE5F1" w:themeFill="accent1" w:themeFillTint="33"/>
                </w:tcPr>
                <w:p w14:paraId="42FF19FA" w14:textId="77777777" w:rsidR="00921721" w:rsidRPr="008526A3" w:rsidRDefault="00921721" w:rsidP="00880D09">
                  <w:pPr>
                    <w:ind w:right="28"/>
                    <w:rPr>
                      <w:rFonts w:asciiTheme="minorHAnsi" w:hAnsiTheme="minorHAnsi"/>
                      <w:color w:val="4F81BD" w:themeColor="accent1"/>
                      <w:sz w:val="18"/>
                      <w:lang w:val="en-GB"/>
                    </w:rPr>
                  </w:pPr>
                  <w:r w:rsidRPr="008526A3">
                    <w:rPr>
                      <w:rFonts w:asciiTheme="minorHAnsi" w:hAnsiTheme="minorHAnsi"/>
                      <w:color w:val="4F81BD" w:themeColor="accent1"/>
                      <w:sz w:val="18"/>
                      <w:lang w:val="en-GB"/>
                    </w:rPr>
                    <w:t>Identify project assets</w:t>
                  </w:r>
                  <w:r>
                    <w:rPr>
                      <w:rFonts w:asciiTheme="minorHAnsi" w:hAnsiTheme="minorHAnsi"/>
                      <w:color w:val="4F81BD" w:themeColor="accent1"/>
                      <w:sz w:val="18"/>
                      <w:lang w:val="en-GB"/>
                    </w:rPr>
                    <w:t>’</w:t>
                  </w:r>
                  <w:r w:rsidRPr="008526A3">
                    <w:rPr>
                      <w:rFonts w:asciiTheme="minorHAnsi" w:hAnsiTheme="minorHAnsi"/>
                      <w:color w:val="4F81BD" w:themeColor="accent1"/>
                      <w:sz w:val="18"/>
                      <w:lang w:val="en-GB"/>
                    </w:rPr>
                    <w:t xml:space="preserve"> remaining life value at the end of the analysis period considering </w:t>
                  </w:r>
                  <w:r w:rsidRPr="008526A3">
                    <w:rPr>
                      <w:rFonts w:asciiTheme="minorHAnsi" w:hAnsiTheme="minorHAnsi"/>
                      <w:color w:val="4F81BD" w:themeColor="accent1"/>
                      <w:sz w:val="18"/>
                      <w:lang w:val="en-GB"/>
                    </w:rPr>
                    <w:lastRenderedPageBreak/>
                    <w:t xml:space="preserve">replacements and </w:t>
                  </w:r>
                  <w:r>
                    <w:rPr>
                      <w:rFonts w:asciiTheme="minorHAnsi" w:hAnsiTheme="minorHAnsi"/>
                      <w:color w:val="4F81BD" w:themeColor="accent1"/>
                      <w:sz w:val="18"/>
                      <w:lang w:val="en-GB"/>
                    </w:rPr>
                    <w:t>their</w:t>
                  </w:r>
                  <w:r w:rsidRPr="008526A3">
                    <w:rPr>
                      <w:rFonts w:asciiTheme="minorHAnsi" w:hAnsiTheme="minorHAnsi"/>
                      <w:color w:val="4F81BD" w:themeColor="accent1"/>
                      <w:sz w:val="18"/>
                      <w:lang w:val="en-GB"/>
                    </w:rPr>
                    <w:t xml:space="preserve"> physical life based on table 12</w:t>
                  </w:r>
                </w:p>
                <w:p w14:paraId="4F9465BC" w14:textId="77777777" w:rsidR="00921721" w:rsidRPr="008526A3" w:rsidRDefault="00921721" w:rsidP="00880D09">
                  <w:pPr>
                    <w:ind w:right="28"/>
                    <w:rPr>
                      <w:rFonts w:asciiTheme="minorHAnsi" w:hAnsiTheme="minorHAnsi"/>
                      <w:color w:val="4F81BD" w:themeColor="accent1"/>
                      <w:sz w:val="18"/>
                      <w:lang w:val="en-GB"/>
                    </w:rPr>
                  </w:pPr>
                </w:p>
                <w:p w14:paraId="0B0FB5F1" w14:textId="77777777" w:rsidR="00921721" w:rsidRPr="008526A3" w:rsidRDefault="00921721" w:rsidP="00880D09">
                  <w:pPr>
                    <w:ind w:right="28"/>
                    <w:rPr>
                      <w:rFonts w:asciiTheme="minorHAnsi" w:hAnsiTheme="minorHAnsi"/>
                      <w:color w:val="4F81BD" w:themeColor="accent1"/>
                      <w:sz w:val="18"/>
                      <w:lang w:val="en-GB"/>
                    </w:rPr>
                  </w:pPr>
                </w:p>
              </w:tc>
              <w:tc>
                <w:tcPr>
                  <w:tcW w:w="3204" w:type="dxa"/>
                  <w:tcBorders>
                    <w:top w:val="single" w:sz="4" w:space="0" w:color="FFFFFF"/>
                    <w:left w:val="single" w:sz="4" w:space="0" w:color="FFFFFF"/>
                    <w:bottom w:val="single" w:sz="4" w:space="0" w:color="FFFFFF"/>
                    <w:right w:val="nil"/>
                  </w:tcBorders>
                  <w:shd w:val="clear" w:color="auto" w:fill="DBE5F1" w:themeFill="accent1" w:themeFillTint="33"/>
                </w:tcPr>
                <w:p w14:paraId="74C38D74" w14:textId="77777777" w:rsidR="00921721" w:rsidRPr="008526A3" w:rsidRDefault="00921721" w:rsidP="00880D09">
                  <w:pPr>
                    <w:ind w:right="28"/>
                    <w:rPr>
                      <w:rFonts w:asciiTheme="minorHAnsi" w:hAnsiTheme="minorHAnsi"/>
                      <w:color w:val="4F81BD" w:themeColor="accent1"/>
                      <w:sz w:val="18"/>
                      <w:lang w:val="en-GB"/>
                    </w:rPr>
                  </w:pPr>
                  <w:r w:rsidRPr="008526A3">
                    <w:rPr>
                      <w:rFonts w:asciiTheme="minorHAnsi" w:hAnsiTheme="minorHAnsi"/>
                      <w:color w:val="4F81BD" w:themeColor="accent1"/>
                      <w:sz w:val="18"/>
                      <w:lang w:val="en-GB"/>
                    </w:rPr>
                    <w:lastRenderedPageBreak/>
                    <w:t>Analysis period = 25 years</w:t>
                  </w:r>
                </w:p>
                <w:p w14:paraId="0D16901B" w14:textId="77777777" w:rsidR="00921721" w:rsidRPr="008526A3" w:rsidRDefault="00921721" w:rsidP="00880D09">
                  <w:pPr>
                    <w:ind w:right="28"/>
                    <w:rPr>
                      <w:rFonts w:asciiTheme="minorHAnsi" w:hAnsiTheme="minorHAnsi"/>
                      <w:color w:val="4F81BD" w:themeColor="accent1"/>
                      <w:sz w:val="18"/>
                      <w:lang w:val="en-GB"/>
                    </w:rPr>
                  </w:pPr>
                </w:p>
              </w:tc>
            </w:tr>
            <w:tr w:rsidR="00921721" w:rsidRPr="007463B9" w14:paraId="00632F7D"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EAD513D"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2</w:t>
                  </w:r>
                </w:p>
              </w:tc>
              <w:tc>
                <w:tcPr>
                  <w:tcW w:w="2764" w:type="dxa"/>
                  <w:tcBorders>
                    <w:top w:val="single" w:sz="4" w:space="0" w:color="FFFFFF"/>
                    <w:left w:val="single" w:sz="4" w:space="0" w:color="FFFFFF"/>
                    <w:bottom w:val="single" w:sz="4" w:space="0" w:color="FFFFFF"/>
                    <w:right w:val="nil"/>
                  </w:tcBorders>
                  <w:shd w:val="clear" w:color="auto" w:fill="DBE5F1" w:themeFill="accent1" w:themeFillTint="33"/>
                </w:tcPr>
                <w:p w14:paraId="6A126FCB" w14:textId="77777777" w:rsidR="00921721" w:rsidRPr="008526A3" w:rsidRDefault="00921721" w:rsidP="00880D09">
                  <w:pPr>
                    <w:ind w:right="28"/>
                    <w:rPr>
                      <w:rFonts w:asciiTheme="minorHAnsi" w:hAnsiTheme="minorHAnsi"/>
                      <w:color w:val="4F81BD" w:themeColor="accent1"/>
                      <w:sz w:val="18"/>
                      <w:lang w:val="en-GB"/>
                    </w:rPr>
                  </w:pPr>
                  <w:r w:rsidRPr="008526A3">
                    <w:rPr>
                      <w:rFonts w:asciiTheme="minorHAnsi" w:hAnsiTheme="minorHAnsi"/>
                      <w:color w:val="4F81BD" w:themeColor="accent1"/>
                      <w:sz w:val="18"/>
                      <w:lang w:val="en-GB"/>
                    </w:rPr>
                    <w:t xml:space="preserve">Calculate the project residual value </w:t>
                  </w:r>
                  <w:r>
                    <w:rPr>
                      <w:rFonts w:asciiTheme="minorHAnsi" w:hAnsiTheme="minorHAnsi"/>
                      <w:color w:val="4F81BD" w:themeColor="accent1"/>
                      <w:sz w:val="18"/>
                      <w:lang w:val="en-GB"/>
                    </w:rPr>
                    <w:t>for</w:t>
                  </w:r>
                  <w:r w:rsidRPr="008526A3">
                    <w:rPr>
                      <w:rFonts w:asciiTheme="minorHAnsi" w:hAnsiTheme="minorHAnsi"/>
                      <w:color w:val="4F81BD" w:themeColor="accent1"/>
                      <w:sz w:val="18"/>
                      <w:lang w:val="en-GB"/>
                    </w:rPr>
                    <w:t xml:space="preserve"> the above identified project assets:</w:t>
                  </w:r>
                </w:p>
                <w:p w14:paraId="6057A865" w14:textId="77777777" w:rsidR="00921721" w:rsidRPr="008526A3" w:rsidRDefault="00921721" w:rsidP="00880D09">
                  <w:pPr>
                    <w:ind w:right="28"/>
                    <w:rPr>
                      <w:rFonts w:asciiTheme="minorHAnsi" w:hAnsiTheme="minorHAnsi"/>
                      <w:b/>
                      <w:i/>
                      <w:color w:val="4F81BD" w:themeColor="accent1"/>
                      <w:sz w:val="18"/>
                      <w:lang w:val="en-GB"/>
                    </w:rPr>
                  </w:pPr>
                  <w:r w:rsidRPr="008526A3">
                    <w:rPr>
                      <w:rFonts w:asciiTheme="minorHAnsi" w:hAnsiTheme="minorHAnsi"/>
                      <w:b/>
                      <w:i/>
                      <w:color w:val="4F81BD" w:themeColor="accent1"/>
                      <w:sz w:val="18"/>
                      <w:lang w:val="en-GB"/>
                    </w:rPr>
                    <w:t xml:space="preserve"> </w:t>
                  </w:r>
                </w:p>
                <w:p w14:paraId="1DE408E1" w14:textId="77777777" w:rsidR="00921721" w:rsidRPr="008526A3" w:rsidRDefault="00921721" w:rsidP="00880D09">
                  <w:pPr>
                    <w:ind w:right="28"/>
                    <w:rPr>
                      <w:rFonts w:asciiTheme="minorHAnsi" w:hAnsiTheme="minorHAnsi"/>
                      <w:b/>
                      <w:i/>
                      <w:color w:val="4F81BD" w:themeColor="accent1"/>
                      <w:sz w:val="18"/>
                      <w:lang w:val="en-GB"/>
                    </w:rPr>
                  </w:pPr>
                </w:p>
                <w:p w14:paraId="50355F94" w14:textId="77777777" w:rsidR="00921721" w:rsidRPr="008526A3" w:rsidRDefault="00921721" w:rsidP="00880D09">
                  <w:pPr>
                    <w:ind w:right="28"/>
                    <w:rPr>
                      <w:rFonts w:asciiTheme="minorHAnsi" w:hAnsiTheme="minorHAnsi"/>
                      <w:i/>
                      <w:color w:val="4F81BD" w:themeColor="accent1"/>
                      <w:sz w:val="18"/>
                      <w:lang w:val="en-GB"/>
                    </w:rPr>
                  </w:pPr>
                  <w:r w:rsidRPr="008526A3">
                    <w:rPr>
                      <w:rFonts w:asciiTheme="minorHAnsi" w:hAnsiTheme="minorHAnsi"/>
                      <w:b/>
                      <w:i/>
                      <w:color w:val="4F81BD" w:themeColor="accent1"/>
                      <w:sz w:val="18"/>
                      <w:lang w:val="en-GB"/>
                    </w:rPr>
                    <w:t>The above value corresponds to the project financial residual value. In order to obtain the project economic residual value</w:t>
                  </w:r>
                  <w:r>
                    <w:rPr>
                      <w:rFonts w:asciiTheme="minorHAnsi" w:hAnsiTheme="minorHAnsi"/>
                      <w:b/>
                      <w:i/>
                      <w:color w:val="4F81BD" w:themeColor="accent1"/>
                      <w:sz w:val="18"/>
                      <w:lang w:val="en-GB"/>
                    </w:rPr>
                    <w:t>,</w:t>
                  </w:r>
                  <w:r w:rsidRPr="008526A3">
                    <w:rPr>
                      <w:rFonts w:asciiTheme="minorHAnsi" w:hAnsiTheme="minorHAnsi"/>
                      <w:b/>
                      <w:i/>
                      <w:color w:val="4F81BD" w:themeColor="accent1"/>
                      <w:sz w:val="18"/>
                      <w:lang w:val="en-GB"/>
                    </w:rPr>
                    <w:t xml:space="preserve"> the CF for construction costs needs to be applied.</w:t>
                  </w:r>
                </w:p>
              </w:tc>
              <w:tc>
                <w:tcPr>
                  <w:tcW w:w="3204" w:type="dxa"/>
                  <w:tcBorders>
                    <w:top w:val="single" w:sz="4" w:space="0" w:color="FFFFFF"/>
                    <w:left w:val="single" w:sz="4" w:space="0" w:color="FFFFFF"/>
                    <w:bottom w:val="single" w:sz="4" w:space="0" w:color="FFFFFF"/>
                    <w:right w:val="nil"/>
                  </w:tcBorders>
                  <w:shd w:val="clear" w:color="auto" w:fill="DBE5F1" w:themeFill="accent1" w:themeFillTint="33"/>
                </w:tcPr>
                <w:p w14:paraId="2AA08151" w14:textId="77777777" w:rsidR="00921721" w:rsidRPr="008526A3" w:rsidRDefault="00921721" w:rsidP="00880D09">
                  <w:pPr>
                    <w:ind w:right="28"/>
                    <w:rPr>
                      <w:rFonts w:asciiTheme="minorHAnsi" w:hAnsiTheme="minorHAnsi"/>
                      <w:b/>
                      <w:i/>
                      <w:color w:val="4F81BD" w:themeColor="accent1"/>
                      <w:sz w:val="18"/>
                      <w:lang w:val="en-GB"/>
                    </w:rPr>
                  </w:pPr>
                  <w:r w:rsidRPr="008526A3">
                    <w:rPr>
                      <w:rFonts w:asciiTheme="minorHAnsi" w:hAnsiTheme="minorHAnsi"/>
                      <w:i/>
                      <w:color w:val="4F81BD" w:themeColor="accent1"/>
                      <w:sz w:val="18"/>
                      <w:lang w:val="en-GB"/>
                    </w:rPr>
                    <w:t xml:space="preserve">Residual value = 450*38% + 300*67% + 175*50%+40*25%+20*58%+10*33%+50*60%+15*33%+ 80 = </w:t>
                  </w:r>
                  <w:r w:rsidRPr="008526A3">
                    <w:rPr>
                      <w:rFonts w:asciiTheme="minorHAnsi" w:hAnsiTheme="minorHAnsi"/>
                      <w:b/>
                      <w:i/>
                      <w:color w:val="4F81BD" w:themeColor="accent1"/>
                      <w:sz w:val="18"/>
                      <w:lang w:val="en-GB"/>
                    </w:rPr>
                    <w:t xml:space="preserve">596.25 </w:t>
                  </w:r>
                  <w:proofErr w:type="spellStart"/>
                  <w:r w:rsidRPr="008526A3">
                    <w:rPr>
                      <w:rFonts w:asciiTheme="minorHAnsi" w:hAnsiTheme="minorHAnsi"/>
                      <w:b/>
                      <w:i/>
                      <w:color w:val="4F81BD" w:themeColor="accent1"/>
                      <w:sz w:val="18"/>
                      <w:lang w:val="en-GB"/>
                    </w:rPr>
                    <w:t>mPLN</w:t>
                  </w:r>
                  <w:proofErr w:type="spellEnd"/>
                </w:p>
                <w:p w14:paraId="6A8DBE04" w14:textId="77777777" w:rsidR="00921721" w:rsidRPr="008526A3" w:rsidRDefault="00921721" w:rsidP="00880D09">
                  <w:pPr>
                    <w:ind w:right="28"/>
                    <w:rPr>
                      <w:rFonts w:asciiTheme="minorHAnsi" w:hAnsiTheme="minorHAnsi"/>
                      <w:b/>
                      <w:i/>
                      <w:color w:val="4F81BD" w:themeColor="accent1"/>
                      <w:sz w:val="18"/>
                      <w:lang w:val="en-GB"/>
                    </w:rPr>
                  </w:pPr>
                </w:p>
                <w:p w14:paraId="5ABF8521" w14:textId="77777777" w:rsidR="00921721" w:rsidRPr="008526A3" w:rsidRDefault="00921721" w:rsidP="00880D09">
                  <w:pPr>
                    <w:ind w:right="28"/>
                    <w:rPr>
                      <w:rFonts w:asciiTheme="minorHAnsi" w:hAnsiTheme="minorHAnsi"/>
                      <w:i/>
                      <w:color w:val="4F81BD" w:themeColor="accent1"/>
                      <w:sz w:val="18"/>
                      <w:lang w:val="en-GB"/>
                    </w:rPr>
                  </w:pPr>
                </w:p>
              </w:tc>
            </w:tr>
          </w:tbl>
          <w:p w14:paraId="5D2F5617" w14:textId="77777777" w:rsidR="00921721" w:rsidRDefault="00921721" w:rsidP="00880D09">
            <w:pPr>
              <w:pStyle w:val="anxnormal"/>
              <w:ind w:left="0"/>
              <w:rPr>
                <w:rFonts w:asciiTheme="minorHAnsi" w:hAnsiTheme="minorHAnsi"/>
                <w:lang w:val="en-GB" w:eastAsia="en-US"/>
              </w:rPr>
            </w:pPr>
          </w:p>
          <w:p w14:paraId="7821827B" w14:textId="207254E3"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If the analyst wishes to apply different unit values, he/she should:</w:t>
            </w:r>
          </w:p>
          <w:p w14:paraId="3897B21B" w14:textId="77777777" w:rsidR="00921721" w:rsidRPr="00731E4E" w:rsidRDefault="00921721" w:rsidP="00D5736B">
            <w:pPr>
              <w:pStyle w:val="anxnormal"/>
              <w:numPr>
                <w:ilvl w:val="0"/>
                <w:numId w:val="90"/>
              </w:numPr>
              <w:snapToGrid w:val="0"/>
              <w:ind w:left="707" w:hanging="707"/>
              <w:rPr>
                <w:rFonts w:asciiTheme="minorHAnsi" w:hAnsiTheme="minorHAnsi"/>
                <w:lang w:val="en-GB" w:eastAsia="en-US"/>
              </w:rPr>
            </w:pPr>
            <w:r w:rsidRPr="00731E4E">
              <w:rPr>
                <w:rFonts w:asciiTheme="minorHAnsi" w:hAnsiTheme="minorHAnsi"/>
                <w:lang w:val="en-GB" w:eastAsia="en-US"/>
              </w:rPr>
              <w:t>always attach the justification for the use of alternative values,</w:t>
            </w:r>
          </w:p>
          <w:p w14:paraId="2E987C9E" w14:textId="77777777" w:rsidR="00921721" w:rsidRPr="004462E6" w:rsidRDefault="00921721" w:rsidP="00D5736B">
            <w:pPr>
              <w:pStyle w:val="anxnormal"/>
              <w:numPr>
                <w:ilvl w:val="0"/>
                <w:numId w:val="90"/>
              </w:numPr>
              <w:snapToGrid w:val="0"/>
              <w:ind w:left="707" w:hanging="707"/>
              <w:rPr>
                <w:rFonts w:asciiTheme="minorHAnsi" w:hAnsiTheme="minorHAnsi"/>
                <w:lang w:val="en-GB" w:eastAsia="en-US"/>
              </w:rPr>
            </w:pPr>
            <w:r w:rsidRPr="00731E4E">
              <w:rPr>
                <w:rFonts w:asciiTheme="minorHAnsi" w:hAnsiTheme="minorHAnsi"/>
                <w:lang w:val="en-GB" w:eastAsia="en-US"/>
              </w:rPr>
              <w:t>demonstrate results of implementing the alternative values in the sensitivity analysis.</w:t>
            </w:r>
          </w:p>
          <w:p w14:paraId="2AF185D4"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It is possible to use more detailed infrastructure maintenance, environmental and vehicle operation unit costs with respect to pavement condition according to SOSN</w:t>
            </w:r>
            <w:r w:rsidRPr="00731E4E">
              <w:rPr>
                <w:rStyle w:val="Odwoanieprzypisudolnego"/>
                <w:rFonts w:asciiTheme="minorHAnsi" w:hAnsiTheme="minorHAnsi"/>
                <w:lang w:val="en-GB" w:eastAsia="en-US"/>
              </w:rPr>
              <w:footnoteReference w:id="22"/>
            </w:r>
            <w:r w:rsidRPr="00731E4E">
              <w:rPr>
                <w:rFonts w:asciiTheme="minorHAnsi" w:hAnsiTheme="minorHAnsi"/>
                <w:lang w:val="en-GB" w:eastAsia="en-US"/>
              </w:rPr>
              <w:t xml:space="preserve"> classification (A, B, C, D), as in the </w:t>
            </w:r>
            <w:proofErr w:type="spellStart"/>
            <w:r w:rsidRPr="00731E4E">
              <w:rPr>
                <w:rFonts w:asciiTheme="minorHAnsi" w:hAnsiTheme="minorHAnsi"/>
                <w:lang w:val="en-GB" w:eastAsia="en-US"/>
              </w:rPr>
              <w:t>GDDKiA</w:t>
            </w:r>
            <w:proofErr w:type="spellEnd"/>
            <w:r w:rsidRPr="00731E4E">
              <w:rPr>
                <w:rFonts w:asciiTheme="minorHAnsi" w:hAnsiTheme="minorHAnsi"/>
                <w:lang w:val="en-GB" w:eastAsia="en-US"/>
              </w:rPr>
              <w:t xml:space="preserve"> </w:t>
            </w:r>
            <w:r>
              <w:rPr>
                <w:rFonts w:asciiTheme="minorHAnsi" w:hAnsiTheme="minorHAnsi"/>
                <w:lang w:val="en-GB" w:eastAsia="en-US"/>
              </w:rPr>
              <w:t xml:space="preserve">internal </w:t>
            </w:r>
            <w:r w:rsidRPr="00731E4E">
              <w:rPr>
                <w:rFonts w:asciiTheme="minorHAnsi" w:hAnsiTheme="minorHAnsi"/>
                <w:lang w:val="en-GB" w:eastAsia="en-US"/>
              </w:rPr>
              <w:t xml:space="preserve">CBA instruction (published </w:t>
            </w:r>
            <w:r>
              <w:rPr>
                <w:rFonts w:asciiTheme="minorHAnsi" w:hAnsiTheme="minorHAnsi"/>
                <w:lang w:val="en-GB" w:eastAsia="en-US"/>
              </w:rPr>
              <w:t>in 2021</w:t>
            </w:r>
            <w:r w:rsidRPr="00731E4E">
              <w:rPr>
                <w:rFonts w:asciiTheme="minorHAnsi" w:hAnsiTheme="minorHAnsi"/>
                <w:lang w:val="en-GB" w:eastAsia="en-US"/>
              </w:rPr>
              <w:t xml:space="preserve">) substituting </w:t>
            </w:r>
            <w:proofErr w:type="spellStart"/>
            <w:r w:rsidRPr="00731E4E">
              <w:rPr>
                <w:rFonts w:asciiTheme="minorHAnsi" w:hAnsiTheme="minorHAnsi"/>
                <w:lang w:val="en-GB" w:eastAsia="en-US"/>
              </w:rPr>
              <w:t>IBDiM</w:t>
            </w:r>
            <w:proofErr w:type="spellEnd"/>
            <w:r w:rsidRPr="00731E4E">
              <w:rPr>
                <w:rFonts w:asciiTheme="minorHAnsi" w:hAnsiTheme="minorHAnsi"/>
                <w:lang w:val="en-GB" w:eastAsia="en-US"/>
              </w:rPr>
              <w:t xml:space="preserve"> instruction dated 2008. In such cases, results of analysis using values provided in this Appendix must be presented separately.</w:t>
            </w:r>
          </w:p>
          <w:p w14:paraId="0EA7D3FC" w14:textId="77777777" w:rsidR="00921721" w:rsidRPr="00731E4E" w:rsidRDefault="00921721" w:rsidP="00880D09">
            <w:pPr>
              <w:ind w:right="170"/>
              <w:rPr>
                <w:rFonts w:asciiTheme="minorHAnsi" w:eastAsia="Arial" w:hAnsiTheme="minorHAnsi" w:cs="Arial"/>
                <w:b/>
                <w:bCs/>
                <w:color w:val="323299"/>
                <w:spacing w:val="1"/>
                <w:position w:val="-1"/>
                <w:szCs w:val="20"/>
                <w:lang w:val="en-GB"/>
              </w:rPr>
            </w:pPr>
          </w:p>
        </w:tc>
      </w:tr>
    </w:tbl>
    <w:p w14:paraId="50D7AF7F" w14:textId="77777777" w:rsidR="00921721" w:rsidRPr="00F13EAB" w:rsidRDefault="00921721" w:rsidP="00921721">
      <w:pPr>
        <w:pStyle w:val="anxnormal"/>
        <w:spacing w:after="120"/>
        <w:ind w:left="0"/>
        <w:rPr>
          <w:rFonts w:asciiTheme="minorHAnsi" w:hAnsiTheme="minorHAnsi"/>
          <w:lang w:val="en-US"/>
        </w:rPr>
      </w:pPr>
    </w:p>
    <w:p w14:paraId="384CBD2C" w14:textId="68E6E351" w:rsidR="00600DEE" w:rsidRPr="00343533" w:rsidRDefault="00641FB5" w:rsidP="00921721">
      <w:pPr>
        <w:pStyle w:val="Nagwek1"/>
        <w:rPr>
          <w:rFonts w:ascii="Calibri" w:eastAsia="Calibri" w:hAnsi="Calibri" w:cs="Calibri"/>
          <w:color w:val="0070C0"/>
          <w:lang w:val="pl-PL"/>
        </w:rPr>
      </w:pPr>
      <w:bookmarkStart w:id="127" w:name="_Toc95378017"/>
      <w:r w:rsidRPr="00343533">
        <w:rPr>
          <w:rFonts w:ascii="Calibri" w:eastAsia="Calibri" w:hAnsi="Calibri" w:cs="Calibri"/>
          <w:color w:val="0070C0"/>
          <w:lang w:val="pl-PL"/>
        </w:rPr>
        <w:lastRenderedPageBreak/>
        <w:t>Załącznik B: Prognozy ruchu</w:t>
      </w:r>
      <w:r w:rsidRPr="00343533">
        <w:rPr>
          <w:rFonts w:ascii="Calibri" w:eastAsia="Calibri" w:hAnsi="Calibri" w:cs="Calibri"/>
          <w:color w:val="0070C0"/>
          <w:lang w:val="pl-PL"/>
        </w:rPr>
        <w:tab/>
      </w:r>
      <w:r w:rsidRPr="00343533">
        <w:rPr>
          <w:rFonts w:ascii="Calibri" w:eastAsia="Calibri" w:hAnsi="Calibri" w:cs="Calibri"/>
          <w:color w:val="0070C0"/>
          <w:lang w:val="pl-PL"/>
        </w:rPr>
        <w:tab/>
      </w:r>
      <w:r w:rsidRPr="00343533">
        <w:rPr>
          <w:rFonts w:ascii="Calibri" w:eastAsia="Calibri" w:hAnsi="Calibri" w:cs="Calibri"/>
          <w:color w:val="0070C0"/>
          <w:lang w:val="pl-PL"/>
        </w:rPr>
        <w:tab/>
        <w:t xml:space="preserve">     </w:t>
      </w:r>
      <w:r w:rsidR="002D634C" w:rsidRPr="00343533">
        <w:rPr>
          <w:rFonts w:ascii="Calibri" w:eastAsia="Calibri" w:hAnsi="Calibri" w:cs="Calibri"/>
          <w:color w:val="0070C0"/>
          <w:lang w:val="pl-PL"/>
        </w:rPr>
        <w:t xml:space="preserve">                                       </w:t>
      </w:r>
      <w:r w:rsidRPr="00343533">
        <w:rPr>
          <w:rFonts w:ascii="Calibri" w:eastAsia="Calibri" w:hAnsi="Calibri" w:cs="Calibri"/>
          <w:color w:val="0070C0"/>
          <w:lang w:val="pl-PL"/>
        </w:rPr>
        <w:t xml:space="preserve">Appendix B: </w:t>
      </w:r>
      <w:proofErr w:type="spellStart"/>
      <w:r w:rsidRPr="00343533">
        <w:rPr>
          <w:rFonts w:ascii="Calibri" w:eastAsia="Calibri" w:hAnsi="Calibri" w:cs="Calibri"/>
          <w:color w:val="0070C0"/>
          <w:lang w:val="pl-PL"/>
        </w:rPr>
        <w:t>Traffic</w:t>
      </w:r>
      <w:proofErr w:type="spellEnd"/>
      <w:r w:rsidRPr="00343533">
        <w:rPr>
          <w:rFonts w:ascii="Calibri" w:eastAsia="Calibri" w:hAnsi="Calibri" w:cs="Calibri"/>
          <w:color w:val="0070C0"/>
          <w:lang w:val="pl-PL"/>
        </w:rPr>
        <w:t xml:space="preserve"> </w:t>
      </w:r>
      <w:proofErr w:type="spellStart"/>
      <w:r w:rsidRPr="00343533">
        <w:rPr>
          <w:rFonts w:ascii="Calibri" w:eastAsia="Calibri" w:hAnsi="Calibri" w:cs="Calibri"/>
          <w:color w:val="0070C0"/>
          <w:lang w:val="pl-PL"/>
        </w:rPr>
        <w:t>forecasts</w:t>
      </w:r>
      <w:bookmarkEnd w:id="127"/>
      <w:proofErr w:type="spellEnd"/>
    </w:p>
    <w:tbl>
      <w:tblPr>
        <w:tblStyle w:val="afffffffffffff9"/>
        <w:tblW w:w="14571" w:type="dxa"/>
        <w:tblLayout w:type="fixed"/>
        <w:tblLook w:val="0400" w:firstRow="0" w:lastRow="0" w:firstColumn="0" w:lastColumn="0" w:noHBand="0" w:noVBand="1"/>
      </w:tblPr>
      <w:tblGrid>
        <w:gridCol w:w="7370"/>
        <w:gridCol w:w="7201"/>
      </w:tblGrid>
      <w:tr w:rsidR="00600DEE" w:rsidRPr="007463B9" w14:paraId="02682067" w14:textId="77777777">
        <w:tc>
          <w:tcPr>
            <w:tcW w:w="7370" w:type="dxa"/>
            <w:tcBorders>
              <w:right w:val="single" w:sz="4" w:space="0" w:color="000000"/>
            </w:tcBorders>
            <w:tcMar>
              <w:left w:w="284" w:type="dxa"/>
              <w:right w:w="284" w:type="dxa"/>
            </w:tcMar>
          </w:tcPr>
          <w:p w14:paraId="7302034B"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Etapy prognozy ruchu – opis i podstawowe założenia oraz rekomendacje </w:t>
            </w:r>
          </w:p>
          <w:p w14:paraId="2F454AEF" w14:textId="77777777" w:rsidR="00600DEE" w:rsidRDefault="00600DEE">
            <w:pPr>
              <w:jc w:val="both"/>
              <w:rPr>
                <w:rFonts w:ascii="Calibri" w:eastAsia="Calibri" w:hAnsi="Calibri" w:cs="Calibri"/>
                <w:b/>
                <w:color w:val="4F81BD"/>
                <w:sz w:val="20"/>
                <w:szCs w:val="20"/>
              </w:rPr>
            </w:pPr>
          </w:p>
          <w:p w14:paraId="105881E0" w14:textId="77777777" w:rsidR="00600DEE" w:rsidRDefault="00600DEE">
            <w:pPr>
              <w:jc w:val="both"/>
              <w:rPr>
                <w:rFonts w:ascii="Calibri" w:eastAsia="Calibri" w:hAnsi="Calibri" w:cs="Calibri"/>
                <w:b/>
                <w:color w:val="4F81BD"/>
                <w:sz w:val="20"/>
                <w:szCs w:val="20"/>
              </w:rPr>
            </w:pPr>
          </w:p>
          <w:p w14:paraId="2E7B3A0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 DEFINIOWANIE MODELU</w:t>
            </w:r>
          </w:p>
          <w:p w14:paraId="486EF018" w14:textId="77777777" w:rsidR="00600DEE" w:rsidRDefault="00600DEE">
            <w:pPr>
              <w:jc w:val="both"/>
              <w:rPr>
                <w:rFonts w:ascii="Calibri" w:eastAsia="Calibri" w:hAnsi="Calibri" w:cs="Calibri"/>
                <w:b/>
                <w:color w:val="4F81BD"/>
                <w:sz w:val="20"/>
                <w:szCs w:val="20"/>
              </w:rPr>
            </w:pPr>
          </w:p>
          <w:p w14:paraId="62FDADB8"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Zasięg obszarowy </w:t>
            </w:r>
          </w:p>
          <w:p w14:paraId="38FE665A" w14:textId="77777777" w:rsidR="00600DEE" w:rsidRDefault="00600DEE">
            <w:pPr>
              <w:jc w:val="both"/>
              <w:rPr>
                <w:rFonts w:ascii="Calibri" w:eastAsia="Calibri" w:hAnsi="Calibri" w:cs="Calibri"/>
                <w:sz w:val="20"/>
                <w:szCs w:val="20"/>
              </w:rPr>
            </w:pPr>
          </w:p>
          <w:p w14:paraId="12A963DD"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większości dużych inwestycji na drogach zamiejskich, model drogowy zazwyczaj obejmuje obszar całego kraju lub regionu/regionów w zależności od specyfiki projektu. W tym celu można wykorzystać krajowy model ruchu, który jest w posiadaniu i udostępniany przez GDDKiA. Model ten odwzorowuje całą siec dróg krajowych i wojewódzkich oraz krajową sieć kolejową i lotniczą.</w:t>
            </w:r>
          </w:p>
          <w:p w14:paraId="0768CE9C"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 xml:space="preserve">Model ruchu znajdujący się obecnie w posiadaniu GDDKiA nie jest modelem nadającym się bezpośrednio do zastosowania. Stanowi model bazowy do wykorzystania tylko pod warunkiem zastosowania specjalistycznego oprogramowania do modelowania ruchu oraz dostosowania jego aktualności i szczegółowości do konkretnego projektu. </w:t>
            </w:r>
          </w:p>
          <w:p w14:paraId="5ACAE86C" w14:textId="77777777" w:rsidR="00600DEE" w:rsidRDefault="00600DEE">
            <w:pPr>
              <w:jc w:val="both"/>
              <w:rPr>
                <w:rFonts w:ascii="Calibri" w:eastAsia="Calibri" w:hAnsi="Calibri" w:cs="Calibri"/>
                <w:sz w:val="20"/>
                <w:szCs w:val="20"/>
              </w:rPr>
            </w:pPr>
          </w:p>
          <w:p w14:paraId="35436874"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inwestycji typowo miejskich prognozy ruchu należy opracować na podstawie modelu ruchu, który obejmuje co najmniej obszar w granicach miasta. Dla kluczowych inwestycji komunikacyjnych oraz największych miast (powyżej 300 tys. mieszkańców), model należy rozszerzyć na obszar terenów przylegających do miasta i mających wpływ na poziom natężenia ruchu w mieście.</w:t>
            </w:r>
          </w:p>
          <w:p w14:paraId="760AEF39" w14:textId="77777777" w:rsidR="00600DEE" w:rsidRDefault="00600DEE">
            <w:pPr>
              <w:jc w:val="both"/>
              <w:rPr>
                <w:rFonts w:ascii="Calibri" w:eastAsia="Calibri" w:hAnsi="Calibri" w:cs="Calibri"/>
                <w:sz w:val="20"/>
                <w:szCs w:val="20"/>
              </w:rPr>
            </w:pPr>
          </w:p>
          <w:p w14:paraId="1C8849AE"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Następnie, dla celów analiz ekonomiczno-finansowych, korzystnie jest zidentyfikować obszar oddziaływania projektu, tzw. bufor (zdefiniowany w rozdziale „Definicje i Akronimy”), który będzie podstawą do prognozowania danych wejściowych niezbędnych dla dalszych wyliczeń.</w:t>
            </w:r>
          </w:p>
          <w:p w14:paraId="337F684F" w14:textId="77777777" w:rsidR="00600DEE" w:rsidRDefault="00600DEE">
            <w:pPr>
              <w:jc w:val="both"/>
              <w:rPr>
                <w:rFonts w:ascii="Calibri" w:eastAsia="Calibri" w:hAnsi="Calibri" w:cs="Calibri"/>
                <w:sz w:val="20"/>
                <w:szCs w:val="20"/>
              </w:rPr>
            </w:pPr>
          </w:p>
          <w:p w14:paraId="39D17F3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Przy inwestycjach obejmujących przebudowę, dla których możliwe jest wykonanie uproszczonej prognozy ruchu metodą wskaźnikową, prognozę taką należy sporządzić jedynie dla odcinka drogi/ulicy, dla którego wykonywana jest analiza.</w:t>
            </w:r>
          </w:p>
          <w:p w14:paraId="3509EC4C" w14:textId="77777777" w:rsidR="00600DEE" w:rsidRDefault="00600DEE">
            <w:pPr>
              <w:jc w:val="both"/>
              <w:rPr>
                <w:rFonts w:ascii="Calibri" w:eastAsia="Calibri" w:hAnsi="Calibri" w:cs="Calibri"/>
                <w:b/>
                <w:sz w:val="20"/>
                <w:szCs w:val="20"/>
              </w:rPr>
            </w:pPr>
          </w:p>
          <w:p w14:paraId="58BAE37E" w14:textId="77777777" w:rsidR="00600DEE" w:rsidRDefault="00600DEE">
            <w:pPr>
              <w:jc w:val="both"/>
              <w:rPr>
                <w:rFonts w:ascii="Calibri" w:eastAsia="Calibri" w:hAnsi="Calibri" w:cs="Calibri"/>
                <w:b/>
                <w:sz w:val="20"/>
                <w:szCs w:val="20"/>
              </w:rPr>
            </w:pPr>
          </w:p>
          <w:p w14:paraId="3F5CA190" w14:textId="77777777" w:rsidR="00C77DFC" w:rsidRDefault="00C77DFC">
            <w:pPr>
              <w:jc w:val="both"/>
              <w:rPr>
                <w:rFonts w:ascii="Calibri" w:eastAsia="Calibri" w:hAnsi="Calibri" w:cs="Calibri"/>
                <w:b/>
                <w:color w:val="4F81BD"/>
                <w:sz w:val="20"/>
                <w:szCs w:val="20"/>
              </w:rPr>
            </w:pPr>
          </w:p>
          <w:p w14:paraId="54B3C683" w14:textId="77777777" w:rsidR="00C77DFC" w:rsidRDefault="00C77DFC">
            <w:pPr>
              <w:jc w:val="both"/>
              <w:rPr>
                <w:rFonts w:ascii="Calibri" w:eastAsia="Calibri" w:hAnsi="Calibri" w:cs="Calibri"/>
                <w:b/>
                <w:color w:val="4F81BD"/>
                <w:sz w:val="20"/>
                <w:szCs w:val="20"/>
              </w:rPr>
            </w:pPr>
          </w:p>
          <w:p w14:paraId="14B64858" w14:textId="5FAEEC80"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Szczegóły sieci. Rejony komunikacyjne</w:t>
            </w:r>
          </w:p>
          <w:p w14:paraId="30021D34" w14:textId="77777777" w:rsidR="00600DEE" w:rsidRDefault="00600DEE">
            <w:pPr>
              <w:jc w:val="both"/>
              <w:rPr>
                <w:rFonts w:ascii="Calibri" w:eastAsia="Calibri" w:hAnsi="Calibri" w:cs="Calibri"/>
                <w:b/>
                <w:sz w:val="20"/>
                <w:szCs w:val="20"/>
              </w:rPr>
            </w:pPr>
          </w:p>
          <w:p w14:paraId="5C27276F" w14:textId="611A12C7" w:rsidR="00600DEE" w:rsidRDefault="00641FB5">
            <w:pPr>
              <w:jc w:val="both"/>
              <w:rPr>
                <w:rFonts w:ascii="Calibri" w:eastAsia="Calibri" w:hAnsi="Calibri" w:cs="Calibri"/>
                <w:sz w:val="20"/>
                <w:szCs w:val="20"/>
              </w:rPr>
            </w:pPr>
            <w:r>
              <w:rPr>
                <w:rFonts w:ascii="Calibri" w:eastAsia="Calibri" w:hAnsi="Calibri" w:cs="Calibri"/>
                <w:sz w:val="20"/>
                <w:szCs w:val="20"/>
              </w:rPr>
              <w:t xml:space="preserve">Dla inwestycji na drogach krajowych i wojewódzkich zaleca się stosowanie modelu sieci </w:t>
            </w:r>
            <w:r w:rsidR="00B95FB9">
              <w:rPr>
                <w:rFonts w:ascii="Calibri" w:eastAsia="Calibri" w:hAnsi="Calibri" w:cs="Calibri"/>
                <w:sz w:val="20"/>
                <w:szCs w:val="20"/>
              </w:rPr>
              <w:t xml:space="preserve">transportowej z Intermodalnego </w:t>
            </w:r>
            <w:r>
              <w:rPr>
                <w:rFonts w:ascii="Calibri" w:eastAsia="Calibri" w:hAnsi="Calibri" w:cs="Calibri"/>
                <w:sz w:val="20"/>
                <w:szCs w:val="20"/>
              </w:rPr>
              <w:t xml:space="preserve">Krajowego Modelu Ruchu (IKMR), który może zostać udostępniony przez GDDKiA. Model ten zawiera informacje o ruchu na sieci dróg krajowych i wojewódzkich w podziale na powiaty (w formie plików tekstowych do wykorzystania przez specjalistyczne oprogramowanie) i może wymagać uszczegółowienia o drogi lokalne w okolicy rozpatrywanego projektu. </w:t>
            </w:r>
          </w:p>
          <w:p w14:paraId="6520BB78" w14:textId="4AAB83B7" w:rsidR="00600DEE" w:rsidRDefault="00600DEE">
            <w:pPr>
              <w:jc w:val="both"/>
              <w:rPr>
                <w:rFonts w:ascii="Calibri" w:eastAsia="Calibri" w:hAnsi="Calibri" w:cs="Calibri"/>
                <w:sz w:val="20"/>
                <w:szCs w:val="20"/>
              </w:rPr>
            </w:pPr>
          </w:p>
          <w:p w14:paraId="30E8EE68" w14:textId="730EC6F9" w:rsidR="00C77DFC" w:rsidRDefault="00C77DFC">
            <w:pPr>
              <w:jc w:val="both"/>
              <w:rPr>
                <w:rFonts w:ascii="Calibri" w:eastAsia="Calibri" w:hAnsi="Calibri" w:cs="Calibri"/>
                <w:sz w:val="20"/>
                <w:szCs w:val="20"/>
              </w:rPr>
            </w:pPr>
          </w:p>
          <w:p w14:paraId="18F42B55" w14:textId="77777777" w:rsidR="00C77DFC" w:rsidRDefault="00C77DFC">
            <w:pPr>
              <w:jc w:val="both"/>
              <w:rPr>
                <w:rFonts w:ascii="Calibri" w:eastAsia="Calibri" w:hAnsi="Calibri" w:cs="Calibri"/>
                <w:sz w:val="20"/>
                <w:szCs w:val="20"/>
              </w:rPr>
            </w:pPr>
          </w:p>
          <w:p w14:paraId="33C4C4E2"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Jeśli w AKK wykorzystano inny niż Krajowy Model Ruchu, to należy podać co najmniej następujące informacje:</w:t>
            </w:r>
          </w:p>
          <w:p w14:paraId="1EC1E739" w14:textId="77777777"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przyjęty podział na kategorie odcinków dróg,</w:t>
            </w:r>
          </w:p>
          <w:p w14:paraId="0FD03660" w14:textId="327A67C5"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parametry techniczne poszczególnych kategorii odcinków obejmujące m.in. przyjęte funkcje oporu odcinka</w:t>
            </w:r>
            <w:r w:rsidR="00B95FB9">
              <w:rPr>
                <w:rStyle w:val="Odwoanieprzypisudolnego"/>
                <w:rFonts w:ascii="Calibri" w:eastAsia="Calibri" w:hAnsi="Calibri" w:cs="Calibri"/>
                <w:sz w:val="20"/>
                <w:szCs w:val="20"/>
              </w:rPr>
              <w:footnoteReference w:id="23"/>
            </w:r>
            <w:r>
              <w:rPr>
                <w:rFonts w:ascii="Calibri" w:eastAsia="Calibri" w:hAnsi="Calibri" w:cs="Calibri"/>
                <w:sz w:val="20"/>
                <w:szCs w:val="20"/>
              </w:rPr>
              <w:t>,</w:t>
            </w:r>
          </w:p>
          <w:p w14:paraId="41C2AAFC" w14:textId="77777777"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przyjęty podział na rejony komunikacyjne, </w:t>
            </w:r>
          </w:p>
          <w:p w14:paraId="64266288" w14:textId="77777777"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opłaty za korzystanie z infrastruktury.</w:t>
            </w:r>
          </w:p>
          <w:p w14:paraId="2F9EE53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 xml:space="preserve">W przypadku obszarów miejskich zaleca się wykorzystanie istniejących modeli będących w dyspozycji władz lokalnych, o ile takie modele zostały wcześniej opracowane. Model sieci ulicznej musi obejmować, co najmniej wszystkie ulice w granicach miasta do klasy zbiorczej włącznie. W opisie należy przedstawić zakres informacji o modelu sieci, taki jak dla dróg zamiejskich. </w:t>
            </w:r>
          </w:p>
          <w:p w14:paraId="7DCBE802" w14:textId="77777777" w:rsidR="00600DEE" w:rsidRDefault="00600DEE">
            <w:pPr>
              <w:jc w:val="both"/>
              <w:rPr>
                <w:rFonts w:ascii="Calibri" w:eastAsia="Calibri" w:hAnsi="Calibri" w:cs="Calibri"/>
                <w:b/>
                <w:color w:val="323299"/>
                <w:sz w:val="20"/>
                <w:szCs w:val="20"/>
              </w:rPr>
            </w:pPr>
          </w:p>
          <w:p w14:paraId="4774A939" w14:textId="77777777" w:rsidR="00C77DFC" w:rsidRDefault="00C77DFC">
            <w:pPr>
              <w:jc w:val="both"/>
              <w:rPr>
                <w:rFonts w:ascii="Calibri" w:eastAsia="Calibri" w:hAnsi="Calibri" w:cs="Calibri"/>
                <w:b/>
                <w:color w:val="4F81BD"/>
                <w:sz w:val="20"/>
                <w:szCs w:val="20"/>
              </w:rPr>
            </w:pPr>
          </w:p>
          <w:p w14:paraId="6E87AF46" w14:textId="77777777" w:rsidR="00C77DFC" w:rsidRDefault="00C77DFC">
            <w:pPr>
              <w:jc w:val="both"/>
              <w:rPr>
                <w:rFonts w:ascii="Calibri" w:eastAsia="Calibri" w:hAnsi="Calibri" w:cs="Calibri"/>
                <w:b/>
                <w:color w:val="4F81BD"/>
                <w:sz w:val="20"/>
                <w:szCs w:val="20"/>
              </w:rPr>
            </w:pPr>
          </w:p>
          <w:p w14:paraId="73367CC5" w14:textId="77777777" w:rsidR="00C77DFC" w:rsidRDefault="00C77DFC">
            <w:pPr>
              <w:jc w:val="both"/>
              <w:rPr>
                <w:rFonts w:ascii="Calibri" w:eastAsia="Calibri" w:hAnsi="Calibri" w:cs="Calibri"/>
                <w:b/>
                <w:color w:val="4F81BD"/>
                <w:sz w:val="20"/>
                <w:szCs w:val="20"/>
              </w:rPr>
            </w:pPr>
          </w:p>
          <w:p w14:paraId="7C43A92B" w14:textId="77777777" w:rsidR="00C77DFC" w:rsidRDefault="00C77DFC">
            <w:pPr>
              <w:jc w:val="both"/>
              <w:rPr>
                <w:rFonts w:ascii="Calibri" w:eastAsia="Calibri" w:hAnsi="Calibri" w:cs="Calibri"/>
                <w:b/>
                <w:color w:val="4F81BD"/>
                <w:sz w:val="20"/>
                <w:szCs w:val="20"/>
              </w:rPr>
            </w:pPr>
          </w:p>
          <w:p w14:paraId="71C738E0" w14:textId="77777777" w:rsidR="00C77DFC" w:rsidRDefault="00C77DFC">
            <w:pPr>
              <w:jc w:val="both"/>
              <w:rPr>
                <w:rFonts w:ascii="Calibri" w:eastAsia="Calibri" w:hAnsi="Calibri" w:cs="Calibri"/>
                <w:b/>
                <w:color w:val="4F81BD"/>
                <w:sz w:val="20"/>
                <w:szCs w:val="20"/>
              </w:rPr>
            </w:pPr>
          </w:p>
          <w:p w14:paraId="12F56B84" w14:textId="1F0A9C85" w:rsidR="00C77DFC" w:rsidRDefault="00C77DFC">
            <w:pPr>
              <w:jc w:val="both"/>
              <w:rPr>
                <w:rFonts w:ascii="Calibri" w:eastAsia="Calibri" w:hAnsi="Calibri" w:cs="Calibri"/>
                <w:b/>
                <w:color w:val="4F81BD"/>
                <w:sz w:val="20"/>
                <w:szCs w:val="20"/>
              </w:rPr>
            </w:pPr>
          </w:p>
          <w:p w14:paraId="504C592B" w14:textId="71E7D28B" w:rsidR="00600DEE" w:rsidRPr="00C77DFC" w:rsidRDefault="00641FB5" w:rsidP="00C77DFC">
            <w:pP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 xml:space="preserve">Kategorie pojazdów. </w:t>
            </w:r>
            <w:proofErr w:type="spellStart"/>
            <w:r>
              <w:rPr>
                <w:rFonts w:ascii="Calibri" w:eastAsia="Calibri" w:hAnsi="Calibri" w:cs="Calibri"/>
                <w:b/>
                <w:color w:val="4F81BD"/>
                <w:sz w:val="20"/>
                <w:szCs w:val="20"/>
              </w:rPr>
              <w:t>Wielogałęziowość</w:t>
            </w:r>
            <w:proofErr w:type="spellEnd"/>
          </w:p>
          <w:p w14:paraId="1C05B179" w14:textId="66749B1C"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Niezależnie od przyjętej metody prognozowania, wyniki powinny zawierać natężenia ruchu, w ujęciu dobowym (w SDR – poj. rzeczywiste/dobę) lub/ i w ujęciu godzinowym (godziny szczytu)</w:t>
            </w:r>
            <w:r w:rsidR="00B95FB9">
              <w:rPr>
                <w:rFonts w:ascii="Calibri" w:eastAsia="Calibri" w:hAnsi="Calibri" w:cs="Calibri"/>
                <w:sz w:val="20"/>
                <w:szCs w:val="20"/>
              </w:rPr>
              <w:t>.</w:t>
            </w:r>
            <w:r>
              <w:rPr>
                <w:rFonts w:ascii="Calibri" w:eastAsia="Calibri" w:hAnsi="Calibri" w:cs="Calibri"/>
                <w:sz w:val="20"/>
                <w:szCs w:val="20"/>
              </w:rPr>
              <w:t xml:space="preserve"> Typowy podział na kategorie pojazdów może być następujący:</w:t>
            </w:r>
          </w:p>
          <w:p w14:paraId="2176232F"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 xml:space="preserve">SO </w:t>
            </w:r>
            <w:r>
              <w:rPr>
                <w:rFonts w:ascii="Calibri" w:eastAsia="Calibri" w:hAnsi="Calibri" w:cs="Calibri"/>
                <w:sz w:val="20"/>
                <w:szCs w:val="20"/>
              </w:rPr>
              <w:t>– samochody osobowe,</w:t>
            </w:r>
          </w:p>
          <w:p w14:paraId="4C308CB4"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 xml:space="preserve"> – samochody dostawcze (np. </w:t>
            </w:r>
            <w:proofErr w:type="spellStart"/>
            <w:r>
              <w:rPr>
                <w:rFonts w:ascii="Calibri" w:eastAsia="Calibri" w:hAnsi="Calibri" w:cs="Calibri"/>
                <w:sz w:val="20"/>
                <w:szCs w:val="20"/>
              </w:rPr>
              <w:t>vany</w:t>
            </w:r>
            <w:proofErr w:type="spellEnd"/>
            <w:r>
              <w:rPr>
                <w:rFonts w:ascii="Calibri" w:eastAsia="Calibri" w:hAnsi="Calibri" w:cs="Calibri"/>
                <w:sz w:val="20"/>
                <w:szCs w:val="20"/>
              </w:rPr>
              <w:t>),</w:t>
            </w:r>
          </w:p>
          <w:p w14:paraId="7D92ABEE"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 xml:space="preserve">SC </w:t>
            </w:r>
            <w:r>
              <w:rPr>
                <w:rFonts w:ascii="Calibri" w:eastAsia="Calibri" w:hAnsi="Calibri" w:cs="Calibri"/>
                <w:sz w:val="20"/>
                <w:szCs w:val="20"/>
              </w:rPr>
              <w:t>– samochody ciężarowe bez przyczep,</w:t>
            </w:r>
          </w:p>
          <w:p w14:paraId="7EDAC1CB"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proofErr w:type="spellStart"/>
            <w:r>
              <w:rPr>
                <w:rFonts w:ascii="Calibri" w:eastAsia="Calibri" w:hAnsi="Calibri" w:cs="Calibri"/>
                <w:b/>
                <w:sz w:val="20"/>
                <w:szCs w:val="20"/>
              </w:rPr>
              <w:t>SCp</w:t>
            </w:r>
            <w:proofErr w:type="spellEnd"/>
            <w:r>
              <w:rPr>
                <w:rFonts w:ascii="Calibri" w:eastAsia="Calibri" w:hAnsi="Calibri" w:cs="Calibri"/>
                <w:sz w:val="20"/>
                <w:szCs w:val="20"/>
              </w:rPr>
              <w:t xml:space="preserve"> - samochody ciężarowe z przyczepami,</w:t>
            </w:r>
          </w:p>
          <w:p w14:paraId="29497E29"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 xml:space="preserve">A </w:t>
            </w:r>
            <w:r>
              <w:rPr>
                <w:rFonts w:ascii="Calibri" w:eastAsia="Calibri" w:hAnsi="Calibri" w:cs="Calibri"/>
                <w:sz w:val="20"/>
                <w:szCs w:val="20"/>
              </w:rPr>
              <w:t>– autobusy.</w:t>
            </w:r>
          </w:p>
          <w:p w14:paraId="0379B6A7"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Możliwe jest również przyjęcie innej struktury rodzajowej ruchu (np. dopuszcza się połączenie kategorii lekkich samochodów dostawczych z samochodami osobowymi, samochodów ciężarowych z przyczepami i bez przyczep) wraz z odpowiednim wyjaśnieniem. Przykładowo można przyjąć podział na poniższe kategorie pojazdów:</w:t>
            </w:r>
          </w:p>
          <w:p w14:paraId="6F60CA48"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LV</w:t>
            </w:r>
            <w:r>
              <w:rPr>
                <w:rFonts w:ascii="Calibri" w:eastAsia="Calibri" w:hAnsi="Calibri" w:cs="Calibri"/>
                <w:sz w:val="20"/>
                <w:szCs w:val="20"/>
              </w:rPr>
              <w:t xml:space="preserve"> – samochody lekkie, masa całkowita &lt; 3,5 tony,</w:t>
            </w:r>
          </w:p>
          <w:p w14:paraId="6F3D0D09"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HGV</w:t>
            </w:r>
            <w:r>
              <w:rPr>
                <w:rFonts w:ascii="Calibri" w:eastAsia="Calibri" w:hAnsi="Calibri" w:cs="Calibri"/>
                <w:sz w:val="20"/>
                <w:szCs w:val="20"/>
              </w:rPr>
              <w:t xml:space="preserve"> – samochody ciężkie, masa całkowita &gt; 3,5 tony (w tym autobusy).</w:t>
            </w:r>
          </w:p>
          <w:p w14:paraId="2C4A46C2" w14:textId="70F7EA63" w:rsidR="00600DEE" w:rsidRDefault="00641FB5" w:rsidP="00C77DFC">
            <w:pPr>
              <w:spacing w:after="120"/>
              <w:jc w:val="both"/>
              <w:rPr>
                <w:rFonts w:ascii="Calibri" w:eastAsia="Calibri" w:hAnsi="Calibri" w:cs="Calibri"/>
                <w:b/>
                <w:color w:val="323299"/>
                <w:sz w:val="20"/>
                <w:szCs w:val="20"/>
              </w:rPr>
            </w:pPr>
            <w:r>
              <w:rPr>
                <w:rFonts w:ascii="Calibri" w:eastAsia="Calibri" w:hAnsi="Calibri" w:cs="Calibri"/>
                <w:sz w:val="20"/>
                <w:szCs w:val="20"/>
              </w:rPr>
              <w:t xml:space="preserve">Model ruchu powinien uwzględniać </w:t>
            </w:r>
            <w:proofErr w:type="spellStart"/>
            <w:r>
              <w:rPr>
                <w:rFonts w:ascii="Calibri" w:eastAsia="Calibri" w:hAnsi="Calibri" w:cs="Calibri"/>
                <w:sz w:val="20"/>
                <w:szCs w:val="20"/>
              </w:rPr>
              <w:t>wielogałęziowość</w:t>
            </w:r>
            <w:proofErr w:type="spellEnd"/>
            <w:r>
              <w:rPr>
                <w:rFonts w:ascii="Calibri" w:eastAsia="Calibri" w:hAnsi="Calibri" w:cs="Calibri"/>
                <w:sz w:val="20"/>
                <w:szCs w:val="20"/>
              </w:rPr>
              <w:t xml:space="preserve"> (korzystanie z różnych środków transportu) zarówno dla przewozów towarowych, jak i pasażerskich. Zastosowanie takiego podejścia jest zgodne z wymaganiami dla funduszy europejskich 2021-2027 w zakresie promowania transportu zrównoważonego. Należy dodać, że Krajowy Model Ruchu powinien być systematycznie aktualizowany przez właściwe jednostki administracji centralnej.</w:t>
            </w:r>
          </w:p>
          <w:p w14:paraId="06919BAA" w14:textId="15BF8FAF" w:rsidR="00600DEE" w:rsidRPr="00C77DFC" w:rsidRDefault="00641FB5" w:rsidP="00C77DFC">
            <w:pP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Kategorie użytkowników</w:t>
            </w:r>
          </w:p>
          <w:p w14:paraId="1B0D7EDC"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modelu należy wyróżnić co najmniej 2 kategorie użytkowników: (1) ruch pasażerski: pojazdy osobowe i autobusy; (2) ruch towarowy: pojazdy ciężarowe.</w:t>
            </w:r>
          </w:p>
          <w:p w14:paraId="6FC876F1"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Użytkowników pojazdów osobowych i autobusów, należy podzielić na co najmniej trzy kategorie różnicujące motywacje podróży:</w:t>
            </w:r>
          </w:p>
          <w:p w14:paraId="7887DE27"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służbowe,</w:t>
            </w:r>
          </w:p>
          <w:p w14:paraId="0F627FDF"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codzienne dojazdy do/z pracy (tzw. ruch dojazdowy; dom-praca-dom),</w:t>
            </w:r>
          </w:p>
          <w:p w14:paraId="50D051AC"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lastRenderedPageBreak/>
              <w:t>inne motywacje.</w:t>
            </w:r>
          </w:p>
          <w:p w14:paraId="62DA0E25" w14:textId="77777777" w:rsidR="00600DEE" w:rsidRDefault="00600DEE">
            <w:pPr>
              <w:jc w:val="both"/>
              <w:rPr>
                <w:rFonts w:ascii="Calibri" w:eastAsia="Calibri" w:hAnsi="Calibri" w:cs="Calibri"/>
                <w:sz w:val="20"/>
                <w:szCs w:val="20"/>
              </w:rPr>
            </w:pPr>
          </w:p>
          <w:p w14:paraId="625D9966"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Okresy analizy </w:t>
            </w:r>
          </w:p>
          <w:p w14:paraId="3BD2D6D7"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(rok/ doba/ godzina szczytu)</w:t>
            </w:r>
          </w:p>
          <w:p w14:paraId="2288C874" w14:textId="77777777" w:rsidR="00600DEE" w:rsidRDefault="00600DEE">
            <w:pPr>
              <w:jc w:val="both"/>
              <w:rPr>
                <w:rFonts w:ascii="Calibri" w:eastAsia="Calibri" w:hAnsi="Calibri" w:cs="Calibri"/>
                <w:b/>
                <w:sz w:val="20"/>
                <w:szCs w:val="20"/>
              </w:rPr>
            </w:pPr>
          </w:p>
          <w:p w14:paraId="747ED58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Dla inwestycji zamiejskich prognozy ruchu obliczane są dla średniodobowego ruchu w roku SDR wyliczonego na podstawie danych z Generalnego Pomiaru Ruchu (GPR). Przeliczenie średnich natężeń dobowych na natężenia roczne następuje przez przemnożenie wyników dobowych przez 365.</w:t>
            </w:r>
          </w:p>
          <w:p w14:paraId="40D21ED1"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prognoz ruchu dla inwestycji miejskich zazwyczaj konieczne jest przeliczenie korzyści obliczonych w godzinie szczytu na korzyści dobowe i roczne.</w:t>
            </w:r>
          </w:p>
          <w:p w14:paraId="57F50720"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Dopuszczalne jest pominięcie kosztów ruchu w godzinach nocnych, ze względu na fakt, iż przynoszą one znikome oszczędności.</w:t>
            </w:r>
          </w:p>
          <w:p w14:paraId="6E1F303D"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braku odpowiednich danych o ruchu godzinowym, możliwe jest przyjęcie wartości uśrednionej zakładającej, że mnożnik przeliczenia godziny szczytu na dobę wynosi 8,2. Jeśli podstawą wyliczenia kosztów ruchu był średni dzień roboczy przy przeliczeniu kosztów na rok przyjąć należy mnożnik w wysokości 300.</w:t>
            </w:r>
          </w:p>
          <w:p w14:paraId="3D8A774A" w14:textId="77777777" w:rsidR="00600DEE" w:rsidRDefault="00600DEE">
            <w:pPr>
              <w:jc w:val="both"/>
              <w:rPr>
                <w:rFonts w:ascii="Calibri" w:eastAsia="Calibri" w:hAnsi="Calibri" w:cs="Calibri"/>
                <w:b/>
                <w:sz w:val="20"/>
                <w:szCs w:val="20"/>
              </w:rPr>
            </w:pPr>
          </w:p>
          <w:p w14:paraId="040F37B7"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Horyzonty prognozy. Rok bazowy</w:t>
            </w:r>
          </w:p>
          <w:p w14:paraId="56D91530" w14:textId="77777777" w:rsidR="00600DEE" w:rsidRDefault="00600DEE">
            <w:pPr>
              <w:jc w:val="both"/>
              <w:rPr>
                <w:rFonts w:ascii="Calibri" w:eastAsia="Calibri" w:hAnsi="Calibri" w:cs="Calibri"/>
                <w:b/>
                <w:sz w:val="20"/>
                <w:szCs w:val="20"/>
              </w:rPr>
            </w:pPr>
          </w:p>
          <w:p w14:paraId="610EA4A2"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Prognoza ruchu powinna obejmować co najmniej okres obliczeniowy analizy AKK, uwzględniający tzw. okres odniesienia, który dla projektów drogowych wynosi 25 lat (wraz z okresem realizacji inwestycji). Należy również przyjąć odpowiednie założenia dla roku bazowego.</w:t>
            </w:r>
          </w:p>
          <w:p w14:paraId="09CEBEA9"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Rokiem bazowym prognozy jest rok wykonania ostatniego GPR (weryfikacja modelu obliczeniowego) i/albo pierwszy rok analizy kosztów i korzyści (patrz rozdział,1.6).</w:t>
            </w:r>
          </w:p>
          <w:p w14:paraId="5B750AC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Kolejne horyzonty prognozy na potrzeby AKK dla W0 i </w:t>
            </w:r>
            <w:proofErr w:type="spellStart"/>
            <w:r>
              <w:rPr>
                <w:rFonts w:ascii="Calibri" w:eastAsia="Calibri" w:hAnsi="Calibri" w:cs="Calibri"/>
                <w:sz w:val="20"/>
                <w:szCs w:val="20"/>
              </w:rPr>
              <w:t>Wn</w:t>
            </w:r>
            <w:proofErr w:type="spellEnd"/>
            <w:r>
              <w:rPr>
                <w:rFonts w:ascii="Calibri" w:eastAsia="Calibri" w:hAnsi="Calibri" w:cs="Calibri"/>
                <w:sz w:val="20"/>
                <w:szCs w:val="20"/>
              </w:rPr>
              <w:t xml:space="preserve"> należy przyjąć następująco:</w:t>
            </w:r>
          </w:p>
          <w:p w14:paraId="342B1C4E"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pierwszy rok rozpoczęcia realizacji inwestycji (w okresie realizacji prognoza dla wariantu inwestycyjnego i bezinwestycyjnego jest identyczna, chyba że projekt posiada etapowanie funkcjonalne);</w:t>
            </w:r>
          </w:p>
          <w:p w14:paraId="74E9B606"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pierwszy pełny kalendarzowy rok eksploatacji danego projektu (osobno dla W0 i </w:t>
            </w:r>
            <w:proofErr w:type="spellStart"/>
            <w:r>
              <w:rPr>
                <w:rFonts w:ascii="Calibri" w:eastAsia="Calibri" w:hAnsi="Calibri" w:cs="Calibri"/>
                <w:sz w:val="20"/>
                <w:szCs w:val="20"/>
              </w:rPr>
              <w:t>Wn</w:t>
            </w:r>
            <w:proofErr w:type="spellEnd"/>
            <w:r>
              <w:rPr>
                <w:rFonts w:ascii="Calibri" w:eastAsia="Calibri" w:hAnsi="Calibri" w:cs="Calibri"/>
                <w:sz w:val="20"/>
                <w:szCs w:val="20"/>
              </w:rPr>
              <w:t>);</w:t>
            </w:r>
          </w:p>
          <w:p w14:paraId="44F8EE47"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kolejne horyzonty to 10. i 20. rok po oddaniu drogi do ruchu;</w:t>
            </w:r>
          </w:p>
          <w:p w14:paraId="1CD9FB6D"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lastRenderedPageBreak/>
              <w:t>dodatkowe horyzonty prognozy należy wyliczyć, w przypadku, jeśli w okresie eksploatacji projektu, planowane będzie oddanie do ruchu inwestycji, której wpływ będzie istotny dla warunków ruchu na tym projekcie (w takim przypadku zaleca się wyliczenie prognozy zarówno na rok przed ukończeniem inwestycji mającej znaczący wpływ na projekt jak i rok po jej zakończeniu);</w:t>
            </w:r>
          </w:p>
          <w:p w14:paraId="718F5212"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w celu uzyskania prognoz dla ostatniego roku okresu odniesienia oraz innych horyzontów czasowych dopuszcza się interpolację/ekstrapolację powyższych wartości.</w:t>
            </w:r>
          </w:p>
          <w:p w14:paraId="224C75B3" w14:textId="77777777" w:rsidR="00600DEE" w:rsidRDefault="00600DEE">
            <w:pPr>
              <w:jc w:val="both"/>
              <w:rPr>
                <w:rFonts w:ascii="Calibri" w:eastAsia="Calibri" w:hAnsi="Calibri" w:cs="Calibri"/>
                <w:sz w:val="20"/>
                <w:szCs w:val="20"/>
              </w:rPr>
            </w:pPr>
          </w:p>
          <w:p w14:paraId="6A4C22ED"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II. MODEL DLA ROKU BAZOWEGO</w:t>
            </w:r>
          </w:p>
          <w:p w14:paraId="05E4C235" w14:textId="77777777" w:rsidR="00600DEE" w:rsidRDefault="00600DEE">
            <w:pPr>
              <w:jc w:val="both"/>
              <w:rPr>
                <w:rFonts w:ascii="Calibri" w:eastAsia="Calibri" w:hAnsi="Calibri" w:cs="Calibri"/>
                <w:b/>
                <w:color w:val="4F81BD"/>
                <w:sz w:val="20"/>
                <w:szCs w:val="20"/>
              </w:rPr>
            </w:pPr>
          </w:p>
          <w:p w14:paraId="33FB1225"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Przygotowanie danych wejściowych</w:t>
            </w:r>
          </w:p>
          <w:p w14:paraId="41F3D355" w14:textId="77777777" w:rsidR="00600DEE" w:rsidRDefault="00600DEE">
            <w:pPr>
              <w:jc w:val="both"/>
              <w:rPr>
                <w:rFonts w:ascii="Calibri" w:eastAsia="Calibri" w:hAnsi="Calibri" w:cs="Calibri"/>
                <w:sz w:val="20"/>
                <w:szCs w:val="20"/>
              </w:rPr>
            </w:pPr>
          </w:p>
          <w:p w14:paraId="41FF3F11"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Przed przystąpieniem do opracowania prognoz ruchu konieczne jest przeprowadzenie analizy dostępnych danych o ruchu drogowym, obejmujących wyniki:</w:t>
            </w:r>
          </w:p>
          <w:p w14:paraId="78234B2F"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pomiarów ruchu wykonanych wcześniej na analizowanym odcinku lub w jego bezpośrednim sąsiedztwie,</w:t>
            </w:r>
          </w:p>
          <w:p w14:paraId="7D084C5F"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innych analiz, planów i prognoz ruchu, opracowanych w poprzednich  latach, również tych obejmujących szerszy obszar, w którym znajduje się planowana inwestycja (strategiczne opracowania transportowe zawierające prognozy ruchu).</w:t>
            </w:r>
          </w:p>
          <w:p w14:paraId="4266D3EB" w14:textId="33A2886E"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Na podstawie tych analiz należy przedstawić zmiany ruchu n</w:t>
            </w:r>
            <w:r w:rsidR="006C5DD9">
              <w:rPr>
                <w:rFonts w:ascii="Calibri" w:eastAsia="Calibri" w:hAnsi="Calibri" w:cs="Calibri"/>
                <w:sz w:val="20"/>
                <w:szCs w:val="20"/>
              </w:rPr>
              <w:t>a przestrzeni poprzednich lat. W</w:t>
            </w:r>
            <w:r>
              <w:rPr>
                <w:rFonts w:ascii="Calibri" w:eastAsia="Calibri" w:hAnsi="Calibri" w:cs="Calibri"/>
                <w:sz w:val="20"/>
                <w:szCs w:val="20"/>
              </w:rPr>
              <w:t> przypadku dróg krajowych i wojewódzkich należy zestawić wyniki z co najmniej 2 ostatni</w:t>
            </w:r>
            <w:r w:rsidR="006C5DD9">
              <w:rPr>
                <w:rFonts w:ascii="Calibri" w:eastAsia="Calibri" w:hAnsi="Calibri" w:cs="Calibri"/>
                <w:sz w:val="20"/>
                <w:szCs w:val="20"/>
              </w:rPr>
              <w:t>ch Generalnych Pomiarów Ruchu. W</w:t>
            </w:r>
            <w:r>
              <w:rPr>
                <w:rFonts w:ascii="Calibri" w:eastAsia="Calibri" w:hAnsi="Calibri" w:cs="Calibri"/>
                <w:sz w:val="20"/>
                <w:szCs w:val="20"/>
              </w:rPr>
              <w:t> przypadku inwestycji miejskich wskazane byłoby przytoczenie kluczowych wyników Kompleksowych Badań Ruchu (KBR), o ile takie badania zostały wykonane lub innych pomiarów przedstawiających zmiany w ruchu w mieście.</w:t>
            </w:r>
          </w:p>
          <w:p w14:paraId="7DDCBE80"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Przegląd wcześniejszych opracowań z zakresu prognozowania ruchu, jeśli takie były wykonane dla obszaru, w którym znajduje się analizowana inwestycja, ma na celu przedstawienie tła projektu z punktu widzenia ruchu drogowego.</w:t>
            </w:r>
          </w:p>
          <w:p w14:paraId="1885366E"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Podstawą do analiz ruchu są dane z ostatnich GPR na drogach krajowych i wojewódzkich. Jeśli zachodzi taka potrzeba, należy dokonać pomiarów uzupełniających.</w:t>
            </w:r>
          </w:p>
          <w:p w14:paraId="4985CC3D" w14:textId="5BB16231" w:rsidR="00600DEE" w:rsidRDefault="00600DEE">
            <w:pPr>
              <w:jc w:val="both"/>
              <w:rPr>
                <w:rFonts w:ascii="Calibri" w:eastAsia="Calibri" w:hAnsi="Calibri" w:cs="Calibri"/>
                <w:color w:val="4F81BD"/>
                <w:sz w:val="20"/>
                <w:szCs w:val="20"/>
              </w:rPr>
            </w:pPr>
          </w:p>
          <w:p w14:paraId="3F10D8FA" w14:textId="77777777" w:rsidR="00C77DFC" w:rsidRDefault="00C77DFC">
            <w:pPr>
              <w:jc w:val="both"/>
              <w:rPr>
                <w:rFonts w:ascii="Calibri" w:eastAsia="Calibri" w:hAnsi="Calibri" w:cs="Calibri"/>
                <w:color w:val="4F81BD"/>
                <w:sz w:val="20"/>
                <w:szCs w:val="20"/>
              </w:rPr>
            </w:pPr>
          </w:p>
          <w:p w14:paraId="2CF9156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Pomiary i badania ruchu</w:t>
            </w:r>
          </w:p>
          <w:p w14:paraId="6AB7EB8F" w14:textId="77777777" w:rsidR="00600DEE" w:rsidRDefault="00600DEE">
            <w:pPr>
              <w:jc w:val="both"/>
              <w:rPr>
                <w:rFonts w:ascii="Calibri" w:eastAsia="Calibri" w:hAnsi="Calibri" w:cs="Calibri"/>
                <w:b/>
                <w:sz w:val="20"/>
                <w:szCs w:val="20"/>
              </w:rPr>
            </w:pPr>
          </w:p>
          <w:p w14:paraId="2CD4BB8B"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Przy wykonywaniu prognoz ruchu należy bazować na wcześniej wykonanych pomiarach ruchu z uwzględnieniem sezonowości zmian (zwłaszcza przy wyliczaniu SDR). Przeprowadzenie uzupełniających pomiarów ruchu jest konieczne w następujących przypadkach:</w:t>
            </w:r>
          </w:p>
          <w:p w14:paraId="782BA13A" w14:textId="77777777" w:rsidR="00600DEE" w:rsidRDefault="00641FB5" w:rsidP="00D5736B">
            <w:pPr>
              <w:numPr>
                <w:ilvl w:val="0"/>
                <w:numId w:val="5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gdy zachodzą zmiany w sieci, które mogły wpłynąć na zmianę potoków ruchu na odcinkach analizowanej inwestycji,</w:t>
            </w:r>
          </w:p>
          <w:p w14:paraId="3CD53731" w14:textId="77777777" w:rsidR="00600DEE" w:rsidRDefault="00641FB5" w:rsidP="00D5736B">
            <w:pPr>
              <w:numPr>
                <w:ilvl w:val="0"/>
                <w:numId w:val="5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inwestycja znajduje się w obszarze o znacznych zmianach </w:t>
            </w:r>
            <w:proofErr w:type="spellStart"/>
            <w:r>
              <w:rPr>
                <w:rFonts w:ascii="Calibri" w:eastAsia="Calibri" w:hAnsi="Calibri" w:cs="Calibri"/>
                <w:sz w:val="20"/>
                <w:szCs w:val="20"/>
              </w:rPr>
              <w:t>społeczno</w:t>
            </w:r>
            <w:proofErr w:type="spellEnd"/>
            <w:r>
              <w:rPr>
                <w:rFonts w:ascii="Calibri" w:eastAsia="Calibri" w:hAnsi="Calibri" w:cs="Calibri"/>
                <w:sz w:val="20"/>
                <w:szCs w:val="20"/>
              </w:rPr>
              <w:t xml:space="preserve"> - gospodarczych, które wpływają na natężenie ruchu pojazdów (np.: dynamicznie rozwijające się obszary miejskie, drogi w sąsiedztwie nowych lub przebudowywanych przejść granicznych, obszary turystyczno-rekreacyjne, centra logistyczne, centra handlowe, itp.)</w:t>
            </w:r>
          </w:p>
          <w:p w14:paraId="5AB315DC" w14:textId="4C80B98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Konieczne jest jednoznaczne stwierdzenie, czy dostępne pomiary ruchu są wystarczające do sporządzenia modelu ruchu dla roku bazowego i p</w:t>
            </w:r>
            <w:r w:rsidR="006C5DD9">
              <w:rPr>
                <w:rFonts w:ascii="Calibri" w:eastAsia="Calibri" w:hAnsi="Calibri" w:cs="Calibri"/>
                <w:sz w:val="20"/>
                <w:szCs w:val="20"/>
              </w:rPr>
              <w:t>rognozy dla danego projektu. W</w:t>
            </w:r>
            <w:r>
              <w:rPr>
                <w:rFonts w:ascii="Calibri" w:eastAsia="Calibri" w:hAnsi="Calibri" w:cs="Calibri"/>
                <w:sz w:val="20"/>
                <w:szCs w:val="20"/>
              </w:rPr>
              <w:t> przypadku braku wystarczających danych, w ramach opracowania należy dokonać pomiarów uzupełniających. Będą to pomiary w terenie na zadanych odcinkach dróg czy skrzyżowaniach zarówno na drogach krajowych jak i samorządowych. Liczba dodatkowych punktów pomiarowych jak również długość pomiaru i harmonogram prac powinien być uzgodniony ze służbami administratora sieci drogowych, a policja odpowiednio powiadomiona.</w:t>
            </w:r>
          </w:p>
          <w:p w14:paraId="235A8891"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 xml:space="preserve">Zaleca się, aby dodatkowy pomiar ruchu nie był krótszy niż 24 godziny, w przypadku pomiaru 12-godzinnego musi zawierać godziny szczytowe ruchu drogowego. Nie zaleca się dokonywania pomiarów ruchu w dni robocze sąsiadujące z weekendem (poniedziałek i piątek) i w okresie odbiegającym znacząco od przeciętnych </w:t>
            </w:r>
            <w:proofErr w:type="spellStart"/>
            <w:r>
              <w:rPr>
                <w:rFonts w:ascii="Calibri" w:eastAsia="Calibri" w:hAnsi="Calibri" w:cs="Calibri"/>
                <w:sz w:val="20"/>
                <w:szCs w:val="20"/>
              </w:rPr>
              <w:t>zachowań</w:t>
            </w:r>
            <w:proofErr w:type="spellEnd"/>
            <w:r>
              <w:rPr>
                <w:rFonts w:ascii="Calibri" w:eastAsia="Calibri" w:hAnsi="Calibri" w:cs="Calibri"/>
                <w:sz w:val="20"/>
                <w:szCs w:val="20"/>
              </w:rPr>
              <w:t xml:space="preserve"> użytkowników dróg (listopad - marzec, lipiec - sierpień, długi weekend majowy, okres świąt Bożego Narodzenia i Wielkanocy, Wszystkich Świętych, itp.). Uwaga ta nie dotyczy projektów związanych z ruchem rekreacyjnym lub weekendowym.</w:t>
            </w:r>
          </w:p>
          <w:p w14:paraId="6335EEE0" w14:textId="0460CD3C" w:rsidR="00600DEE" w:rsidRDefault="00641FB5">
            <w:pPr>
              <w:jc w:val="both"/>
              <w:rPr>
                <w:rFonts w:ascii="Calibri" w:eastAsia="Calibri" w:hAnsi="Calibri" w:cs="Calibri"/>
                <w:sz w:val="20"/>
                <w:szCs w:val="20"/>
              </w:rPr>
            </w:pPr>
            <w:r>
              <w:rPr>
                <w:rFonts w:ascii="Calibri" w:eastAsia="Calibri" w:hAnsi="Calibri" w:cs="Calibri"/>
                <w:sz w:val="20"/>
                <w:szCs w:val="20"/>
              </w:rPr>
              <w:t>Jeśli w obszarze oddziaływania projektu znajdują się drogi (obiekty) albo, gdy projekt leży w obszarze oddziaływania innej inwestycji drogowej (infrastrukturalnej), gdzie od wszystkich użytkowników (lub wybranych kategorii) pobierane są opłaty za przejazd, wysokość tych opłat i ich możliwe zmiany w czasie również należy uzgodnić z instytucją zamawiającą opracowanie (GDDKiA) i uwzględnić w prognozie.</w:t>
            </w:r>
          </w:p>
          <w:p w14:paraId="10AE252E" w14:textId="03D519E6" w:rsidR="00C77DFC" w:rsidRDefault="00C77DFC">
            <w:pPr>
              <w:jc w:val="both"/>
              <w:rPr>
                <w:rFonts w:ascii="Calibri" w:eastAsia="Calibri" w:hAnsi="Calibri" w:cs="Calibri"/>
                <w:sz w:val="20"/>
                <w:szCs w:val="20"/>
              </w:rPr>
            </w:pPr>
          </w:p>
          <w:p w14:paraId="214F4B46" w14:textId="77777777" w:rsidR="00C77DFC" w:rsidRDefault="00C77DFC">
            <w:pPr>
              <w:jc w:val="both"/>
              <w:rPr>
                <w:rFonts w:ascii="Calibri" w:eastAsia="Calibri" w:hAnsi="Calibri" w:cs="Calibri"/>
                <w:sz w:val="20"/>
                <w:szCs w:val="20"/>
              </w:rPr>
            </w:pPr>
          </w:p>
          <w:p w14:paraId="2719FD2A" w14:textId="77777777" w:rsidR="00600DEE" w:rsidRDefault="00600DEE">
            <w:pPr>
              <w:jc w:val="both"/>
              <w:rPr>
                <w:rFonts w:ascii="Calibri" w:eastAsia="Calibri" w:hAnsi="Calibri" w:cs="Calibri"/>
                <w:b/>
                <w:sz w:val="20"/>
                <w:szCs w:val="20"/>
              </w:rPr>
            </w:pPr>
          </w:p>
          <w:p w14:paraId="2B11FC6A"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Aktualizacja i uszczegółowienie sieci</w:t>
            </w:r>
          </w:p>
          <w:p w14:paraId="6C0D4546" w14:textId="77777777" w:rsidR="00600DEE" w:rsidRDefault="00600DEE">
            <w:pPr>
              <w:jc w:val="both"/>
              <w:rPr>
                <w:rFonts w:ascii="Calibri" w:eastAsia="Calibri" w:hAnsi="Calibri" w:cs="Calibri"/>
                <w:b/>
                <w:sz w:val="20"/>
                <w:szCs w:val="20"/>
              </w:rPr>
            </w:pPr>
          </w:p>
          <w:p w14:paraId="5427754E" w14:textId="0668D31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 xml:space="preserve">W zależności od tego, do jakiej grupy została zakwalifikowana inwestycja (patrz tabela 6 części głównej podręcznika), należy opracować lub uszczegółowić model sieci w obszarze, na jaki przewiduje się, że inwestycja będzie miała wpływ, zgodnie z zapisami w rozdziale 1.8 Prognozy </w:t>
            </w:r>
            <w:r w:rsidR="006C5DD9">
              <w:rPr>
                <w:rFonts w:ascii="Calibri" w:eastAsia="Calibri" w:hAnsi="Calibri" w:cs="Calibri"/>
                <w:sz w:val="20"/>
                <w:szCs w:val="20"/>
              </w:rPr>
              <w:t>ruchu niniejszego podręcznika. W</w:t>
            </w:r>
            <w:r>
              <w:rPr>
                <w:rFonts w:ascii="Calibri" w:eastAsia="Calibri" w:hAnsi="Calibri" w:cs="Calibri"/>
                <w:sz w:val="20"/>
                <w:szCs w:val="20"/>
              </w:rPr>
              <w:t> przypadku stosowania Krajowego Modelu Ruchu, sieć dróg może wymagać uszczegółowienia o drogi lokalne w okolicy rozpatrywanego projektu.</w:t>
            </w:r>
          </w:p>
          <w:p w14:paraId="08CC1A50"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Jeżeli jest adaptowany jakikolwiek istniejący model ruchu, to należy robić to z uwzględnieniem regionalnych uwarunkowań oraz z analizą jego założeń (nie adaptować go automatycznie i bezkrytycznie).</w:t>
            </w:r>
          </w:p>
          <w:p w14:paraId="191A34E6" w14:textId="67F8FE8A" w:rsidR="00600DEE" w:rsidRDefault="00641FB5">
            <w:pPr>
              <w:jc w:val="both"/>
              <w:rPr>
                <w:rFonts w:ascii="Calibri" w:eastAsia="Calibri" w:hAnsi="Calibri" w:cs="Calibri"/>
                <w:sz w:val="20"/>
                <w:szCs w:val="20"/>
              </w:rPr>
            </w:pPr>
            <w:r>
              <w:rPr>
                <w:rFonts w:ascii="Calibri" w:eastAsia="Calibri" w:hAnsi="Calibri" w:cs="Calibri"/>
                <w:sz w:val="20"/>
                <w:szCs w:val="20"/>
              </w:rPr>
              <w:t>Należy zwrócić uwagę, aby model zawierał aktualne założenia dotyczące planowanego rozwoju sieci transportowej, zgodne z aktualnymi dokumentami strategicznymi.</w:t>
            </w:r>
          </w:p>
          <w:p w14:paraId="5649F5AF" w14:textId="77777777" w:rsidR="00A709B0" w:rsidRDefault="00A709B0">
            <w:pPr>
              <w:jc w:val="both"/>
              <w:rPr>
                <w:rFonts w:ascii="Calibri" w:eastAsia="Calibri" w:hAnsi="Calibri" w:cs="Calibri"/>
                <w:sz w:val="20"/>
                <w:szCs w:val="20"/>
              </w:rPr>
            </w:pPr>
          </w:p>
          <w:p w14:paraId="1D6C1A1F"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Uwzględnienie transportu publicznego</w:t>
            </w:r>
          </w:p>
          <w:p w14:paraId="5732E470" w14:textId="77777777" w:rsidR="00600DEE" w:rsidRDefault="00600DEE">
            <w:pPr>
              <w:jc w:val="both"/>
              <w:rPr>
                <w:rFonts w:ascii="Calibri" w:eastAsia="Calibri" w:hAnsi="Calibri" w:cs="Calibri"/>
                <w:b/>
                <w:sz w:val="20"/>
                <w:szCs w:val="20"/>
              </w:rPr>
            </w:pPr>
          </w:p>
          <w:p w14:paraId="567279F9"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uzasadnionych przypadkach należy przeprowadzić analizę wpływu transportu publicznego na projekt, a następnie odpowiednio uwzględnić go w modelu.</w:t>
            </w:r>
          </w:p>
          <w:p w14:paraId="00BE24C5" w14:textId="77777777" w:rsidR="00600DEE" w:rsidRDefault="00600DEE">
            <w:pPr>
              <w:jc w:val="both"/>
              <w:rPr>
                <w:rFonts w:ascii="Calibri" w:eastAsia="Calibri" w:hAnsi="Calibri" w:cs="Calibri"/>
                <w:b/>
                <w:sz w:val="20"/>
                <w:szCs w:val="20"/>
              </w:rPr>
            </w:pPr>
          </w:p>
          <w:p w14:paraId="19954ED8"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Opracowanie/ uszczegółowienie macierzy podróży dla roku bazowego</w:t>
            </w:r>
          </w:p>
          <w:p w14:paraId="0FFE6D92" w14:textId="77777777" w:rsidR="00600DEE" w:rsidRDefault="00600DEE">
            <w:pPr>
              <w:jc w:val="both"/>
              <w:rPr>
                <w:rFonts w:ascii="Calibri" w:eastAsia="Calibri" w:hAnsi="Calibri" w:cs="Calibri"/>
                <w:b/>
                <w:sz w:val="20"/>
                <w:szCs w:val="20"/>
              </w:rPr>
            </w:pPr>
          </w:p>
          <w:p w14:paraId="2EBE226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Prognozowanie ruchu przy użyciu modeli ruchu wymaga wyliczenia macierzy podróży. Macierz podróży (zwana również więźbą ruchu) jest to matematyczny zapis liczby podróży wykonywanych pomiędzy rejonami komunikacyjnymi, na które podzielony jest obszar analizy. Macierze należy opracować w podziale na kategorie użytkowników dróg. Sposób podziału zależy od tego, czy prognoza ruchu jest wykonywana dla inwestycji na drogach zamiejskich czy na sieci ulicznej.</w:t>
            </w:r>
          </w:p>
          <w:p w14:paraId="4F3A15D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Macierz roku bazowego należy opracować dla roku wykonywania analizy lub roku, dla którego dostępne są najpełniejsze wyniki pomiarów ruchu (np. KBR).</w:t>
            </w:r>
          </w:p>
          <w:p w14:paraId="026450C1"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 xml:space="preserve">W przypadku inwestycji zamiejskich wskazane jest przyjęcie, jako roku bazowego, roku, w którym wykonano ostatni Generalny Pomiar Ruchu (ewentualne aktualizacje ostatniego GPR lub inne krajowe badania zlecone przez GDDKiA). Dla roku bazowego do weryfikacji modelu należy wykorzystać wyniki ostatniego GPR  i/lub wyniki </w:t>
            </w:r>
            <w:r>
              <w:rPr>
                <w:rFonts w:ascii="Calibri" w:eastAsia="Calibri" w:hAnsi="Calibri" w:cs="Calibri"/>
                <w:sz w:val="20"/>
                <w:szCs w:val="20"/>
              </w:rPr>
              <w:lastRenderedPageBreak/>
              <w:t>pomiarów ruchu wykonanych dla potrzeb analizy AKK (jeśli takie pomiary przeprowadzono).</w:t>
            </w:r>
          </w:p>
          <w:p w14:paraId="5D7AB91A"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Dla projektów miejskich jako rok bazowy należy przyjąć rok ostatnich Kompleksowych Badań Ruchu (KBR), o ile nie upłynęło więcej niż 5 lat. Jeśli od ostatniego KBR upłynęło więcej niż 5 lat, jako rok bazowy należy przyjąć rok wykonywania analizy.</w:t>
            </w:r>
          </w:p>
          <w:p w14:paraId="481C151B"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Jeśli prognoza dla inwestycji na drogach zamiejskich nie jest wykonywana z wykorzystaniem Krajowego Modelu Ruchu, należy opisać szczegółowo proces tworzenia macierzy i zastosowane modele matematyczne.</w:t>
            </w:r>
          </w:p>
          <w:p w14:paraId="7862848C" w14:textId="0F509E32"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Więźby ruchu dla dróg zamiejskich zazwyczaj opracowuje się w podziale na kategorie pojazdów, zgodnie z podziałem przyjętym w Krajowym Modelu Ruchu</w:t>
            </w:r>
            <w:r w:rsidR="003A38F9">
              <w:rPr>
                <w:rStyle w:val="Odwoanieprzypisudolnego"/>
                <w:rFonts w:ascii="Calibri" w:eastAsia="Calibri" w:hAnsi="Calibri" w:cs="Calibri"/>
                <w:sz w:val="20"/>
                <w:szCs w:val="20"/>
              </w:rPr>
              <w:footnoteReference w:id="24"/>
            </w:r>
            <w:r w:rsidR="003A38F9">
              <w:rPr>
                <w:rFonts w:ascii="Calibri" w:eastAsia="Calibri" w:hAnsi="Calibri" w:cs="Calibri"/>
                <w:sz w:val="20"/>
                <w:szCs w:val="20"/>
              </w:rPr>
              <w:t>:</w:t>
            </w:r>
          </w:p>
          <w:p w14:paraId="7683E398"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samochody osobowe,</w:t>
            </w:r>
          </w:p>
          <w:p w14:paraId="3CBF3E6C"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 xml:space="preserve"> </w:t>
            </w:r>
            <w:r>
              <w:rPr>
                <w:rFonts w:ascii="Calibri" w:eastAsia="Calibri" w:hAnsi="Calibri" w:cs="Calibri"/>
                <w:color w:val="333399"/>
              </w:rPr>
              <w:t>–</w:t>
            </w:r>
            <w:r>
              <w:rPr>
                <w:rFonts w:ascii="Calibri" w:eastAsia="Calibri" w:hAnsi="Calibri" w:cs="Calibri"/>
                <w:sz w:val="20"/>
                <w:szCs w:val="20"/>
              </w:rPr>
              <w:t xml:space="preserve"> samochody dostawcze,</w:t>
            </w:r>
          </w:p>
          <w:p w14:paraId="0FCA86FC"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samochody ciężarowe,</w:t>
            </w:r>
          </w:p>
          <w:p w14:paraId="67A92B8A"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proofErr w:type="spellStart"/>
            <w:r>
              <w:rPr>
                <w:rFonts w:ascii="Calibri" w:eastAsia="Calibri" w:hAnsi="Calibri" w:cs="Calibri"/>
                <w:b/>
                <w:sz w:val="20"/>
                <w:szCs w:val="20"/>
              </w:rPr>
              <w:t>SCp</w:t>
            </w:r>
            <w:proofErr w:type="spellEnd"/>
            <w:r>
              <w:rPr>
                <w:rFonts w:ascii="Calibri" w:eastAsia="Calibri" w:hAnsi="Calibri" w:cs="Calibri"/>
                <w:sz w:val="20"/>
                <w:szCs w:val="20"/>
              </w:rPr>
              <w:t>—samochody ciężarowe z przyczepami.</w:t>
            </w:r>
          </w:p>
          <w:p w14:paraId="5FF83D9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Dopuszcza się możliwość innego podziału na bazie KMR, np. samochody lekkie i ciężkie:</w:t>
            </w:r>
          </w:p>
          <w:p w14:paraId="51600912"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LV</w:t>
            </w:r>
            <w:r>
              <w:rPr>
                <w:rFonts w:ascii="Calibri" w:eastAsia="Calibri" w:hAnsi="Calibri" w:cs="Calibri"/>
                <w:sz w:val="20"/>
                <w:szCs w:val="20"/>
              </w:rPr>
              <w:t xml:space="preserve"> – samochody lekkie, masa całkowita &lt; 3,5 tony,</w:t>
            </w:r>
          </w:p>
          <w:p w14:paraId="6C48E65B"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HGV</w:t>
            </w:r>
            <w:r>
              <w:rPr>
                <w:rFonts w:ascii="Calibri" w:eastAsia="Calibri" w:hAnsi="Calibri" w:cs="Calibri"/>
                <w:sz w:val="20"/>
                <w:szCs w:val="20"/>
              </w:rPr>
              <w:t xml:space="preserve"> – samochody ciężkie, masa całkowita &gt; 3,5 tony (w tym autobusy).</w:t>
            </w:r>
          </w:p>
          <w:p w14:paraId="43BA23B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Dla macierzy pojazdów osobowych wskazane jest dodatkowe wydzielenie motywacji podróży użytkowników, co najmniej w zakresie:</w:t>
            </w:r>
          </w:p>
          <w:p w14:paraId="56F86092"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służbowe,</w:t>
            </w:r>
          </w:p>
          <w:p w14:paraId="119D9304"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związane z dojazdami dom-praca-dom,</w:t>
            </w:r>
          </w:p>
          <w:p w14:paraId="651DA8FD"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we wszystkich innych motywacjach.</w:t>
            </w:r>
          </w:p>
          <w:p w14:paraId="3DE8D604"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Więźby dla dróg zamiejskich należy opracować dla średniorocznego dobowego ruchu (SDR).</w:t>
            </w:r>
          </w:p>
          <w:p w14:paraId="286724B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lastRenderedPageBreak/>
              <w:t>W przypadku inwestycji miejskich, do obliczenia macierzy ruchu zaleca się zastosowanie tradycyjnego, czteroetapowego modelu generacji i rozkładu przestrzennego podróży obejmującego w zakresie tworzenia więźby cztery następujące etapy:</w:t>
            </w:r>
          </w:p>
          <w:p w14:paraId="17F7F1A6"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generacja ruchu,</w:t>
            </w:r>
          </w:p>
          <w:p w14:paraId="1DFE2222"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rozkład przestrzenny ruchu,</w:t>
            </w:r>
          </w:p>
          <w:p w14:paraId="39702800"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podział zadań przewozowych, </w:t>
            </w:r>
          </w:p>
          <w:p w14:paraId="1EBB63F0"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rozkład ruchu na sieć.</w:t>
            </w:r>
          </w:p>
          <w:p w14:paraId="15F5C32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Więźby ruchu miejskiego należy opracować w podziale na kategorie użytkowników sieci:</w:t>
            </w:r>
          </w:p>
          <w:p w14:paraId="104CAEA0"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—samochody osobowe,</w:t>
            </w:r>
          </w:p>
          <w:p w14:paraId="68D3E27A"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—samochody dostawcze,</w:t>
            </w:r>
          </w:p>
          <w:p w14:paraId="23A43E8F"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—samochody ciężarowe,</w:t>
            </w:r>
          </w:p>
          <w:p w14:paraId="6F00BE6D"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proofErr w:type="spellStart"/>
            <w:r>
              <w:rPr>
                <w:rFonts w:ascii="Calibri" w:eastAsia="Calibri" w:hAnsi="Calibri" w:cs="Calibri"/>
                <w:b/>
                <w:sz w:val="20"/>
                <w:szCs w:val="20"/>
              </w:rPr>
              <w:t>SCp</w:t>
            </w:r>
            <w:proofErr w:type="spellEnd"/>
            <w:r>
              <w:rPr>
                <w:rFonts w:ascii="Calibri" w:eastAsia="Calibri" w:hAnsi="Calibri" w:cs="Calibri"/>
                <w:sz w:val="20"/>
                <w:szCs w:val="20"/>
              </w:rPr>
              <w:t>—samochody ciężarowe z przyczepami.</w:t>
            </w:r>
          </w:p>
          <w:p w14:paraId="0A964A92"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A</w:t>
            </w:r>
            <w:r>
              <w:rPr>
                <w:rFonts w:ascii="Calibri" w:eastAsia="Calibri" w:hAnsi="Calibri" w:cs="Calibri"/>
                <w:sz w:val="20"/>
                <w:szCs w:val="20"/>
              </w:rPr>
              <w:t>—autobusy.</w:t>
            </w:r>
          </w:p>
          <w:p w14:paraId="42B776F7"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Możliwy jest również inny podział na kategorie użytkowników, na bazie KMR lub KBR np. samochody lekkie i ciężkie:</w:t>
            </w:r>
          </w:p>
          <w:p w14:paraId="135BB6DA"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LV</w:t>
            </w:r>
            <w:r>
              <w:rPr>
                <w:rFonts w:ascii="Calibri" w:eastAsia="Calibri" w:hAnsi="Calibri" w:cs="Calibri"/>
                <w:sz w:val="20"/>
                <w:szCs w:val="20"/>
              </w:rPr>
              <w:t xml:space="preserve"> – samochody lekkie, masa całkowita &lt; 3,5 tony,</w:t>
            </w:r>
          </w:p>
          <w:p w14:paraId="408289DC"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HGV</w:t>
            </w:r>
            <w:r>
              <w:rPr>
                <w:rFonts w:ascii="Calibri" w:eastAsia="Calibri" w:hAnsi="Calibri" w:cs="Calibri"/>
                <w:sz w:val="20"/>
                <w:szCs w:val="20"/>
              </w:rPr>
              <w:t xml:space="preserve"> – samochody ciężkie, masa całkowita &gt; 3,5 tony (w tym autobusy).</w:t>
            </w:r>
          </w:p>
          <w:p w14:paraId="6AEF8D64"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Więźby dla użytkowników samochodów osobowych w modelach miejskich powinny zostać opracowane w podziale na motywacje podróży. Wskazane jest opracowanie </w:t>
            </w:r>
            <w:r>
              <w:rPr>
                <w:rFonts w:ascii="Calibri" w:eastAsia="Calibri" w:hAnsi="Calibri" w:cs="Calibri"/>
                <w:sz w:val="20"/>
                <w:szCs w:val="20"/>
              </w:rPr>
              <w:br/>
              <w:t>w tradycyjnym podziale stosowanym w dotychczasowych analizach dla sieci ulicznych, który obejmuje:</w:t>
            </w:r>
          </w:p>
          <w:p w14:paraId="031038AE"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w motywacjach dom-praca-dom (DPD),</w:t>
            </w:r>
          </w:p>
          <w:p w14:paraId="205B2EB9"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w motywacjach dom-nauka-dom (DND),</w:t>
            </w:r>
          </w:p>
          <w:p w14:paraId="651C3BEF"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podróże w motywacjach </w:t>
            </w:r>
            <w:proofErr w:type="spellStart"/>
            <w:r>
              <w:rPr>
                <w:rFonts w:ascii="Calibri" w:eastAsia="Calibri" w:hAnsi="Calibri" w:cs="Calibri"/>
                <w:sz w:val="20"/>
                <w:szCs w:val="20"/>
              </w:rPr>
              <w:t>dom-inne-dom</w:t>
            </w:r>
            <w:proofErr w:type="spellEnd"/>
            <w:r>
              <w:rPr>
                <w:rFonts w:ascii="Calibri" w:eastAsia="Calibri" w:hAnsi="Calibri" w:cs="Calibri"/>
                <w:sz w:val="20"/>
                <w:szCs w:val="20"/>
              </w:rPr>
              <w:t xml:space="preserve"> (DID),</w:t>
            </w:r>
          </w:p>
          <w:p w14:paraId="073430AC"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wszystkie inne podróże niezwiązane z domem.</w:t>
            </w:r>
          </w:p>
          <w:p w14:paraId="783BD8B9" w14:textId="1F4C18A5"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lastRenderedPageBreak/>
              <w:t xml:space="preserve">Dla motywacji DND oraz DID można przyjmować stawki jak dla </w:t>
            </w:r>
            <w:r>
              <w:rPr>
                <w:rFonts w:ascii="Calibri" w:eastAsia="Calibri" w:hAnsi="Calibri" w:cs="Calibri"/>
                <w:i/>
                <w:sz w:val="20"/>
                <w:szCs w:val="20"/>
              </w:rPr>
              <w:t>pozostałych</w:t>
            </w:r>
            <w:r>
              <w:rPr>
                <w:rFonts w:ascii="Calibri" w:eastAsia="Calibri" w:hAnsi="Calibri" w:cs="Calibri"/>
                <w:sz w:val="20"/>
                <w:szCs w:val="20"/>
              </w:rPr>
              <w:t xml:space="preserve"> z tabeli Jednostkowe koszty czasu załącznika A</w:t>
            </w:r>
            <w:r w:rsidR="006C5DD9">
              <w:rPr>
                <w:rFonts w:ascii="Calibri" w:eastAsia="Calibri" w:hAnsi="Calibri" w:cs="Calibri"/>
                <w:sz w:val="20"/>
                <w:szCs w:val="20"/>
              </w:rPr>
              <w:t>.</w:t>
            </w:r>
          </w:p>
          <w:p w14:paraId="2AF631C9" w14:textId="1615FA8F"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W przypadku przyjęcia innego podziału na motywacje w podróżach użytkowników pojazdów osobowych, należy szczegółowo opisać zasady podziału. Należy również przypisać im odpowiednie koszty jednostkowe wraz </w:t>
            </w:r>
            <w:r w:rsidR="006C5DD9">
              <w:rPr>
                <w:rFonts w:ascii="Calibri" w:eastAsia="Calibri" w:hAnsi="Calibri" w:cs="Calibri"/>
                <w:sz w:val="20"/>
                <w:szCs w:val="20"/>
              </w:rPr>
              <w:t xml:space="preserve">z </w:t>
            </w:r>
            <w:r>
              <w:rPr>
                <w:rFonts w:ascii="Calibri" w:eastAsia="Calibri" w:hAnsi="Calibri" w:cs="Calibri"/>
                <w:sz w:val="20"/>
                <w:szCs w:val="20"/>
              </w:rPr>
              <w:t>uzasadnieniem.</w:t>
            </w:r>
          </w:p>
          <w:p w14:paraId="41E0BA2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Macierze ruchu dla inwestycji miejskich zawierają:</w:t>
            </w:r>
          </w:p>
          <w:p w14:paraId="6552EEC4"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ruch wewnętrzny (który definiowany jest jako ruch, którego początek i koniec zawiera się w obszarze analizy),</w:t>
            </w:r>
          </w:p>
          <w:p w14:paraId="399ECBAA"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ruch tranzytowy (który definiowany jest jako ruch, którego początek i koniec leży na granicy lub poza obszarem analizy),</w:t>
            </w:r>
          </w:p>
          <w:p w14:paraId="1BF81945"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ruch źródłowo-docelowy (który definiowany jest jako ruch, którego początek  albo koniec zawiera się w obszarze analizy).</w:t>
            </w:r>
          </w:p>
          <w:p w14:paraId="17EE1DBF"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Ze względu na charakter ruchu miejskiego, który cechuje się dużą zmiennością w różnych porach doby, macierze należy opracować w ujęciu godzinowym – co najmniej dla godziny szczytu.</w:t>
            </w:r>
          </w:p>
          <w:p w14:paraId="24F7EC46" w14:textId="77777777" w:rsidR="00600DEE" w:rsidRDefault="00600DEE">
            <w:pPr>
              <w:jc w:val="both"/>
              <w:rPr>
                <w:rFonts w:ascii="Calibri" w:eastAsia="Calibri" w:hAnsi="Calibri" w:cs="Calibri"/>
                <w:sz w:val="20"/>
                <w:szCs w:val="20"/>
              </w:rPr>
            </w:pPr>
          </w:p>
          <w:p w14:paraId="563002A2" w14:textId="77777777" w:rsidR="00600DEE" w:rsidRDefault="00600DEE">
            <w:pPr>
              <w:jc w:val="both"/>
              <w:rPr>
                <w:rFonts w:ascii="Calibri" w:eastAsia="Calibri" w:hAnsi="Calibri" w:cs="Calibri"/>
                <w:sz w:val="20"/>
                <w:szCs w:val="20"/>
              </w:rPr>
            </w:pPr>
          </w:p>
          <w:p w14:paraId="0AE1EC74"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Aktualizacja zmiennych funkcji popytu</w:t>
            </w:r>
          </w:p>
          <w:p w14:paraId="1838CB53" w14:textId="77777777" w:rsidR="00600DEE" w:rsidRDefault="00600DEE">
            <w:pPr>
              <w:jc w:val="both"/>
              <w:rPr>
                <w:rFonts w:ascii="Calibri" w:eastAsia="Calibri" w:hAnsi="Calibri" w:cs="Calibri"/>
                <w:b/>
                <w:sz w:val="20"/>
                <w:szCs w:val="20"/>
              </w:rPr>
            </w:pPr>
          </w:p>
          <w:p w14:paraId="55DCF6EF"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Współczynniki wzrostu ruchu dla lat prognozy należy przyjąć z aktualnej tabeli trendów PKB zamieszczonej na stronie internetowej Generalnej Dyrekcji Dróg Krajowych i Autostrad, z uwzględnieniem tzw. wskaźników elastyczności dla poszczególnych kategorii pojazdów.</w:t>
            </w:r>
          </w:p>
          <w:p w14:paraId="18FA091E" w14:textId="77777777" w:rsidR="00600DEE" w:rsidRDefault="00600DEE">
            <w:pPr>
              <w:jc w:val="both"/>
              <w:rPr>
                <w:rFonts w:ascii="Calibri" w:eastAsia="Calibri" w:hAnsi="Calibri" w:cs="Calibri"/>
                <w:b/>
                <w:sz w:val="20"/>
                <w:szCs w:val="20"/>
              </w:rPr>
            </w:pPr>
          </w:p>
          <w:p w14:paraId="4B3C72A7"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III. KALIBRACJA i WALIDACJA MODELU</w:t>
            </w:r>
          </w:p>
          <w:p w14:paraId="690757B1" w14:textId="77777777" w:rsidR="00600DEE" w:rsidRDefault="00600DEE">
            <w:pPr>
              <w:jc w:val="both"/>
              <w:rPr>
                <w:rFonts w:ascii="Calibri" w:eastAsia="Calibri" w:hAnsi="Calibri" w:cs="Calibri"/>
                <w:sz w:val="20"/>
                <w:szCs w:val="20"/>
              </w:rPr>
            </w:pPr>
          </w:p>
          <w:p w14:paraId="59BC1823"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W celu sprawdzenia poprawności modelu ruchu, należy przeprowadzić jego walidację na podstawie porównania dostępnych danych z pomiarów w roku bazowym z wynikami uzyskanymi z modelu ruchu dla tego roku.</w:t>
            </w:r>
          </w:p>
          <w:p w14:paraId="1FF6D3B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Ponadto należy podać metodę, jaką zastosowano przy rozkładzie ruchu na sieć oraz podstawowe parametry rozkładu (wartości czasu, koszty eksploatacji pojazdów, inne składniki funkcji uogólnionego kosztu podróży).</w:t>
            </w:r>
          </w:p>
          <w:p w14:paraId="5B2463D3"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lastRenderedPageBreak/>
              <w:t>Weryfikację modelu ruchu zaleca się przeprowadzić przez analizę i porównanie co najmniej następujących wielkości:</w:t>
            </w:r>
          </w:p>
          <w:p w14:paraId="1E1681C7"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natężenia ruchu w podziale na podstawowe kategorie pojazdów,</w:t>
            </w:r>
          </w:p>
          <w:p w14:paraId="607D66E3"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średniej prędkości ruchu na odcinkach,</w:t>
            </w:r>
          </w:p>
          <w:p w14:paraId="45E10A20"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rozkładu średnich długości podróży w całej sieci dla poszczególnych kategorii użytkowników,</w:t>
            </w:r>
          </w:p>
          <w:p w14:paraId="654E4A89"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zgodności rozkładu przestrzennego podróży z badaniami ankietowymi (jeśli zostały przeprowadzone). </w:t>
            </w:r>
          </w:p>
          <w:p w14:paraId="078E4C9B"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Wyniki weryfikacji należy przedstawić w postaci tabelarycznej.</w:t>
            </w:r>
          </w:p>
          <w:p w14:paraId="791D79D2" w14:textId="74AEBFB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Wyniki miejskich modeli ruchu należy weryfikować na podstawie dostępnych danych z kompleksowych p</w:t>
            </w:r>
            <w:r w:rsidR="006C5DD9">
              <w:rPr>
                <w:rFonts w:ascii="Calibri" w:eastAsia="Calibri" w:hAnsi="Calibri" w:cs="Calibri"/>
                <w:sz w:val="20"/>
                <w:szCs w:val="20"/>
              </w:rPr>
              <w:t>omiarów ruchu (KPR) w mieście. W</w:t>
            </w:r>
            <w:r>
              <w:rPr>
                <w:rFonts w:ascii="Calibri" w:eastAsia="Calibri" w:hAnsi="Calibri" w:cs="Calibri"/>
                <w:sz w:val="20"/>
                <w:szCs w:val="20"/>
              </w:rPr>
              <w:t> przypadku, gdy kompleksowe badania mają więcej niż 5 lat, weryfikowanie modelu należy wykonać na podstawie wyników pomiarów przeprowadzonych dla analizy AKK.</w:t>
            </w:r>
          </w:p>
          <w:p w14:paraId="7AD7713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Zakres zgodności wyników dla poszczególnych wielkości jest zróżnicowany. Należy jednak przyjąć, że model odpowiednio odwzorowuje rzeczywiste warunki ruchu, jeśli rozbieżność wyników pomiarów i modelu na obszarze analizowanej sieci drogowej nie przekracza +/- 15%.</w:t>
            </w:r>
          </w:p>
          <w:p w14:paraId="3620060E" w14:textId="77777777" w:rsidR="00600DEE" w:rsidRDefault="00600DEE">
            <w:pPr>
              <w:spacing w:before="120" w:after="120"/>
              <w:jc w:val="both"/>
              <w:rPr>
                <w:rFonts w:ascii="Calibri" w:eastAsia="Calibri" w:hAnsi="Calibri" w:cs="Calibri"/>
                <w:sz w:val="20"/>
                <w:szCs w:val="20"/>
              </w:rPr>
            </w:pPr>
          </w:p>
          <w:p w14:paraId="05951949" w14:textId="2E73B739" w:rsidR="00600DEE" w:rsidRDefault="00641FB5" w:rsidP="00B070AD">
            <w:pPr>
              <w:jc w:val="both"/>
              <w:rPr>
                <w:rFonts w:ascii="Calibri" w:eastAsia="Calibri" w:hAnsi="Calibri" w:cs="Calibri"/>
                <w:sz w:val="20"/>
                <w:szCs w:val="20"/>
              </w:rPr>
            </w:pPr>
            <w:r>
              <w:rPr>
                <w:rFonts w:ascii="Calibri" w:eastAsia="Calibri" w:hAnsi="Calibri" w:cs="Calibri"/>
                <w:sz w:val="20"/>
                <w:szCs w:val="20"/>
              </w:rPr>
              <w:t xml:space="preserve">Szczególnie w przypadku modeli miejskich i regionalnych wykonanych dla godzin szczytu w mieście, zaleca się również sprawdzenie poprawności kalibracji modelu poprzez jego walidację przy pomocy wskaźnika GEH (wzór Geoffrey </w:t>
            </w:r>
            <w:proofErr w:type="spellStart"/>
            <w:r>
              <w:rPr>
                <w:rFonts w:ascii="Calibri" w:eastAsia="Calibri" w:hAnsi="Calibri" w:cs="Calibri"/>
                <w:sz w:val="20"/>
                <w:szCs w:val="20"/>
              </w:rPr>
              <w:t>E.Havers</w:t>
            </w:r>
            <w:proofErr w:type="spellEnd"/>
            <w:r>
              <w:rPr>
                <w:rFonts w:ascii="Calibri" w:eastAsia="Calibri" w:hAnsi="Calibri" w:cs="Calibri"/>
                <w:sz w:val="20"/>
                <w:szCs w:val="20"/>
              </w:rPr>
              <w:t>, zbliżony do rozkładu chi-kwadrat):</w:t>
            </w:r>
          </w:p>
          <w:p w14:paraId="2848D8F4" w14:textId="77777777" w:rsidR="00B070AD" w:rsidRDefault="00B070AD" w:rsidP="00B070AD">
            <w:pPr>
              <w:jc w:val="both"/>
              <w:rPr>
                <w:rFonts w:ascii="Calibri" w:eastAsia="Calibri" w:hAnsi="Calibri" w:cs="Calibri"/>
                <w:sz w:val="20"/>
                <w:szCs w:val="20"/>
              </w:rPr>
            </w:pPr>
          </w:p>
          <w:p w14:paraId="43F7C2F6" w14:textId="77777777" w:rsidR="00600DEE" w:rsidRDefault="00641FB5" w:rsidP="00B070AD">
            <w:pPr>
              <w:spacing w:after="120"/>
              <w:jc w:val="both"/>
              <w:rPr>
                <w:rFonts w:ascii="Calibri" w:eastAsia="Calibri" w:hAnsi="Calibri" w:cs="Calibri"/>
                <w:sz w:val="20"/>
                <w:szCs w:val="20"/>
              </w:rPr>
            </w:pPr>
            <w:r>
              <w:rPr>
                <w:rFonts w:ascii="Calibri" w:eastAsia="Calibri" w:hAnsi="Calibri" w:cs="Calibri"/>
                <w:sz w:val="20"/>
                <w:szCs w:val="20"/>
              </w:rPr>
              <w:object w:dxaOrig="2633" w:dyaOrig="728" w14:anchorId="29870A50">
                <v:shape id="_x0000_i1041" type="#_x0000_t75" style="width:131.85pt;height:36.45pt" o:ole="" filled="t">
                  <v:fill color2="black"/>
                  <v:imagedata r:id="rId145" o:title=""/>
                </v:shape>
                <o:OLEObject Type="Embed" ProgID="Equation.3" ShapeID="_x0000_i1041" DrawAspect="Content" ObjectID="_1708947483" r:id="rId146"/>
              </w:object>
            </w:r>
          </w:p>
          <w:p w14:paraId="12FF2F1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gdzie</w:t>
            </w:r>
          </w:p>
          <w:p w14:paraId="62BF138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 – natężenie ruchu na odcinku z modelu (</w:t>
            </w:r>
            <w:proofErr w:type="spellStart"/>
            <w:r>
              <w:rPr>
                <w:rFonts w:ascii="Calibri" w:eastAsia="Calibri" w:hAnsi="Calibri" w:cs="Calibri"/>
                <w:sz w:val="20"/>
                <w:szCs w:val="20"/>
              </w:rPr>
              <w:t>poj</w:t>
            </w:r>
            <w:proofErr w:type="spellEnd"/>
            <w:r>
              <w:rPr>
                <w:rFonts w:ascii="Calibri" w:eastAsia="Calibri" w:hAnsi="Calibri" w:cs="Calibri"/>
                <w:sz w:val="20"/>
                <w:szCs w:val="20"/>
              </w:rPr>
              <w:t>/</w:t>
            </w:r>
            <w:proofErr w:type="spellStart"/>
            <w:r>
              <w:rPr>
                <w:rFonts w:ascii="Calibri" w:eastAsia="Calibri" w:hAnsi="Calibri" w:cs="Calibri"/>
                <w:sz w:val="20"/>
                <w:szCs w:val="20"/>
              </w:rPr>
              <w:t>godz</w:t>
            </w:r>
            <w:proofErr w:type="spellEnd"/>
            <w:r>
              <w:rPr>
                <w:rFonts w:ascii="Calibri" w:eastAsia="Calibri" w:hAnsi="Calibri" w:cs="Calibri"/>
                <w:sz w:val="20"/>
                <w:szCs w:val="20"/>
              </w:rPr>
              <w:t>)</w:t>
            </w:r>
          </w:p>
          <w:p w14:paraId="575DBB8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C – natężenie ruchu na odcinku z pomiaru ruchu (</w:t>
            </w:r>
            <w:proofErr w:type="spellStart"/>
            <w:r>
              <w:rPr>
                <w:rFonts w:ascii="Calibri" w:eastAsia="Calibri" w:hAnsi="Calibri" w:cs="Calibri"/>
                <w:sz w:val="20"/>
                <w:szCs w:val="20"/>
              </w:rPr>
              <w:t>poj</w:t>
            </w:r>
            <w:proofErr w:type="spellEnd"/>
            <w:r>
              <w:rPr>
                <w:rFonts w:ascii="Calibri" w:eastAsia="Calibri" w:hAnsi="Calibri" w:cs="Calibri"/>
                <w:sz w:val="20"/>
                <w:szCs w:val="20"/>
              </w:rPr>
              <w:t>/</w:t>
            </w:r>
            <w:proofErr w:type="spellStart"/>
            <w:r>
              <w:rPr>
                <w:rFonts w:ascii="Calibri" w:eastAsia="Calibri" w:hAnsi="Calibri" w:cs="Calibri"/>
                <w:sz w:val="20"/>
                <w:szCs w:val="20"/>
              </w:rPr>
              <w:t>godz</w:t>
            </w:r>
            <w:proofErr w:type="spellEnd"/>
            <w:r>
              <w:rPr>
                <w:rFonts w:ascii="Calibri" w:eastAsia="Calibri" w:hAnsi="Calibri" w:cs="Calibri"/>
                <w:sz w:val="20"/>
                <w:szCs w:val="20"/>
              </w:rPr>
              <w:t>)</w:t>
            </w:r>
          </w:p>
          <w:p w14:paraId="41F0D3F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i </w:t>
            </w:r>
            <w:r>
              <w:rPr>
                <w:rFonts w:ascii="Calibri" w:eastAsia="Calibri" w:hAnsi="Calibri" w:cs="Calibri"/>
                <w:color w:val="333399"/>
              </w:rPr>
              <w:t xml:space="preserve">– </w:t>
            </w:r>
            <w:r>
              <w:rPr>
                <w:rFonts w:ascii="Calibri" w:eastAsia="Calibri" w:hAnsi="Calibri" w:cs="Calibri"/>
                <w:sz w:val="20"/>
                <w:szCs w:val="20"/>
              </w:rPr>
              <w:t>odcinek</w:t>
            </w:r>
          </w:p>
          <w:p w14:paraId="4F003FA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lastRenderedPageBreak/>
              <w:t>Wartość wskaźnika należy wyznaczyć oddzielnie dla poszczególnych typów pojazdów przyjętych w modelu.</w:t>
            </w:r>
          </w:p>
          <w:p w14:paraId="57961DB1" w14:textId="6B932BF9"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Ze względu na fakt, że przy wyliczaniu wskaźnika podstawi</w:t>
            </w:r>
            <w:r w:rsidR="003A38F9">
              <w:rPr>
                <w:rFonts w:ascii="Calibri" w:eastAsia="Calibri" w:hAnsi="Calibri" w:cs="Calibri"/>
                <w:sz w:val="20"/>
                <w:szCs w:val="20"/>
              </w:rPr>
              <w:t>amy wartości w jednostkach [</w:t>
            </w:r>
            <w:proofErr w:type="spellStart"/>
            <w:r w:rsidR="003A38F9">
              <w:rPr>
                <w:rFonts w:ascii="Calibri" w:eastAsia="Calibri" w:hAnsi="Calibri" w:cs="Calibri"/>
                <w:sz w:val="20"/>
                <w:szCs w:val="20"/>
              </w:rPr>
              <w:t>poj</w:t>
            </w:r>
            <w:proofErr w:type="spellEnd"/>
            <w:r w:rsidR="003A38F9">
              <w:rPr>
                <w:rFonts w:ascii="Calibri" w:eastAsia="Calibri" w:hAnsi="Calibri" w:cs="Calibri"/>
                <w:sz w:val="20"/>
                <w:szCs w:val="20"/>
              </w:rPr>
              <w:t>/</w:t>
            </w:r>
            <w:proofErr w:type="spellStart"/>
            <w:r w:rsidR="003A38F9">
              <w:rPr>
                <w:rFonts w:ascii="Calibri" w:eastAsia="Calibri" w:hAnsi="Calibri" w:cs="Calibri"/>
                <w:sz w:val="20"/>
                <w:szCs w:val="20"/>
              </w:rPr>
              <w:t>godz</w:t>
            </w:r>
            <w:proofErr w:type="spellEnd"/>
            <w:r>
              <w:rPr>
                <w:rFonts w:ascii="Calibri" w:eastAsia="Calibri" w:hAnsi="Calibri" w:cs="Calibri"/>
                <w:sz w:val="20"/>
                <w:szCs w:val="20"/>
              </w:rPr>
              <w:t>] należy wykorzystać dostępne dla danego obszaru dane, ewentualnie SDR dla danego odcinka podzielić przez 12.</w:t>
            </w:r>
          </w:p>
          <w:p w14:paraId="34FDE21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Należy przyjąć, że wynik walidacji jest pozytywny, jeżeli wartość GEH &lt; 5 dla co najmniej 85% wszystkich analizowanych odcinków.</w:t>
            </w:r>
          </w:p>
          <w:p w14:paraId="0AD7A7E9" w14:textId="064A1FE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Polecaną metodą walidacji modelu jest również sprawdzenie skalibrowanych natężeń ruchu w przekrojach ekranowych, dla których wskaźn</w:t>
            </w:r>
            <w:r w:rsidR="006C5DD9">
              <w:rPr>
                <w:rFonts w:ascii="Calibri" w:eastAsia="Calibri" w:hAnsi="Calibri" w:cs="Calibri"/>
                <w:sz w:val="20"/>
                <w:szCs w:val="20"/>
              </w:rPr>
              <w:t>ik GEH powinien być &lt;5% dla 85</w:t>
            </w:r>
            <w:r>
              <w:rPr>
                <w:rFonts w:ascii="Calibri" w:eastAsia="Calibri" w:hAnsi="Calibri" w:cs="Calibri"/>
                <w:sz w:val="20"/>
                <w:szCs w:val="20"/>
              </w:rPr>
              <w:t>% wyników w porównaniu z rezultatami pomiarów.</w:t>
            </w:r>
          </w:p>
          <w:p w14:paraId="0E514C6C" w14:textId="0DB7DAEA" w:rsidR="00600DEE" w:rsidRDefault="00600DEE">
            <w:pPr>
              <w:jc w:val="both"/>
              <w:rPr>
                <w:rFonts w:ascii="Calibri" w:eastAsia="Calibri" w:hAnsi="Calibri" w:cs="Calibri"/>
                <w:sz w:val="20"/>
                <w:szCs w:val="20"/>
              </w:rPr>
            </w:pPr>
          </w:p>
          <w:p w14:paraId="6156076A" w14:textId="77777777" w:rsidR="00B070AD" w:rsidRDefault="00B070AD" w:rsidP="00B070AD">
            <w:pPr>
              <w:spacing w:before="120"/>
              <w:jc w:val="both"/>
              <w:rPr>
                <w:rFonts w:ascii="Calibri" w:eastAsia="Calibri" w:hAnsi="Calibri" w:cs="Calibri"/>
                <w:sz w:val="20"/>
                <w:szCs w:val="20"/>
              </w:rPr>
            </w:pPr>
          </w:p>
          <w:p w14:paraId="5FED763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IV. PROGNOZA RUCHU – ZAŁOŻENIA</w:t>
            </w:r>
          </w:p>
          <w:p w14:paraId="33DE0C67" w14:textId="77777777" w:rsidR="00600DEE" w:rsidRDefault="00600DEE">
            <w:pPr>
              <w:jc w:val="both"/>
              <w:rPr>
                <w:rFonts w:ascii="Calibri" w:eastAsia="Calibri" w:hAnsi="Calibri" w:cs="Calibri"/>
                <w:b/>
                <w:sz w:val="20"/>
                <w:szCs w:val="20"/>
              </w:rPr>
            </w:pPr>
          </w:p>
          <w:p w14:paraId="688EAA20" w14:textId="1D674CFD" w:rsidR="00600DEE" w:rsidRDefault="00641FB5">
            <w:pPr>
              <w:spacing w:after="120"/>
              <w:jc w:val="both"/>
              <w:rPr>
                <w:rFonts w:ascii="Calibri" w:eastAsia="Calibri" w:hAnsi="Calibri" w:cs="Calibri"/>
                <w:b/>
                <w:sz w:val="20"/>
                <w:szCs w:val="20"/>
              </w:rPr>
            </w:pPr>
            <w:r>
              <w:rPr>
                <w:rFonts w:ascii="Calibri" w:eastAsia="Calibri" w:hAnsi="Calibri" w:cs="Calibri"/>
                <w:b/>
                <w:sz w:val="20"/>
                <w:szCs w:val="20"/>
              </w:rPr>
              <w:t>Metodę prognozowania należy dostosować do typu analizowanego projektu, zgodnie z tabelą 6, rozdział 1.8.1.</w:t>
            </w:r>
            <w:r w:rsidR="006C5DD9">
              <w:rPr>
                <w:rFonts w:ascii="Calibri" w:eastAsia="Calibri" w:hAnsi="Calibri" w:cs="Calibri"/>
                <w:sz w:val="20"/>
                <w:szCs w:val="20"/>
              </w:rPr>
              <w:t xml:space="preserve"> W</w:t>
            </w:r>
            <w:r>
              <w:rPr>
                <w:rFonts w:ascii="Calibri" w:eastAsia="Calibri" w:hAnsi="Calibri" w:cs="Calibri"/>
                <w:sz w:val="20"/>
                <w:szCs w:val="20"/>
              </w:rPr>
              <w:t> związku z tym poniższe zasady należy stosować odpowiednio do przyjętej metody prognozowania.</w:t>
            </w:r>
          </w:p>
          <w:p w14:paraId="44217E3E" w14:textId="77777777" w:rsidR="00600DEE" w:rsidRDefault="00600DEE">
            <w:pPr>
              <w:jc w:val="both"/>
              <w:rPr>
                <w:rFonts w:ascii="Calibri" w:eastAsia="Calibri" w:hAnsi="Calibri" w:cs="Calibri"/>
                <w:b/>
                <w:sz w:val="20"/>
                <w:szCs w:val="20"/>
              </w:rPr>
            </w:pPr>
          </w:p>
          <w:p w14:paraId="53F4EA96"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Analiza rozwoju sieci</w:t>
            </w:r>
          </w:p>
          <w:p w14:paraId="75D86311" w14:textId="77777777" w:rsidR="00600DEE" w:rsidRDefault="00600DEE">
            <w:pPr>
              <w:jc w:val="both"/>
              <w:rPr>
                <w:rFonts w:ascii="Calibri" w:eastAsia="Calibri" w:hAnsi="Calibri" w:cs="Calibri"/>
                <w:b/>
                <w:sz w:val="20"/>
                <w:szCs w:val="20"/>
              </w:rPr>
            </w:pPr>
          </w:p>
          <w:p w14:paraId="095D7692" w14:textId="1A332A6A"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Zmiany rozwoju sieci dróg pod względem podaży, czyli rozwoju infrastruktury, są bardzo istotne i mają zasadniczy wpływ na końcowe prognozy ruchu bę</w:t>
            </w:r>
            <w:r w:rsidR="006C5DD9">
              <w:rPr>
                <w:rFonts w:ascii="Calibri" w:eastAsia="Calibri" w:hAnsi="Calibri" w:cs="Calibri"/>
                <w:sz w:val="20"/>
                <w:szCs w:val="20"/>
              </w:rPr>
              <w:t>dące podstawą dalszych analiz. W</w:t>
            </w:r>
            <w:r>
              <w:rPr>
                <w:rFonts w:ascii="Calibri" w:eastAsia="Calibri" w:hAnsi="Calibri" w:cs="Calibri"/>
                <w:sz w:val="20"/>
                <w:szCs w:val="20"/>
              </w:rPr>
              <w:t> ramach prognoz ruchu należy przeprowadzić analizę rozwoju sieci uwzględniając zmiany w infrastrukturze transportowej na obszarze objętym prognozami ruchu.</w:t>
            </w:r>
          </w:p>
          <w:p w14:paraId="619A680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Przedmiotem analizy powinien być najbardziej prawdopodobny scenariusz rozwoju sieci drogowej w okresie referencyjnym tej analizy, zgodny z aktualnymi dokumentami strategicznymi. Taki scenariusz jest identyczny dla wariantu bezinwestycyjnego (W0) i wariantu inwestycyjnego (</w:t>
            </w:r>
            <w:proofErr w:type="spellStart"/>
            <w:r>
              <w:rPr>
                <w:rFonts w:ascii="Calibri" w:eastAsia="Calibri" w:hAnsi="Calibri" w:cs="Calibri"/>
                <w:sz w:val="20"/>
                <w:szCs w:val="20"/>
              </w:rPr>
              <w:t>Wn</w:t>
            </w:r>
            <w:proofErr w:type="spellEnd"/>
            <w:r>
              <w:rPr>
                <w:rFonts w:ascii="Calibri" w:eastAsia="Calibri" w:hAnsi="Calibri" w:cs="Calibri"/>
                <w:sz w:val="20"/>
                <w:szCs w:val="20"/>
              </w:rPr>
              <w:t>).</w:t>
            </w:r>
          </w:p>
          <w:p w14:paraId="7B9595BA" w14:textId="417EFA55"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wariancie bezinwestycyjnym, jak i inwestycyjnym należy uwzględnić zarówno istniejącą, jak i planowaną sieć drogową. Porównywane warianty różnią się wyłącznie tym, że w wariancie inwestycyjnym uwzględniamy dodatkowo nową inwestycję (projekt).</w:t>
            </w:r>
          </w:p>
          <w:p w14:paraId="2CB8BBD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Wskaźniki wzrostu ruchu</w:t>
            </w:r>
          </w:p>
          <w:p w14:paraId="460C00AD" w14:textId="77777777" w:rsidR="00600DEE" w:rsidRDefault="00600DEE">
            <w:pPr>
              <w:jc w:val="both"/>
              <w:rPr>
                <w:rFonts w:ascii="Calibri" w:eastAsia="Calibri" w:hAnsi="Calibri" w:cs="Calibri"/>
                <w:sz w:val="20"/>
                <w:szCs w:val="20"/>
              </w:rPr>
            </w:pPr>
          </w:p>
          <w:p w14:paraId="5582BC32"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Prognozowanie potoków pojazdów na poszczególnych odcinkach sieci może zostać wykonane z wykorzystaniem:</w:t>
            </w:r>
          </w:p>
          <w:p w14:paraId="137AB1B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uproszczonej metody prognozowania ruchu – np. metody wskaźnikowej,</w:t>
            </w:r>
          </w:p>
          <w:p w14:paraId="6500945E"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metody modelowania ruchu.</w:t>
            </w:r>
          </w:p>
          <w:p w14:paraId="6248C0A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Wybór metody zależy od tego, do jakiej grupy inwestycja została zakwalifikowana (tabela 6, rozdział 1.8. Prognozy ruchu).</w:t>
            </w:r>
          </w:p>
          <w:p w14:paraId="1C138CBA"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przypadku prognozowania metodą modelowania, współczynniki wzrostu ruchu dla lat prognozy należy przyjąć z aktualnej tabeli trendów PKB zamieszczonej na stronie internetowej Generalnej Dyrekcji Dróg Krajowych i Autostrad, z uwzględnieniem tzw. wskaźników elastyczności dla poszczególnych kategorii pojazdów.</w:t>
            </w:r>
          </w:p>
          <w:p w14:paraId="350A8F0B" w14:textId="77777777" w:rsidR="00600DEE" w:rsidRDefault="00600DEE">
            <w:pPr>
              <w:spacing w:before="120" w:after="120"/>
              <w:jc w:val="both"/>
              <w:rPr>
                <w:rFonts w:ascii="Calibri" w:eastAsia="Calibri" w:hAnsi="Calibri" w:cs="Calibri"/>
                <w:sz w:val="20"/>
                <w:szCs w:val="20"/>
              </w:rPr>
            </w:pPr>
          </w:p>
          <w:p w14:paraId="711E59CE" w14:textId="6D9D73D4" w:rsidR="00600DEE" w:rsidRDefault="00641FB5">
            <w:pP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 Elastyczność wskaźników wzro</w:t>
            </w:r>
            <w:r w:rsidR="003A38F9">
              <w:rPr>
                <w:rFonts w:ascii="Calibri" w:eastAsia="Calibri" w:hAnsi="Calibri" w:cs="Calibri"/>
                <w:b/>
                <w:color w:val="4F81BD"/>
                <w:sz w:val="20"/>
                <w:szCs w:val="20"/>
              </w:rPr>
              <w:t xml:space="preserve">stu ruchu wg metody GDDKiA do </w:t>
            </w:r>
            <w:r>
              <w:rPr>
                <w:rFonts w:ascii="Calibri" w:eastAsia="Calibri" w:hAnsi="Calibri" w:cs="Calibri"/>
                <w:b/>
                <w:color w:val="4F81BD"/>
                <w:sz w:val="20"/>
                <w:szCs w:val="20"/>
              </w:rPr>
              <w:t>prognozowania metodą modelowania</w:t>
            </w:r>
          </w:p>
          <w:tbl>
            <w:tblPr>
              <w:tblStyle w:val="afffffffffffffa"/>
              <w:tblW w:w="6957" w:type="dxa"/>
              <w:tblLayout w:type="fixed"/>
              <w:tblLook w:val="0000" w:firstRow="0" w:lastRow="0" w:firstColumn="0" w:lastColumn="0" w:noHBand="0" w:noVBand="0"/>
            </w:tblPr>
            <w:tblGrid>
              <w:gridCol w:w="453"/>
              <w:gridCol w:w="2217"/>
              <w:gridCol w:w="1831"/>
              <w:gridCol w:w="2456"/>
            </w:tblGrid>
            <w:tr w:rsidR="00600DEE" w14:paraId="6A4B2C29" w14:textId="77777777" w:rsidTr="003A38F9">
              <w:trPr>
                <w:trHeight w:val="246"/>
              </w:trPr>
              <w:tc>
                <w:tcPr>
                  <w:tcW w:w="453" w:type="dxa"/>
                  <w:vMerge w:val="restart"/>
                  <w:tcBorders>
                    <w:top w:val="single" w:sz="4" w:space="0" w:color="FFFFFF"/>
                    <w:left w:val="single" w:sz="4" w:space="0" w:color="FFFFFF"/>
                  </w:tcBorders>
                  <w:shd w:val="clear" w:color="auto" w:fill="A6A6A6"/>
                </w:tcPr>
                <w:p w14:paraId="3468389C" w14:textId="77777777" w:rsidR="00600DEE" w:rsidRDefault="00600DEE">
                  <w:pPr>
                    <w:jc w:val="center"/>
                    <w:rPr>
                      <w:rFonts w:ascii="Calibri" w:eastAsia="Calibri" w:hAnsi="Calibri" w:cs="Calibri"/>
                      <w:b/>
                      <w:color w:val="FFFFFF"/>
                      <w:sz w:val="18"/>
                      <w:szCs w:val="18"/>
                    </w:rPr>
                  </w:pPr>
                </w:p>
              </w:tc>
              <w:tc>
                <w:tcPr>
                  <w:tcW w:w="2217" w:type="dxa"/>
                  <w:vMerge w:val="restart"/>
                  <w:tcBorders>
                    <w:top w:val="single" w:sz="4" w:space="0" w:color="FFFFFF"/>
                    <w:left w:val="single" w:sz="4" w:space="0" w:color="FFFFFF"/>
                  </w:tcBorders>
                  <w:shd w:val="clear" w:color="auto" w:fill="A6A6A6"/>
                  <w:vAlign w:val="center"/>
                </w:tcPr>
                <w:p w14:paraId="1D508D6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Kategoria pojazdów</w:t>
                  </w:r>
                </w:p>
              </w:tc>
              <w:tc>
                <w:tcPr>
                  <w:tcW w:w="4287" w:type="dxa"/>
                  <w:gridSpan w:val="2"/>
                  <w:tcBorders>
                    <w:top w:val="single" w:sz="4" w:space="0" w:color="FFFFFF"/>
                    <w:left w:val="single" w:sz="4" w:space="0" w:color="FFFFFF"/>
                    <w:bottom w:val="single" w:sz="4" w:space="0" w:color="FFFFFF"/>
                  </w:tcBorders>
                  <w:shd w:val="clear" w:color="auto" w:fill="A6A6A6"/>
                  <w:vAlign w:val="center"/>
                </w:tcPr>
                <w:p w14:paraId="364E060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We (wskaźnik elastyczności w latach)</w:t>
                  </w:r>
                </w:p>
              </w:tc>
            </w:tr>
            <w:tr w:rsidR="00600DEE" w14:paraId="6B18B061" w14:textId="77777777" w:rsidTr="003A38F9">
              <w:trPr>
                <w:trHeight w:val="251"/>
              </w:trPr>
              <w:tc>
                <w:tcPr>
                  <w:tcW w:w="453" w:type="dxa"/>
                  <w:vMerge/>
                  <w:tcBorders>
                    <w:top w:val="single" w:sz="4" w:space="0" w:color="FFFFFF"/>
                    <w:left w:val="single" w:sz="4" w:space="0" w:color="FFFFFF"/>
                  </w:tcBorders>
                  <w:shd w:val="clear" w:color="auto" w:fill="A6A6A6"/>
                </w:tcPr>
                <w:p w14:paraId="60EA225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217" w:type="dxa"/>
                  <w:vMerge/>
                  <w:tcBorders>
                    <w:top w:val="single" w:sz="4" w:space="0" w:color="FFFFFF"/>
                    <w:left w:val="single" w:sz="4" w:space="0" w:color="FFFFFF"/>
                  </w:tcBorders>
                  <w:shd w:val="clear" w:color="auto" w:fill="A6A6A6"/>
                  <w:vAlign w:val="center"/>
                </w:tcPr>
                <w:p w14:paraId="11356B8F"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831" w:type="dxa"/>
                  <w:tcBorders>
                    <w:top w:val="single" w:sz="4" w:space="0" w:color="FFFFFF"/>
                    <w:left w:val="single" w:sz="4" w:space="0" w:color="FFFFFF"/>
                    <w:bottom w:val="single" w:sz="4" w:space="0" w:color="FFFFFF"/>
                  </w:tcBorders>
                  <w:shd w:val="clear" w:color="auto" w:fill="A6A6A6"/>
                  <w:vAlign w:val="center"/>
                </w:tcPr>
                <w:p w14:paraId="496C06A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2008-2015</w:t>
                  </w:r>
                </w:p>
              </w:tc>
              <w:tc>
                <w:tcPr>
                  <w:tcW w:w="2456" w:type="dxa"/>
                  <w:tcBorders>
                    <w:top w:val="single" w:sz="4" w:space="0" w:color="FFFFFF"/>
                    <w:left w:val="single" w:sz="4" w:space="0" w:color="FFFFFF"/>
                    <w:bottom w:val="single" w:sz="4" w:space="0" w:color="FFFFFF"/>
                  </w:tcBorders>
                  <w:shd w:val="clear" w:color="auto" w:fill="A6A6A6"/>
                  <w:vAlign w:val="center"/>
                </w:tcPr>
                <w:p w14:paraId="5047BC8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2016-2040</w:t>
                  </w:r>
                </w:p>
              </w:tc>
            </w:tr>
            <w:tr w:rsidR="00600DEE" w14:paraId="38CF3A2B"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2D3366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2217" w:type="dxa"/>
                  <w:tcBorders>
                    <w:top w:val="single" w:sz="4" w:space="0" w:color="FFFFFF"/>
                    <w:left w:val="single" w:sz="4" w:space="0" w:color="FFFFFF"/>
                    <w:bottom w:val="single" w:sz="4" w:space="0" w:color="FFFFFF"/>
                  </w:tcBorders>
                  <w:shd w:val="clear" w:color="auto" w:fill="DBE5F1"/>
                  <w:vAlign w:val="center"/>
                </w:tcPr>
                <w:p w14:paraId="27F2566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Samochody osobowe</w:t>
                  </w:r>
                </w:p>
              </w:tc>
              <w:tc>
                <w:tcPr>
                  <w:tcW w:w="1831" w:type="dxa"/>
                  <w:tcBorders>
                    <w:top w:val="single" w:sz="4" w:space="0" w:color="FFFFFF"/>
                    <w:left w:val="single" w:sz="4" w:space="0" w:color="FFFFFF"/>
                    <w:bottom w:val="single" w:sz="4" w:space="0" w:color="FFFFFF"/>
                  </w:tcBorders>
                  <w:shd w:val="clear" w:color="auto" w:fill="DBE5F1"/>
                  <w:vAlign w:val="center"/>
                </w:tcPr>
                <w:p w14:paraId="16E8F70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0,90</w:t>
                  </w:r>
                </w:p>
              </w:tc>
              <w:tc>
                <w:tcPr>
                  <w:tcW w:w="2456" w:type="dxa"/>
                  <w:tcBorders>
                    <w:top w:val="single" w:sz="4" w:space="0" w:color="FFFFFF"/>
                    <w:left w:val="single" w:sz="4" w:space="0" w:color="FFFFFF"/>
                    <w:bottom w:val="single" w:sz="4" w:space="0" w:color="FFFFFF"/>
                  </w:tcBorders>
                  <w:shd w:val="clear" w:color="auto" w:fill="DBE5F1"/>
                  <w:vAlign w:val="center"/>
                </w:tcPr>
                <w:p w14:paraId="025959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0,80</w:t>
                  </w:r>
                </w:p>
              </w:tc>
            </w:tr>
            <w:tr w:rsidR="00600DEE" w14:paraId="0833C149"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00F759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w:t>
                  </w:r>
                </w:p>
              </w:tc>
              <w:tc>
                <w:tcPr>
                  <w:tcW w:w="2217" w:type="dxa"/>
                  <w:tcBorders>
                    <w:top w:val="single" w:sz="4" w:space="0" w:color="FFFFFF"/>
                    <w:left w:val="single" w:sz="4" w:space="0" w:color="FFFFFF"/>
                    <w:bottom w:val="single" w:sz="4" w:space="0" w:color="FFFFFF"/>
                  </w:tcBorders>
                  <w:shd w:val="clear" w:color="auto" w:fill="DBE5F1"/>
                  <w:vAlign w:val="center"/>
                </w:tcPr>
                <w:p w14:paraId="2C33E74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Samochody dostawcze</w:t>
                  </w:r>
                </w:p>
              </w:tc>
              <w:tc>
                <w:tcPr>
                  <w:tcW w:w="1831" w:type="dxa"/>
                  <w:tcBorders>
                    <w:top w:val="single" w:sz="4" w:space="0" w:color="FFFFFF"/>
                    <w:left w:val="single" w:sz="4" w:space="0" w:color="FFFFFF"/>
                    <w:bottom w:val="single" w:sz="4" w:space="0" w:color="FFFFFF"/>
                  </w:tcBorders>
                  <w:shd w:val="clear" w:color="auto" w:fill="DBE5F1"/>
                  <w:vAlign w:val="center"/>
                </w:tcPr>
                <w:p w14:paraId="5E3C02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w:t>
                  </w:r>
                </w:p>
              </w:tc>
              <w:tc>
                <w:tcPr>
                  <w:tcW w:w="2456" w:type="dxa"/>
                  <w:tcBorders>
                    <w:top w:val="single" w:sz="4" w:space="0" w:color="FFFFFF"/>
                    <w:left w:val="single" w:sz="4" w:space="0" w:color="FFFFFF"/>
                    <w:bottom w:val="single" w:sz="4" w:space="0" w:color="FFFFFF"/>
                  </w:tcBorders>
                  <w:shd w:val="clear" w:color="auto" w:fill="DBE5F1"/>
                  <w:vAlign w:val="center"/>
                </w:tcPr>
                <w:p w14:paraId="3F38FC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w:t>
                  </w:r>
                </w:p>
              </w:tc>
            </w:tr>
            <w:tr w:rsidR="00600DEE" w14:paraId="48DD6BD1"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448AC08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w:t>
                  </w:r>
                </w:p>
              </w:tc>
              <w:tc>
                <w:tcPr>
                  <w:tcW w:w="2217" w:type="dxa"/>
                  <w:tcBorders>
                    <w:top w:val="single" w:sz="4" w:space="0" w:color="FFFFFF"/>
                    <w:left w:val="single" w:sz="4" w:space="0" w:color="FFFFFF"/>
                    <w:bottom w:val="single" w:sz="4" w:space="0" w:color="FFFFFF"/>
                  </w:tcBorders>
                  <w:shd w:val="clear" w:color="auto" w:fill="DBE5F1"/>
                  <w:vAlign w:val="center"/>
                </w:tcPr>
                <w:p w14:paraId="1A098916"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Samochody ciężarowe bez przyczep </w:t>
                  </w:r>
                </w:p>
              </w:tc>
              <w:tc>
                <w:tcPr>
                  <w:tcW w:w="1831" w:type="dxa"/>
                  <w:tcBorders>
                    <w:top w:val="single" w:sz="4" w:space="0" w:color="FFFFFF"/>
                    <w:left w:val="single" w:sz="4" w:space="0" w:color="FFFFFF"/>
                    <w:bottom w:val="single" w:sz="4" w:space="0" w:color="FFFFFF"/>
                  </w:tcBorders>
                  <w:shd w:val="clear" w:color="auto" w:fill="DBE5F1"/>
                  <w:vAlign w:val="center"/>
                </w:tcPr>
                <w:p w14:paraId="7ADCDCB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0,35</w:t>
                  </w:r>
                </w:p>
              </w:tc>
              <w:tc>
                <w:tcPr>
                  <w:tcW w:w="2456" w:type="dxa"/>
                  <w:tcBorders>
                    <w:top w:val="single" w:sz="4" w:space="0" w:color="FFFFFF"/>
                    <w:left w:val="single" w:sz="4" w:space="0" w:color="FFFFFF"/>
                    <w:bottom w:val="single" w:sz="4" w:space="0" w:color="FFFFFF"/>
                  </w:tcBorders>
                  <w:shd w:val="clear" w:color="auto" w:fill="DBE5F1"/>
                  <w:vAlign w:val="center"/>
                </w:tcPr>
                <w:p w14:paraId="060D57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0,35</w:t>
                  </w:r>
                </w:p>
              </w:tc>
            </w:tr>
            <w:tr w:rsidR="00600DEE" w14:paraId="01971E0B"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717E13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w:t>
                  </w:r>
                </w:p>
              </w:tc>
              <w:tc>
                <w:tcPr>
                  <w:tcW w:w="2217" w:type="dxa"/>
                  <w:tcBorders>
                    <w:top w:val="single" w:sz="4" w:space="0" w:color="FFFFFF"/>
                    <w:left w:val="single" w:sz="4" w:space="0" w:color="FFFFFF"/>
                    <w:bottom w:val="single" w:sz="4" w:space="0" w:color="FFFFFF"/>
                  </w:tcBorders>
                  <w:shd w:val="clear" w:color="auto" w:fill="DBE5F1"/>
                  <w:vAlign w:val="center"/>
                </w:tcPr>
                <w:p w14:paraId="0CBA640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Samochody dostawcze z przyczepami i </w:t>
                  </w:r>
                </w:p>
              </w:tc>
              <w:tc>
                <w:tcPr>
                  <w:tcW w:w="1831" w:type="dxa"/>
                  <w:tcBorders>
                    <w:top w:val="single" w:sz="4" w:space="0" w:color="FFFFFF"/>
                    <w:left w:val="single" w:sz="4" w:space="0" w:color="FFFFFF"/>
                    <w:bottom w:val="single" w:sz="4" w:space="0" w:color="FFFFFF"/>
                  </w:tcBorders>
                  <w:shd w:val="clear" w:color="auto" w:fill="DBE5F1"/>
                  <w:vAlign w:val="center"/>
                </w:tcPr>
                <w:p w14:paraId="659B464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1,07</w:t>
                  </w:r>
                </w:p>
              </w:tc>
              <w:tc>
                <w:tcPr>
                  <w:tcW w:w="2456" w:type="dxa"/>
                  <w:tcBorders>
                    <w:top w:val="single" w:sz="4" w:space="0" w:color="FFFFFF"/>
                    <w:left w:val="single" w:sz="4" w:space="0" w:color="FFFFFF"/>
                    <w:bottom w:val="single" w:sz="4" w:space="0" w:color="FFFFFF"/>
                  </w:tcBorders>
                  <w:shd w:val="clear" w:color="auto" w:fill="DBE5F1"/>
                  <w:vAlign w:val="center"/>
                </w:tcPr>
                <w:p w14:paraId="10E378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w:t>
                  </w:r>
                </w:p>
              </w:tc>
            </w:tr>
          </w:tbl>
          <w:p w14:paraId="1D683AE7"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Dla inwestycji na drogach zamiejskich, dla których dopuszczone jest stosowanie uproszczonej metody prognozowania, obliczenie natężenia ruchu na poszczególnych odcinkach odbywa się przez przemnożenie ruchu w roku bazowym przez wskaźniki wzrostu ruchu dla poszczególnych kategorii pojazdów, oszacowanych z wykorzystaniem wskaźników przeliczeniowych uzyskanych od GDDKiA. Ze względu na zróżnicowaną dynamikę wzrostu ruchu na poszczególnych kategoriach dróg należy zastosować wskaźniki elastyczności dla określonej kategorii pojazdów.</w:t>
            </w:r>
          </w:p>
          <w:p w14:paraId="42A87E85" w14:textId="77777777" w:rsidR="00600DEE" w:rsidRDefault="00641FB5">
            <w:pP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 xml:space="preserve">Tabela 2. Elastyczność wskaźników wzrostu ruchu wg metody GDDKiA do </w:t>
            </w:r>
            <w:r>
              <w:rPr>
                <w:rFonts w:ascii="Calibri" w:eastAsia="Calibri" w:hAnsi="Calibri" w:cs="Calibri"/>
                <w:b/>
                <w:color w:val="4F81BD"/>
                <w:sz w:val="20"/>
                <w:szCs w:val="20"/>
              </w:rPr>
              <w:br/>
              <w:t xml:space="preserve"> prognozowania metodą wskaźnikową</w:t>
            </w:r>
          </w:p>
          <w:tbl>
            <w:tblPr>
              <w:tblStyle w:val="afffffffffffffb"/>
              <w:tblW w:w="6833" w:type="dxa"/>
              <w:tblLayout w:type="fixed"/>
              <w:tblLook w:val="0000" w:firstRow="0" w:lastRow="0" w:firstColumn="0" w:lastColumn="0" w:noHBand="0" w:noVBand="0"/>
            </w:tblPr>
            <w:tblGrid>
              <w:gridCol w:w="1366"/>
              <w:gridCol w:w="1367"/>
              <w:gridCol w:w="1366"/>
              <w:gridCol w:w="1367"/>
              <w:gridCol w:w="1367"/>
            </w:tblGrid>
            <w:tr w:rsidR="00600DEE" w14:paraId="0FD8377B" w14:textId="77777777" w:rsidTr="00073743">
              <w:trPr>
                <w:trHeight w:hRule="exact" w:val="537"/>
              </w:trPr>
              <w:tc>
                <w:tcPr>
                  <w:tcW w:w="1366" w:type="dxa"/>
                  <w:tcBorders>
                    <w:top w:val="single" w:sz="4" w:space="0" w:color="FFFFFF"/>
                    <w:left w:val="single" w:sz="4" w:space="0" w:color="FFFFFF"/>
                    <w:bottom w:val="single" w:sz="4" w:space="0" w:color="FFFFFF"/>
                  </w:tcBorders>
                  <w:shd w:val="clear" w:color="auto" w:fill="A6A6A6"/>
                  <w:vAlign w:val="center"/>
                </w:tcPr>
                <w:p w14:paraId="550A880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1367" w:type="dxa"/>
                  <w:tcBorders>
                    <w:top w:val="single" w:sz="4" w:space="0" w:color="FFFFFF"/>
                    <w:left w:val="single" w:sz="4" w:space="0" w:color="FFFFFF"/>
                    <w:bottom w:val="single" w:sz="4" w:space="0" w:color="FFFFFF"/>
                  </w:tcBorders>
                  <w:shd w:val="clear" w:color="auto" w:fill="A6A6A6"/>
                  <w:vAlign w:val="center"/>
                </w:tcPr>
                <w:p w14:paraId="101220B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osobowe</w:t>
                  </w:r>
                </w:p>
              </w:tc>
              <w:tc>
                <w:tcPr>
                  <w:tcW w:w="1366" w:type="dxa"/>
                  <w:tcBorders>
                    <w:top w:val="single" w:sz="4" w:space="0" w:color="FFFFFF"/>
                    <w:left w:val="single" w:sz="4" w:space="0" w:color="FFFFFF"/>
                    <w:bottom w:val="single" w:sz="4" w:space="0" w:color="FFFFFF"/>
                  </w:tcBorders>
                  <w:shd w:val="clear" w:color="auto" w:fill="A6A6A6"/>
                  <w:vAlign w:val="center"/>
                </w:tcPr>
                <w:p w14:paraId="227D8C42"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dostawcze</w:t>
                  </w:r>
                </w:p>
              </w:tc>
              <w:tc>
                <w:tcPr>
                  <w:tcW w:w="1367" w:type="dxa"/>
                  <w:tcBorders>
                    <w:top w:val="single" w:sz="4" w:space="0" w:color="FFFFFF"/>
                    <w:left w:val="single" w:sz="4" w:space="0" w:color="FFFFFF"/>
                    <w:bottom w:val="single" w:sz="4" w:space="0" w:color="FFFFFF"/>
                  </w:tcBorders>
                  <w:shd w:val="clear" w:color="auto" w:fill="A6A6A6"/>
                  <w:vAlign w:val="center"/>
                </w:tcPr>
                <w:p w14:paraId="457A84E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ciężarowe</w:t>
                  </w:r>
                </w:p>
              </w:tc>
              <w:tc>
                <w:tcPr>
                  <w:tcW w:w="1367" w:type="dxa"/>
                  <w:tcBorders>
                    <w:top w:val="single" w:sz="4" w:space="0" w:color="FFFFFF"/>
                    <w:left w:val="single" w:sz="4" w:space="0" w:color="FFFFFF"/>
                    <w:bottom w:val="single" w:sz="4" w:space="0" w:color="FFFFFF"/>
                  </w:tcBorders>
                  <w:shd w:val="clear" w:color="auto" w:fill="A6A6A6"/>
                  <w:vAlign w:val="center"/>
                </w:tcPr>
                <w:p w14:paraId="0849BCA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cięż z p/n</w:t>
                  </w:r>
                </w:p>
              </w:tc>
            </w:tr>
            <w:tr w:rsidR="00600DEE" w14:paraId="4D5E2703" w14:textId="77777777" w:rsidTr="00073743">
              <w:trPr>
                <w:trHeight w:hRule="exact" w:val="269"/>
              </w:trPr>
              <w:tc>
                <w:tcPr>
                  <w:tcW w:w="1366" w:type="dxa"/>
                  <w:tcBorders>
                    <w:top w:val="single" w:sz="4" w:space="0" w:color="FFFFFF"/>
                    <w:left w:val="single" w:sz="4" w:space="0" w:color="FFFFFF"/>
                    <w:bottom w:val="single" w:sz="4" w:space="0" w:color="FFFFFF"/>
                  </w:tcBorders>
                  <w:shd w:val="clear" w:color="auto" w:fill="DBE5F1"/>
                  <w:vAlign w:val="center"/>
                </w:tcPr>
                <w:p w14:paraId="74D51C1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Krajowe</w:t>
                  </w:r>
                </w:p>
              </w:tc>
              <w:tc>
                <w:tcPr>
                  <w:tcW w:w="1367" w:type="dxa"/>
                  <w:tcBorders>
                    <w:top w:val="single" w:sz="4" w:space="0" w:color="FFFFFF"/>
                    <w:left w:val="single" w:sz="4" w:space="0" w:color="FFFFFF"/>
                    <w:bottom w:val="single" w:sz="4" w:space="0" w:color="FFFFFF"/>
                  </w:tcBorders>
                  <w:shd w:val="clear" w:color="auto" w:fill="DBE5F1"/>
                  <w:vAlign w:val="center"/>
                </w:tcPr>
                <w:p w14:paraId="2EA441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1366" w:type="dxa"/>
                  <w:tcBorders>
                    <w:top w:val="single" w:sz="4" w:space="0" w:color="FFFFFF"/>
                    <w:left w:val="single" w:sz="4" w:space="0" w:color="FFFFFF"/>
                    <w:bottom w:val="single" w:sz="4" w:space="0" w:color="FFFFFF"/>
                  </w:tcBorders>
                  <w:shd w:val="clear" w:color="auto" w:fill="DBE5F1"/>
                  <w:vAlign w:val="center"/>
                </w:tcPr>
                <w:p w14:paraId="6E6CEC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1367" w:type="dxa"/>
                  <w:tcBorders>
                    <w:top w:val="single" w:sz="4" w:space="0" w:color="FFFFFF"/>
                    <w:left w:val="single" w:sz="4" w:space="0" w:color="FFFFFF"/>
                    <w:bottom w:val="single" w:sz="4" w:space="0" w:color="FFFFFF"/>
                  </w:tcBorders>
                  <w:shd w:val="clear" w:color="auto" w:fill="DBE5F1"/>
                  <w:vAlign w:val="center"/>
                </w:tcPr>
                <w:p w14:paraId="63BD72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1367" w:type="dxa"/>
                  <w:tcBorders>
                    <w:top w:val="single" w:sz="4" w:space="0" w:color="FFFFFF"/>
                    <w:left w:val="single" w:sz="4" w:space="0" w:color="FFFFFF"/>
                    <w:bottom w:val="single" w:sz="4" w:space="0" w:color="FFFFFF"/>
                  </w:tcBorders>
                  <w:shd w:val="clear" w:color="auto" w:fill="DBE5F1"/>
                  <w:vAlign w:val="center"/>
                </w:tcPr>
                <w:p w14:paraId="75E0D5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10EF727F" w14:textId="77777777" w:rsidTr="00073743">
              <w:trPr>
                <w:trHeight w:hRule="exact" w:val="269"/>
              </w:trPr>
              <w:tc>
                <w:tcPr>
                  <w:tcW w:w="1366" w:type="dxa"/>
                  <w:tcBorders>
                    <w:top w:val="single" w:sz="4" w:space="0" w:color="FFFFFF"/>
                    <w:left w:val="single" w:sz="4" w:space="0" w:color="FFFFFF"/>
                    <w:bottom w:val="single" w:sz="4" w:space="0" w:color="FFFFFF"/>
                  </w:tcBorders>
                  <w:shd w:val="clear" w:color="auto" w:fill="DBE5F1"/>
                  <w:vAlign w:val="center"/>
                </w:tcPr>
                <w:p w14:paraId="300B830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Wojewódzkie</w:t>
                  </w:r>
                </w:p>
              </w:tc>
              <w:tc>
                <w:tcPr>
                  <w:tcW w:w="1367" w:type="dxa"/>
                  <w:tcBorders>
                    <w:top w:val="single" w:sz="4" w:space="0" w:color="FFFFFF"/>
                    <w:left w:val="single" w:sz="4" w:space="0" w:color="FFFFFF"/>
                    <w:bottom w:val="single" w:sz="4" w:space="0" w:color="FFFFFF"/>
                  </w:tcBorders>
                  <w:shd w:val="clear" w:color="auto" w:fill="DBE5F1"/>
                  <w:vAlign w:val="center"/>
                </w:tcPr>
                <w:p w14:paraId="44AE23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366" w:type="dxa"/>
                  <w:tcBorders>
                    <w:top w:val="single" w:sz="4" w:space="0" w:color="FFFFFF"/>
                    <w:left w:val="single" w:sz="4" w:space="0" w:color="FFFFFF"/>
                    <w:bottom w:val="single" w:sz="4" w:space="0" w:color="FFFFFF"/>
                  </w:tcBorders>
                  <w:shd w:val="clear" w:color="auto" w:fill="DBE5F1"/>
                  <w:vAlign w:val="center"/>
                </w:tcPr>
                <w:p w14:paraId="67A7A4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367" w:type="dxa"/>
                  <w:tcBorders>
                    <w:top w:val="single" w:sz="4" w:space="0" w:color="FFFFFF"/>
                    <w:left w:val="single" w:sz="4" w:space="0" w:color="FFFFFF"/>
                    <w:bottom w:val="single" w:sz="4" w:space="0" w:color="FFFFFF"/>
                  </w:tcBorders>
                  <w:shd w:val="clear" w:color="auto" w:fill="DBE5F1"/>
                  <w:vAlign w:val="center"/>
                </w:tcPr>
                <w:p w14:paraId="2560E14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367" w:type="dxa"/>
                  <w:tcBorders>
                    <w:top w:val="single" w:sz="4" w:space="0" w:color="FFFFFF"/>
                    <w:left w:val="single" w:sz="4" w:space="0" w:color="FFFFFF"/>
                    <w:bottom w:val="single" w:sz="4" w:space="0" w:color="FFFFFF"/>
                  </w:tcBorders>
                  <w:shd w:val="clear" w:color="auto" w:fill="DBE5F1"/>
                  <w:vAlign w:val="center"/>
                </w:tcPr>
                <w:p w14:paraId="10AE7C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r>
            <w:tr w:rsidR="00600DEE" w14:paraId="7B24B571" w14:textId="77777777" w:rsidTr="00073743">
              <w:trPr>
                <w:trHeight w:hRule="exact" w:val="269"/>
              </w:trPr>
              <w:tc>
                <w:tcPr>
                  <w:tcW w:w="1366" w:type="dxa"/>
                  <w:tcBorders>
                    <w:top w:val="single" w:sz="4" w:space="0" w:color="FFFFFF"/>
                    <w:left w:val="single" w:sz="4" w:space="0" w:color="FFFFFF"/>
                    <w:bottom w:val="single" w:sz="4" w:space="0" w:color="FFFFFF"/>
                  </w:tcBorders>
                  <w:shd w:val="clear" w:color="auto" w:fill="DBE5F1"/>
                  <w:vAlign w:val="center"/>
                </w:tcPr>
                <w:p w14:paraId="4D0835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Powiatowe</w:t>
                  </w:r>
                </w:p>
              </w:tc>
              <w:tc>
                <w:tcPr>
                  <w:tcW w:w="1367" w:type="dxa"/>
                  <w:tcBorders>
                    <w:top w:val="single" w:sz="4" w:space="0" w:color="FFFFFF"/>
                    <w:left w:val="single" w:sz="4" w:space="0" w:color="FFFFFF"/>
                    <w:bottom w:val="single" w:sz="4" w:space="0" w:color="FFFFFF"/>
                  </w:tcBorders>
                  <w:shd w:val="clear" w:color="auto" w:fill="DBE5F1"/>
                  <w:vAlign w:val="center"/>
                </w:tcPr>
                <w:p w14:paraId="4EF36E8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366" w:type="dxa"/>
                  <w:tcBorders>
                    <w:top w:val="single" w:sz="4" w:space="0" w:color="FFFFFF"/>
                    <w:left w:val="single" w:sz="4" w:space="0" w:color="FFFFFF"/>
                    <w:bottom w:val="single" w:sz="4" w:space="0" w:color="FFFFFF"/>
                  </w:tcBorders>
                  <w:shd w:val="clear" w:color="auto" w:fill="DBE5F1"/>
                  <w:vAlign w:val="center"/>
                </w:tcPr>
                <w:p w14:paraId="6BE4DB2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367" w:type="dxa"/>
                  <w:tcBorders>
                    <w:top w:val="single" w:sz="4" w:space="0" w:color="FFFFFF"/>
                    <w:left w:val="single" w:sz="4" w:space="0" w:color="FFFFFF"/>
                    <w:bottom w:val="single" w:sz="4" w:space="0" w:color="FFFFFF"/>
                  </w:tcBorders>
                  <w:shd w:val="clear" w:color="auto" w:fill="DBE5F1"/>
                  <w:vAlign w:val="center"/>
                </w:tcPr>
                <w:p w14:paraId="45B96A3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c>
                <w:tcPr>
                  <w:tcW w:w="1367" w:type="dxa"/>
                  <w:tcBorders>
                    <w:top w:val="single" w:sz="4" w:space="0" w:color="FFFFFF"/>
                    <w:left w:val="single" w:sz="4" w:space="0" w:color="FFFFFF"/>
                    <w:bottom w:val="single" w:sz="4" w:space="0" w:color="FFFFFF"/>
                  </w:tcBorders>
                  <w:shd w:val="clear" w:color="auto" w:fill="DBE5F1"/>
                  <w:vAlign w:val="center"/>
                </w:tcPr>
                <w:p w14:paraId="752DDA8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w:t>
                  </w:r>
                </w:p>
              </w:tc>
            </w:tr>
            <w:tr w:rsidR="00600DEE" w14:paraId="4A9105B2" w14:textId="77777777" w:rsidTr="00073743">
              <w:trPr>
                <w:trHeight w:hRule="exact" w:val="430"/>
              </w:trPr>
              <w:tc>
                <w:tcPr>
                  <w:tcW w:w="1366" w:type="dxa"/>
                  <w:tcBorders>
                    <w:top w:val="single" w:sz="4" w:space="0" w:color="FFFFFF"/>
                    <w:left w:val="single" w:sz="4" w:space="0" w:color="FFFFFF"/>
                    <w:bottom w:val="single" w:sz="4" w:space="0" w:color="FFFFFF"/>
                  </w:tcBorders>
                  <w:shd w:val="clear" w:color="auto" w:fill="DBE5F1"/>
                  <w:vAlign w:val="center"/>
                </w:tcPr>
                <w:p w14:paraId="4A51B8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Gminne</w:t>
                  </w:r>
                </w:p>
              </w:tc>
              <w:tc>
                <w:tcPr>
                  <w:tcW w:w="1367" w:type="dxa"/>
                  <w:tcBorders>
                    <w:top w:val="single" w:sz="4" w:space="0" w:color="FFFFFF"/>
                    <w:left w:val="single" w:sz="4" w:space="0" w:color="FFFFFF"/>
                    <w:bottom w:val="single" w:sz="4" w:space="0" w:color="FFFFFF"/>
                  </w:tcBorders>
                  <w:shd w:val="clear" w:color="auto" w:fill="DBE5F1"/>
                  <w:vAlign w:val="center"/>
                </w:tcPr>
                <w:p w14:paraId="3C30F0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c>
                <w:tcPr>
                  <w:tcW w:w="1366" w:type="dxa"/>
                  <w:tcBorders>
                    <w:top w:val="single" w:sz="4" w:space="0" w:color="FFFFFF"/>
                    <w:left w:val="single" w:sz="4" w:space="0" w:color="FFFFFF"/>
                    <w:bottom w:val="single" w:sz="4" w:space="0" w:color="FFFFFF"/>
                  </w:tcBorders>
                  <w:shd w:val="clear" w:color="auto" w:fill="DBE5F1"/>
                  <w:vAlign w:val="center"/>
                </w:tcPr>
                <w:p w14:paraId="3C81C81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c>
                <w:tcPr>
                  <w:tcW w:w="1367" w:type="dxa"/>
                  <w:tcBorders>
                    <w:top w:val="single" w:sz="4" w:space="0" w:color="FFFFFF"/>
                    <w:left w:val="single" w:sz="4" w:space="0" w:color="FFFFFF"/>
                    <w:bottom w:val="single" w:sz="4" w:space="0" w:color="FFFFFF"/>
                  </w:tcBorders>
                  <w:shd w:val="clear" w:color="auto" w:fill="DBE5F1"/>
                  <w:vAlign w:val="center"/>
                </w:tcPr>
                <w:p w14:paraId="59E6364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w:t>
                  </w:r>
                </w:p>
              </w:tc>
              <w:tc>
                <w:tcPr>
                  <w:tcW w:w="1367" w:type="dxa"/>
                  <w:tcBorders>
                    <w:top w:val="single" w:sz="4" w:space="0" w:color="FFFFFF"/>
                    <w:left w:val="single" w:sz="4" w:space="0" w:color="FFFFFF"/>
                    <w:bottom w:val="single" w:sz="4" w:space="0" w:color="FFFFFF"/>
                  </w:tcBorders>
                  <w:shd w:val="clear" w:color="auto" w:fill="DBE5F1"/>
                  <w:vAlign w:val="center"/>
                </w:tcPr>
                <w:p w14:paraId="6FBD41C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0,65</w:t>
                  </w:r>
                </w:p>
              </w:tc>
            </w:tr>
          </w:tbl>
          <w:p w14:paraId="3894637E" w14:textId="0A37FB7B" w:rsidR="00600DEE" w:rsidRDefault="003A38F9">
            <w:pPr>
              <w:spacing w:before="120" w:after="120"/>
              <w:jc w:val="both"/>
              <w:rPr>
                <w:rFonts w:ascii="Calibri" w:eastAsia="Calibri" w:hAnsi="Calibri" w:cs="Calibri"/>
                <w:sz w:val="20"/>
                <w:szCs w:val="20"/>
              </w:rPr>
            </w:pPr>
            <w:r>
              <w:rPr>
                <w:rFonts w:ascii="Calibri" w:eastAsia="Calibri" w:hAnsi="Calibri" w:cs="Calibri"/>
                <w:sz w:val="20"/>
                <w:szCs w:val="20"/>
              </w:rPr>
              <w:t xml:space="preserve">Powyższe tabele wskaźników </w:t>
            </w:r>
            <w:r w:rsidR="00641FB5">
              <w:rPr>
                <w:rFonts w:ascii="Calibri" w:eastAsia="Calibri" w:hAnsi="Calibri" w:cs="Calibri"/>
                <w:sz w:val="20"/>
                <w:szCs w:val="20"/>
              </w:rPr>
              <w:t>zostaną zweryfikowane w toku prac nad aktualizacją Krajowego Modelu Ruchu GDDKiA.</w:t>
            </w:r>
          </w:p>
          <w:p w14:paraId="2FB9ACD8"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Należy zaznaczyć, że w dużych miastach natężenia ruchu pozostają w zasadzie niezmienne w czasie, z wyjątkiem sytuacji, gdy w planach zagospodarowania przestrzennego, w sąsiedztwie nowej inwestycji przewidziane są realizacje nowych źródeł/celów podróży np. centrum handlowe lub osiedle mieszkaniowe.</w:t>
            </w:r>
          </w:p>
          <w:p w14:paraId="0128ACAB" w14:textId="77777777" w:rsidR="00600DEE" w:rsidRDefault="00600DEE">
            <w:pPr>
              <w:jc w:val="both"/>
              <w:rPr>
                <w:rFonts w:ascii="Calibri" w:eastAsia="Calibri" w:hAnsi="Calibri" w:cs="Calibri"/>
                <w:color w:val="4F81BD"/>
                <w:sz w:val="20"/>
                <w:szCs w:val="20"/>
              </w:rPr>
            </w:pPr>
          </w:p>
          <w:p w14:paraId="6DCB410D" w14:textId="77777777" w:rsidR="00600DEE" w:rsidRDefault="00600DEE">
            <w:pPr>
              <w:jc w:val="both"/>
              <w:rPr>
                <w:rFonts w:ascii="Calibri" w:eastAsia="Calibri" w:hAnsi="Calibri" w:cs="Calibri"/>
                <w:color w:val="4F81BD"/>
                <w:sz w:val="20"/>
                <w:szCs w:val="20"/>
              </w:rPr>
            </w:pPr>
          </w:p>
          <w:p w14:paraId="298B8FF7" w14:textId="77777777" w:rsidR="00600DEE" w:rsidRDefault="00600DEE">
            <w:pPr>
              <w:jc w:val="both"/>
              <w:rPr>
                <w:rFonts w:ascii="Calibri" w:eastAsia="Calibri" w:hAnsi="Calibri" w:cs="Calibri"/>
                <w:color w:val="4F81BD"/>
                <w:sz w:val="20"/>
                <w:szCs w:val="20"/>
              </w:rPr>
            </w:pPr>
          </w:p>
          <w:p w14:paraId="6A1EB8BD"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V. OSZACOWANIE PROGNOZY RUCHU. RAPORTY WYNIKOWE</w:t>
            </w:r>
          </w:p>
          <w:p w14:paraId="37A22BD6" w14:textId="77777777" w:rsidR="00600DEE" w:rsidRDefault="00600DEE">
            <w:pPr>
              <w:jc w:val="both"/>
              <w:rPr>
                <w:rFonts w:ascii="Calibri" w:eastAsia="Calibri" w:hAnsi="Calibri" w:cs="Calibri"/>
                <w:color w:val="4F81BD"/>
                <w:sz w:val="20"/>
                <w:szCs w:val="20"/>
              </w:rPr>
            </w:pPr>
          </w:p>
          <w:p w14:paraId="63789046"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Oszacowanie prognozowanych potoków ruchu na sieci</w:t>
            </w:r>
          </w:p>
          <w:p w14:paraId="2343BDF9" w14:textId="77777777" w:rsidR="00600DEE" w:rsidRDefault="00600DEE">
            <w:pPr>
              <w:jc w:val="both"/>
              <w:rPr>
                <w:rFonts w:ascii="Calibri" w:eastAsia="Calibri" w:hAnsi="Calibri" w:cs="Calibri"/>
                <w:b/>
                <w:sz w:val="20"/>
                <w:szCs w:val="20"/>
              </w:rPr>
            </w:pPr>
          </w:p>
          <w:p w14:paraId="78DBCC8D"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Przy prognozach wykonywanych metodami wskaźnikowymi zazwyczaj nie dopuszcza się przenoszenia na analizowany odcinek ruchu z innych ulic/dróg oraz nie uwzględnia się tzw. ruchu wzbudzonego. Prognozowane natężenie ruchu należy obliczyć jedynie poprzez przemnożenie ruchu istniejącego w roku bazowym przez wskaźniki wzrostu ruchu dla danego obszaru.</w:t>
            </w:r>
          </w:p>
          <w:p w14:paraId="234327E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Wyniki prognoz ruchu należy przedstawić w tabelach, w których zostaną przedstawione natężenia ruchu w podziale na kategorie pojazdów na poszczególnych odcinkach analizowanej inwestycji. Wyniki można ewentualnie także przedstawić w postaci rysunkowej, gdzie zostaną przedstawione potoki pojazdów na poszczególnych odcinkach sieci w korytarzu obejmującym analizowany odcinek.</w:t>
            </w:r>
          </w:p>
          <w:p w14:paraId="625F5562"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lastRenderedPageBreak/>
              <w:t>Dla inwestycji obejmujących budowę odcinków płatnych dróg rekomenduje się przeprowadzenie analiz dla różnych wariantów stawek opłat za przejazd oraz dla wariantu bez opłat. Stawki opłat należy uzgodnić z zarządcą infrastruktury.</w:t>
            </w:r>
          </w:p>
          <w:p w14:paraId="7E5B89D5" w14:textId="77777777" w:rsidR="00600DEE" w:rsidRDefault="00600DEE">
            <w:pPr>
              <w:jc w:val="both"/>
              <w:rPr>
                <w:rFonts w:ascii="Calibri" w:eastAsia="Calibri" w:hAnsi="Calibri" w:cs="Calibri"/>
                <w:color w:val="4F81BD"/>
                <w:sz w:val="20"/>
                <w:szCs w:val="20"/>
              </w:rPr>
            </w:pPr>
          </w:p>
          <w:p w14:paraId="18C3AC8A"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Raporty wynikowe prognozy ruchu</w:t>
            </w:r>
          </w:p>
          <w:p w14:paraId="25BEDCDC" w14:textId="77777777" w:rsidR="00600DEE" w:rsidRDefault="00600DEE">
            <w:pPr>
              <w:jc w:val="both"/>
              <w:rPr>
                <w:rFonts w:ascii="Calibri" w:eastAsia="Calibri" w:hAnsi="Calibri" w:cs="Calibri"/>
                <w:b/>
                <w:color w:val="4F81BD"/>
                <w:sz w:val="20"/>
                <w:szCs w:val="20"/>
              </w:rPr>
            </w:pPr>
          </w:p>
          <w:p w14:paraId="262BBCA4"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wynikach prognoz ruchu oprócz natężenia i prędkości należy podać także strukturę ruchu – zgodnie z przyjętym podziałem na odpowiednie kategorie pojazdów.</w:t>
            </w:r>
          </w:p>
          <w:p w14:paraId="76F09573" w14:textId="77777777" w:rsidR="00600DEE" w:rsidRDefault="00641FB5">
            <w:pPr>
              <w:spacing w:before="120" w:after="120"/>
              <w:jc w:val="both"/>
              <w:rPr>
                <w:rFonts w:ascii="Calibri" w:eastAsia="Calibri" w:hAnsi="Calibri" w:cs="Calibri"/>
                <w:b/>
                <w:sz w:val="20"/>
                <w:szCs w:val="20"/>
              </w:rPr>
            </w:pPr>
            <w:r>
              <w:rPr>
                <w:rFonts w:ascii="Calibri" w:eastAsia="Calibri" w:hAnsi="Calibri" w:cs="Calibri"/>
                <w:sz w:val="20"/>
                <w:szCs w:val="20"/>
              </w:rPr>
              <w:t>Jeżeli infrastruktura drogowa jest elementem (częścią) większego projektu transportu publicznego to całość AKK, jak również prognoza ruchu, winna być wykonana zgodnie z podręcznikiem Niebieskiej Księgi dedykowanej projektom transportu publicznego.</w:t>
            </w:r>
          </w:p>
          <w:p w14:paraId="06A24DA0" w14:textId="043F72A1"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Zgodnie z aktualnymi wymaganiami GDDKiA</w:t>
            </w:r>
            <w:r w:rsidR="00A85726">
              <w:rPr>
                <w:rStyle w:val="Odwoanieprzypisudolnego"/>
                <w:rFonts w:ascii="Calibri" w:eastAsia="Calibri" w:hAnsi="Calibri" w:cs="Calibri"/>
                <w:sz w:val="20"/>
                <w:szCs w:val="20"/>
              </w:rPr>
              <w:footnoteReference w:id="25"/>
            </w:r>
            <w:r w:rsidR="00A85726">
              <w:rPr>
                <w:rFonts w:ascii="Calibri" w:eastAsia="Calibri" w:hAnsi="Calibri" w:cs="Calibri"/>
                <w:sz w:val="20"/>
                <w:szCs w:val="20"/>
              </w:rPr>
              <w:t>*</w:t>
            </w:r>
            <w:r>
              <w:rPr>
                <w:rFonts w:ascii="Calibri" w:eastAsia="Calibri" w:hAnsi="Calibri" w:cs="Calibri"/>
                <w:sz w:val="20"/>
                <w:szCs w:val="20"/>
              </w:rPr>
              <w:t>), następujące elementy powinny znajdować się w raportach wynikowych z prognozy ruchu:</w:t>
            </w:r>
          </w:p>
          <w:p w14:paraId="1B889585"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Wielkości ruchu drogowego, opis warunków ruchu, punktów krytycznych analizowanego układu, podstawowych konfliktów itp. w istniejącym układzie drogowym – dla roku bazowego</w:t>
            </w:r>
          </w:p>
          <w:p w14:paraId="61DCD11A"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Wyniki kalibracji modelu i weryfikacji z wynikami pomiarów w roku bazowym, zgodnie z wymaganiami dostępnymi na stronie internetowej </w:t>
            </w:r>
            <w:hyperlink r:id="rId147">
              <w:r>
                <w:rPr>
                  <w:rFonts w:ascii="Calibri" w:eastAsia="Calibri" w:hAnsi="Calibri" w:cs="Calibri"/>
                  <w:color w:val="0000FF"/>
                  <w:sz w:val="20"/>
                  <w:szCs w:val="20"/>
                  <w:u w:val="single"/>
                </w:rPr>
                <w:t>www.gddkia.gov.pl</w:t>
              </w:r>
            </w:hyperlink>
            <w:r>
              <w:rPr>
                <w:rFonts w:ascii="Calibri" w:eastAsia="Calibri" w:hAnsi="Calibri" w:cs="Calibri"/>
                <w:sz w:val="20"/>
                <w:szCs w:val="20"/>
              </w:rPr>
              <w:t>, w zakładce analizy i prognozy ruchu</w:t>
            </w:r>
          </w:p>
          <w:p w14:paraId="6F4EBEB7"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Prognoza wielkości ruchowych i prognoza warunków ruchu – w istniejącym układzie drogowym (wariant bezinwestycyjny, W0) dla wymaganych horyzontów prognozy</w:t>
            </w:r>
          </w:p>
          <w:p w14:paraId="3AF75E61"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Prognoza wielkości ruchowych oraz prognoza warunków ruchu (tj. określenie prognozowanych poziomów swobody ruchu) dla wariantów planowanej inwestycji, dla wymaganych lat prognozy</w:t>
            </w:r>
          </w:p>
          <w:p w14:paraId="3EEC784B"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lastRenderedPageBreak/>
              <w:t>Porównanie rozkładu długości podróży otrzymanego z modelu i obserwowanego</w:t>
            </w:r>
          </w:p>
          <w:p w14:paraId="10CFB2E9"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Rodzajowa struktura ruchu</w:t>
            </w:r>
          </w:p>
          <w:p w14:paraId="0B0F4A12" w14:textId="5AC75E35"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Kierunkowy rozkład ruchu.</w:t>
            </w:r>
          </w:p>
          <w:p w14:paraId="64995B92" w14:textId="0303B6D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Zalecane jest również dołączenie innych wyników, dotyczących np. czasu podr</w:t>
            </w:r>
            <w:r w:rsidR="003A38F9">
              <w:rPr>
                <w:rFonts w:ascii="Calibri" w:eastAsia="Calibri" w:hAnsi="Calibri" w:cs="Calibri"/>
                <w:sz w:val="20"/>
                <w:szCs w:val="20"/>
              </w:rPr>
              <w:t>ó</w:t>
            </w:r>
            <w:r>
              <w:rPr>
                <w:rFonts w:ascii="Calibri" w:eastAsia="Calibri" w:hAnsi="Calibri" w:cs="Calibri"/>
                <w:sz w:val="20"/>
                <w:szCs w:val="20"/>
              </w:rPr>
              <w:t xml:space="preserve">ży czy też średniej prędkości na poszczególnych odcinkach sieci. </w:t>
            </w:r>
          </w:p>
          <w:p w14:paraId="6A5AD15E" w14:textId="77777777" w:rsidR="00600DEE" w:rsidRDefault="00600DEE">
            <w:pPr>
              <w:jc w:val="both"/>
              <w:rPr>
                <w:rFonts w:ascii="Calibri" w:eastAsia="Calibri" w:hAnsi="Calibri" w:cs="Calibri"/>
                <w:b/>
                <w:color w:val="4F81BD"/>
                <w:sz w:val="20"/>
                <w:szCs w:val="20"/>
              </w:rPr>
            </w:pPr>
          </w:p>
          <w:p w14:paraId="391F017A"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Analiza wyników</w:t>
            </w:r>
          </w:p>
          <w:p w14:paraId="75888899" w14:textId="77777777" w:rsidR="00600DEE" w:rsidRDefault="00600DEE">
            <w:pPr>
              <w:jc w:val="both"/>
              <w:rPr>
                <w:rFonts w:ascii="Calibri" w:eastAsia="Calibri" w:hAnsi="Calibri" w:cs="Calibri"/>
                <w:b/>
                <w:color w:val="4F81BD"/>
                <w:sz w:val="20"/>
                <w:szCs w:val="20"/>
              </w:rPr>
            </w:pPr>
          </w:p>
          <w:p w14:paraId="11ED4946" w14:textId="77777777" w:rsidR="00600DEE" w:rsidRDefault="00641FB5">
            <w:pPr>
              <w:spacing w:before="120"/>
              <w:jc w:val="both"/>
              <w:rPr>
                <w:rFonts w:ascii="Calibri" w:eastAsia="Calibri" w:hAnsi="Calibri" w:cs="Calibri"/>
                <w:sz w:val="20"/>
                <w:szCs w:val="20"/>
              </w:rPr>
            </w:pPr>
            <w:r>
              <w:rPr>
                <w:rFonts w:ascii="Calibri" w:eastAsia="Calibri" w:hAnsi="Calibri" w:cs="Calibri"/>
                <w:sz w:val="20"/>
                <w:szCs w:val="20"/>
              </w:rPr>
              <w:t xml:space="preserve">Otrzymane wyniki powinny spełniać nie tylko kryteria weryfikacji i walidacji, ale również niezbędna jest ich zdroworozsądkowa ocena. Na poszczególnych etapach modelowania i prognozowania należy krytycznie podchodzić do otrzymywanych wyników. Zaobserwowanie nietypowych </w:t>
            </w:r>
            <w:proofErr w:type="spellStart"/>
            <w:r>
              <w:rPr>
                <w:rFonts w:ascii="Calibri" w:eastAsia="Calibri" w:hAnsi="Calibri" w:cs="Calibri"/>
                <w:sz w:val="20"/>
                <w:szCs w:val="20"/>
              </w:rPr>
              <w:t>zachowań</w:t>
            </w:r>
            <w:proofErr w:type="spellEnd"/>
            <w:r>
              <w:rPr>
                <w:rFonts w:ascii="Calibri" w:eastAsia="Calibri" w:hAnsi="Calibri" w:cs="Calibri"/>
                <w:sz w:val="20"/>
                <w:szCs w:val="20"/>
              </w:rPr>
              <w:t xml:space="preserve"> w modelu może pociągać za sobą konieczność ponownego sprawdzenia oraz wprowadzenia ewentualnych poprawek w macierzach sieci transportowej czy też w metodyce obliczeń.</w:t>
            </w:r>
          </w:p>
          <w:p w14:paraId="5720C74A" w14:textId="77777777" w:rsidR="00600DEE" w:rsidRDefault="00600DEE">
            <w:pPr>
              <w:jc w:val="both"/>
              <w:rPr>
                <w:rFonts w:ascii="Calibri" w:eastAsia="Calibri" w:hAnsi="Calibri" w:cs="Calibri"/>
                <w:color w:val="4F81BD"/>
                <w:sz w:val="20"/>
                <w:szCs w:val="20"/>
              </w:rPr>
            </w:pPr>
          </w:p>
          <w:p w14:paraId="1F8A38F4"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Dane wejściowe do AKK</w:t>
            </w:r>
          </w:p>
          <w:p w14:paraId="14B79EAB" w14:textId="77777777" w:rsidR="00600DEE" w:rsidRDefault="00600DEE">
            <w:pPr>
              <w:jc w:val="both"/>
              <w:rPr>
                <w:rFonts w:ascii="Calibri" w:eastAsia="Calibri" w:hAnsi="Calibri" w:cs="Calibri"/>
                <w:color w:val="4F81BD"/>
                <w:sz w:val="20"/>
                <w:szCs w:val="20"/>
              </w:rPr>
            </w:pPr>
          </w:p>
          <w:p w14:paraId="634EB82C" w14:textId="77777777" w:rsidR="00600DEE" w:rsidRDefault="00641FB5">
            <w:pPr>
              <w:spacing w:before="120" w:after="120"/>
              <w:jc w:val="both"/>
              <w:rPr>
                <w:rFonts w:ascii="Calibri" w:eastAsia="Calibri" w:hAnsi="Calibri" w:cs="Calibri"/>
                <w:b/>
                <w:sz w:val="20"/>
                <w:szCs w:val="20"/>
              </w:rPr>
            </w:pPr>
            <w:r>
              <w:rPr>
                <w:rFonts w:ascii="Calibri" w:eastAsia="Calibri" w:hAnsi="Calibri" w:cs="Calibri"/>
                <w:sz w:val="20"/>
                <w:szCs w:val="20"/>
              </w:rPr>
              <w:t>Powyższe raporty stanowią źródło danych niezbędnych do przeprowadzenia analizy AKK. Minimalne wymogi dotyczące zakresu niezbędnych danych znajdują się w rozdziale 1.8 niniejszego podręcznika.</w:t>
            </w:r>
          </w:p>
          <w:p w14:paraId="5DFC56B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 potrzeby obliczeń AKK danymi wejściowymi są:</w:t>
            </w:r>
          </w:p>
          <w:p w14:paraId="34975F15" w14:textId="77777777" w:rsidR="00600DEE" w:rsidRDefault="00641FB5">
            <w:pPr>
              <w:numPr>
                <w:ilvl w:val="0"/>
                <w:numId w:val="8"/>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dane o natężeniach ruchu (SDR) na odcinkach analizowanej sieci, wyrażone w pojazdach /dobę;</w:t>
            </w:r>
          </w:p>
          <w:p w14:paraId="2E276FBD" w14:textId="77777777" w:rsidR="00600DEE" w:rsidRDefault="00641FB5">
            <w:pPr>
              <w:numPr>
                <w:ilvl w:val="0"/>
                <w:numId w:val="8"/>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praca przewozowa/dobę; w podziale w zależności od kategorii pojazdów, prędkości i klasy drogi, wyrażona w: </w:t>
            </w:r>
          </w:p>
          <w:p w14:paraId="39F66799" w14:textId="77777777" w:rsidR="00600DEE" w:rsidRDefault="00641FB5">
            <w:pPr>
              <w:numPr>
                <w:ilvl w:val="1"/>
                <w:numId w:val="11"/>
              </w:numPr>
              <w:spacing w:before="120" w:after="120"/>
              <w:ind w:left="851" w:hanging="425"/>
              <w:jc w:val="both"/>
              <w:rPr>
                <w:rFonts w:ascii="Calibri" w:eastAsia="Calibri" w:hAnsi="Calibri" w:cs="Calibri"/>
                <w:sz w:val="20"/>
                <w:szCs w:val="20"/>
              </w:rPr>
            </w:pPr>
            <w:proofErr w:type="spellStart"/>
            <w:r>
              <w:rPr>
                <w:rFonts w:ascii="Calibri" w:eastAsia="Calibri" w:hAnsi="Calibri" w:cs="Calibri"/>
                <w:sz w:val="20"/>
                <w:szCs w:val="20"/>
              </w:rPr>
              <w:t>pojazdokilometrach</w:t>
            </w:r>
            <w:proofErr w:type="spellEnd"/>
            <w:r>
              <w:rPr>
                <w:rFonts w:ascii="Calibri" w:eastAsia="Calibri" w:hAnsi="Calibri" w:cs="Calibri"/>
                <w:sz w:val="20"/>
                <w:szCs w:val="20"/>
              </w:rPr>
              <w:t xml:space="preserve"> (suma iloczynów natężenia ruchu i długości analizowanych odcinków); i </w:t>
            </w:r>
          </w:p>
          <w:p w14:paraId="3CF12C6D" w14:textId="77777777" w:rsidR="00600DEE" w:rsidRDefault="00641FB5">
            <w:pPr>
              <w:numPr>
                <w:ilvl w:val="1"/>
                <w:numId w:val="11"/>
              </w:numPr>
              <w:spacing w:before="120" w:after="120"/>
              <w:ind w:left="851" w:hanging="425"/>
              <w:jc w:val="both"/>
              <w:rPr>
                <w:rFonts w:ascii="Calibri" w:eastAsia="Calibri" w:hAnsi="Calibri" w:cs="Calibri"/>
                <w:sz w:val="20"/>
                <w:szCs w:val="20"/>
              </w:rPr>
            </w:pPr>
            <w:r>
              <w:rPr>
                <w:rFonts w:ascii="Calibri" w:eastAsia="Calibri" w:hAnsi="Calibri" w:cs="Calibri"/>
                <w:sz w:val="20"/>
                <w:szCs w:val="20"/>
              </w:rPr>
              <w:t xml:space="preserve">w </w:t>
            </w:r>
            <w:proofErr w:type="spellStart"/>
            <w:r>
              <w:rPr>
                <w:rFonts w:ascii="Calibri" w:eastAsia="Calibri" w:hAnsi="Calibri" w:cs="Calibri"/>
                <w:sz w:val="20"/>
                <w:szCs w:val="20"/>
              </w:rPr>
              <w:t>pojazdogodzinach</w:t>
            </w:r>
            <w:proofErr w:type="spellEnd"/>
            <w:r>
              <w:rPr>
                <w:rFonts w:ascii="Calibri" w:eastAsia="Calibri" w:hAnsi="Calibri" w:cs="Calibri"/>
                <w:sz w:val="20"/>
                <w:szCs w:val="20"/>
              </w:rPr>
              <w:t xml:space="preserve"> (suma iloczynów natężenia ruchu i czasu potrzebnego na pokonanie danego odcinka). </w:t>
            </w:r>
          </w:p>
          <w:p w14:paraId="0B423541" w14:textId="77777777" w:rsidR="00600DEE" w:rsidRDefault="00641FB5">
            <w:pPr>
              <w:spacing w:before="120" w:after="120"/>
              <w:jc w:val="both"/>
              <w:rPr>
                <w:rFonts w:ascii="Calibri" w:eastAsia="Calibri" w:hAnsi="Calibri" w:cs="Calibri"/>
                <w:b/>
                <w:sz w:val="20"/>
                <w:szCs w:val="20"/>
              </w:rPr>
            </w:pPr>
            <w:r>
              <w:rPr>
                <w:rFonts w:ascii="Calibri" w:eastAsia="Calibri" w:hAnsi="Calibri" w:cs="Calibri"/>
                <w:b/>
                <w:sz w:val="20"/>
                <w:szCs w:val="20"/>
              </w:rPr>
              <w:lastRenderedPageBreak/>
              <w:t>Dane te powinny dotyczyć wyłącznie zdefiniowanego obszaru oddziaływania projektu, (np. bufora) dla całego okresu referencyjnego; najlepiej w formie tabelarycznej. Pracę przewozową należy zaprezentować w formie tabelarycznej.</w:t>
            </w:r>
          </w:p>
          <w:p w14:paraId="0601C86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Należy pamiętać o zachowaniu zasady tej samej ilości pojazdów (podróży) w buforze zarówno w wariancie W0, jak i </w:t>
            </w:r>
            <w:proofErr w:type="spellStart"/>
            <w:r>
              <w:rPr>
                <w:rFonts w:ascii="Calibri" w:eastAsia="Calibri" w:hAnsi="Calibri" w:cs="Calibri"/>
                <w:sz w:val="20"/>
                <w:szCs w:val="20"/>
              </w:rPr>
              <w:t>Wn</w:t>
            </w:r>
            <w:proofErr w:type="spellEnd"/>
            <w:r>
              <w:rPr>
                <w:rFonts w:ascii="Calibri" w:eastAsia="Calibri" w:hAnsi="Calibri" w:cs="Calibri"/>
                <w:sz w:val="20"/>
                <w:szCs w:val="20"/>
              </w:rPr>
              <w:t>.</w:t>
            </w:r>
          </w:p>
          <w:p w14:paraId="0D72877E"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O ile taki parametr, jak długość odcinka (długości odcinków jednorodnych ruchowo, na sieci dróg) jest prosty do uzyskania, to obliczenie czasu przejazdu wymaga skorzystania z tabel prędkości zawartych w wewnętrznym Przewodniku do AKK (opublikowanym przez GDDKiA w 2021 r.), zastępującym dotychczas stosowaną Instrukcję </w:t>
            </w:r>
            <w:proofErr w:type="spellStart"/>
            <w:r>
              <w:rPr>
                <w:rFonts w:ascii="Calibri" w:eastAsia="Calibri" w:hAnsi="Calibri" w:cs="Calibri"/>
                <w:sz w:val="20"/>
                <w:szCs w:val="20"/>
              </w:rPr>
              <w:t>IBDiM</w:t>
            </w:r>
            <w:proofErr w:type="spellEnd"/>
            <w:r>
              <w:rPr>
                <w:rFonts w:ascii="Calibri" w:eastAsia="Calibri" w:hAnsi="Calibri" w:cs="Calibri"/>
                <w:sz w:val="20"/>
                <w:szCs w:val="20"/>
              </w:rPr>
              <w:t xml:space="preserve"> z 2008 r. Dla sieci dróg czynności obliczeniowe wykonuje się przy pomocy specjalistycznego oprogramowania. W tym przypadku ważne jest odpowiednie kodowanie parametrów odcinków w obszarach objętych analizą w celu zróżnicowania pracy przewozowej na drogach różnych klas </w:t>
            </w:r>
          </w:p>
          <w:p w14:paraId="7DC49F5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Ze względu na wymagania analizy AKK zestawienia pracy przewozowej z modelu powinny być opracowane dla różnych klas prędkości (chyba, że stosuje się metodę uproszczoną modelowania ruchu - wówczas prędkości potoków należy obliczyć na podstawie tabel prędkości z Przewodnika GDDKiA do AKK.</w:t>
            </w:r>
          </w:p>
          <w:p w14:paraId="7B220A78"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Podział na przedziały prędkości należy zróżnicować w zależności od lokalizacji inwestycji. w przypadku dróg zamiejskich należy przyjąć co najmniej następujące przedziały:</w:t>
            </w:r>
          </w:p>
          <w:p w14:paraId="63F8A895"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&lt;30 km/h</w:t>
            </w:r>
          </w:p>
          <w:p w14:paraId="55685A3B"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30 ÷ 50 km/h</w:t>
            </w:r>
          </w:p>
          <w:p w14:paraId="1F5A7E2D"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51 ÷ 70 km/h</w:t>
            </w:r>
          </w:p>
          <w:p w14:paraId="6DA737AC"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71 ÷ 90 km/h</w:t>
            </w:r>
          </w:p>
          <w:p w14:paraId="430FAB95"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91 ÷ 110  km/h</w:t>
            </w:r>
          </w:p>
          <w:p w14:paraId="4B3654C3"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&gt; 110 km/h</w:t>
            </w:r>
          </w:p>
          <w:p w14:paraId="7E5E8A50"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Dla inwestycji zamiejskich należy wydzielić co najmniej następujące kategorie dróg na potrzeby prezentacji wyników analizy ruchu, wyrażonych w pracy przewozowej dla danego obszaru oddziaływania projektu (bufora):</w:t>
            </w:r>
          </w:p>
          <w:p w14:paraId="0BED183A"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Autostrady (A)</w:t>
            </w:r>
          </w:p>
          <w:p w14:paraId="21C7119C" w14:textId="6F34E44E"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Ekspresowe dwujezdniowe (S)</w:t>
            </w:r>
          </w:p>
          <w:p w14:paraId="6CFB4B69" w14:textId="0A1A3761"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lastRenderedPageBreak/>
              <w:t>Ekspresowe jednojezdniowe (S1</w:t>
            </w:r>
            <w:r w:rsidR="006C5DD9">
              <w:rPr>
                <w:rFonts w:ascii="Calibri" w:eastAsia="Calibri" w:hAnsi="Calibri" w:cs="Calibri"/>
                <w:sz w:val="20"/>
                <w:szCs w:val="20"/>
              </w:rPr>
              <w:t>x2</w:t>
            </w:r>
            <w:r>
              <w:rPr>
                <w:rFonts w:ascii="Calibri" w:eastAsia="Calibri" w:hAnsi="Calibri" w:cs="Calibri"/>
                <w:sz w:val="20"/>
                <w:szCs w:val="20"/>
              </w:rPr>
              <w:t>) w tym z dodatkowym pasem ruchu (S2+1)</w:t>
            </w:r>
          </w:p>
          <w:p w14:paraId="7F88EEC1"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Pozostałe krajowe i wojewódzkie dwujezdniowe </w:t>
            </w:r>
          </w:p>
          <w:p w14:paraId="433C6CCE"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Pozostałe krajowe i wojewódzkie jednojezdniowe </w:t>
            </w:r>
          </w:p>
          <w:p w14:paraId="0026FD12"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Odcinki miejskie</w:t>
            </w:r>
          </w:p>
          <w:p w14:paraId="72C7540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Inne</w:t>
            </w:r>
          </w:p>
          <w:p w14:paraId="63EFB576" w14:textId="647FE4B1"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Przyjęty powyżej podział jest w zasadzie zgodny z głównym podziałem na kategorie odcinków, jaki zost</w:t>
            </w:r>
            <w:r w:rsidR="00A85726">
              <w:rPr>
                <w:rFonts w:ascii="Calibri" w:eastAsia="Calibri" w:hAnsi="Calibri" w:cs="Calibri"/>
                <w:sz w:val="20"/>
                <w:szCs w:val="20"/>
              </w:rPr>
              <w:t xml:space="preserve">ał zastosowany w Intermodalnym </w:t>
            </w:r>
            <w:r>
              <w:rPr>
                <w:rFonts w:ascii="Calibri" w:eastAsia="Calibri" w:hAnsi="Calibri" w:cs="Calibri"/>
                <w:sz w:val="20"/>
                <w:szCs w:val="20"/>
              </w:rPr>
              <w:t xml:space="preserve">Krajowym Modelu Ruchu udostępnianym przez GDDKiA, dodatkowo uwzględniono kategorię S2+1. </w:t>
            </w:r>
          </w:p>
          <w:p w14:paraId="7E11502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przypadku inwestycji miejskich należy przyjąć co najmniej następujące przedziały prędkości.</w:t>
            </w:r>
          </w:p>
          <w:p w14:paraId="793CAB4D"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&lt;10 km/h</w:t>
            </w:r>
          </w:p>
          <w:p w14:paraId="27849F96"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10 ÷ 30 km/h</w:t>
            </w:r>
          </w:p>
          <w:p w14:paraId="25EB05A6"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31 ÷ 50 km/h</w:t>
            </w:r>
          </w:p>
          <w:p w14:paraId="44448812"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51 ÷ 60 km/h</w:t>
            </w:r>
          </w:p>
          <w:p w14:paraId="1425016B"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61 ÷ 80 km/h</w:t>
            </w:r>
          </w:p>
          <w:p w14:paraId="6AB4286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&gt; 80 km/h</w:t>
            </w:r>
          </w:p>
          <w:p w14:paraId="1C7F030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Powyższe przedziały prędkości na ulicach miejskich należy przyporządkować co najmniej do następujących kategorii odcinków.</w:t>
            </w:r>
          </w:p>
          <w:p w14:paraId="4FA34CC7"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ekspresowe (S)</w:t>
            </w:r>
          </w:p>
          <w:p w14:paraId="46C53B1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główne ruchu przyspieszonego (GP)</w:t>
            </w:r>
          </w:p>
          <w:p w14:paraId="1778E887"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główne (G)</w:t>
            </w:r>
          </w:p>
          <w:p w14:paraId="147D5099"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zbiorcze (Z)</w:t>
            </w:r>
          </w:p>
          <w:p w14:paraId="2689B0F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Ważne jest, aby w kategorii ulic GP uwzględnić również aspekt kolizyjności/ bezkolizyjności danego odcinka z przecinającymi drogami.</w:t>
            </w:r>
          </w:p>
          <w:p w14:paraId="0B577E41" w14:textId="77777777" w:rsidR="00600DEE" w:rsidRDefault="00641FB5">
            <w:pPr>
              <w:tabs>
                <w:tab w:val="left" w:pos="5160"/>
              </w:tabs>
              <w:spacing w:before="120" w:after="120"/>
              <w:ind w:right="170"/>
              <w:rPr>
                <w:rFonts w:ascii="Calibri" w:eastAsia="Calibri" w:hAnsi="Calibri" w:cs="Calibri"/>
                <w:b/>
                <w:color w:val="323299"/>
              </w:rPr>
            </w:pPr>
            <w:r>
              <w:rPr>
                <w:rFonts w:ascii="Calibri" w:eastAsia="Calibri" w:hAnsi="Calibri" w:cs="Calibri"/>
                <w:sz w:val="20"/>
                <w:szCs w:val="20"/>
              </w:rPr>
              <w:t>Obszar analizy obejmujący sieć dróg z obszaru oddziaływania projektu, dla której wyliczono natężenia ruchu oraz prace przewozowe należy przedstawić w formie graficznej i opisowej.</w:t>
            </w:r>
          </w:p>
        </w:tc>
        <w:tc>
          <w:tcPr>
            <w:tcW w:w="7201" w:type="dxa"/>
            <w:tcBorders>
              <w:left w:val="single" w:sz="4" w:space="0" w:color="000000"/>
            </w:tcBorders>
            <w:tcMar>
              <w:left w:w="284" w:type="dxa"/>
              <w:right w:w="284" w:type="dxa"/>
            </w:tcMar>
          </w:tcPr>
          <w:p w14:paraId="36933AC3"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 xml:space="preserve">Stages of traffic forecasting – description, basic assumptions and recommendations </w:t>
            </w:r>
          </w:p>
          <w:p w14:paraId="07BA0D94" w14:textId="77777777" w:rsidR="00600DEE" w:rsidRPr="0045151D" w:rsidRDefault="00600DEE">
            <w:pPr>
              <w:jc w:val="both"/>
              <w:rPr>
                <w:rFonts w:ascii="Calibri" w:eastAsia="Calibri" w:hAnsi="Calibri" w:cs="Calibri"/>
                <w:color w:val="4F81BD"/>
                <w:sz w:val="20"/>
                <w:szCs w:val="20"/>
                <w:lang w:val="en-GB"/>
              </w:rPr>
            </w:pPr>
          </w:p>
          <w:p w14:paraId="07A7A0FD"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 DEFINING THE SCOPE OF THE MODEL</w:t>
            </w:r>
          </w:p>
          <w:p w14:paraId="44D7C28E" w14:textId="77777777" w:rsidR="00600DEE" w:rsidRPr="0045151D" w:rsidRDefault="00600DEE">
            <w:pPr>
              <w:jc w:val="both"/>
              <w:rPr>
                <w:rFonts w:ascii="Calibri" w:eastAsia="Calibri" w:hAnsi="Calibri" w:cs="Calibri"/>
                <w:color w:val="4F81BD"/>
                <w:sz w:val="20"/>
                <w:szCs w:val="20"/>
                <w:lang w:val="en-GB"/>
              </w:rPr>
            </w:pPr>
          </w:p>
          <w:p w14:paraId="244FA7B7"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Extent of network</w:t>
            </w:r>
          </w:p>
          <w:p w14:paraId="1EE1E110" w14:textId="77777777" w:rsidR="00600DEE" w:rsidRPr="0045151D" w:rsidRDefault="00600DEE">
            <w:pPr>
              <w:jc w:val="both"/>
              <w:rPr>
                <w:rFonts w:ascii="Calibri" w:eastAsia="Calibri" w:hAnsi="Calibri" w:cs="Calibri"/>
                <w:sz w:val="20"/>
                <w:szCs w:val="20"/>
                <w:lang w:val="en-GB"/>
              </w:rPr>
            </w:pPr>
          </w:p>
          <w:p w14:paraId="5A83E486"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For the vast majority of non-urban road projects, the road model usually covers the whole country or region/regions, depending on the project nature. Consequently, the National Traffic Model which is owned and made available by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may be used. This model covers the whole network of national and voivodeship roads, domestic rail and airports networks. </w:t>
            </w:r>
          </w:p>
          <w:p w14:paraId="10E2CDFC" w14:textId="77777777" w:rsidR="00600DEE" w:rsidRPr="0045151D" w:rsidRDefault="00641FB5">
            <w:pPr>
              <w:jc w:val="both"/>
              <w:rPr>
                <w:rFonts w:ascii="Calibri" w:eastAsia="Calibri" w:hAnsi="Calibri" w:cs="Calibri"/>
                <w:sz w:val="20"/>
                <w:szCs w:val="20"/>
                <w:lang w:val="en-GB"/>
              </w:rPr>
            </w:pPr>
            <w:proofErr w:type="spellStart"/>
            <w:r w:rsidRPr="0045151D">
              <w:rPr>
                <w:rFonts w:ascii="Calibri" w:eastAsia="Calibri" w:hAnsi="Calibri" w:cs="Calibri"/>
                <w:sz w:val="20"/>
                <w:szCs w:val="20"/>
                <w:lang w:val="en-GB"/>
              </w:rPr>
              <w:t>GDDKiA’s</w:t>
            </w:r>
            <w:proofErr w:type="spellEnd"/>
            <w:r w:rsidRPr="0045151D">
              <w:rPr>
                <w:rFonts w:ascii="Calibri" w:eastAsia="Calibri" w:hAnsi="Calibri" w:cs="Calibri"/>
                <w:sz w:val="20"/>
                <w:szCs w:val="20"/>
                <w:lang w:val="en-GB"/>
              </w:rPr>
              <w:t xml:space="preserve"> current traffic model is not suitable for direct use. It is a base model which may be used together with specialized traffic modelling software, adjusting its validity and detail level to current situation and project characteristics.  </w:t>
            </w:r>
          </w:p>
          <w:p w14:paraId="68050633" w14:textId="77777777" w:rsidR="00600DEE" w:rsidRPr="0045151D" w:rsidRDefault="00600DEE">
            <w:pPr>
              <w:jc w:val="both"/>
              <w:rPr>
                <w:rFonts w:ascii="Calibri" w:eastAsia="Calibri" w:hAnsi="Calibri" w:cs="Calibri"/>
                <w:sz w:val="20"/>
                <w:szCs w:val="20"/>
                <w:lang w:val="en-GB"/>
              </w:rPr>
            </w:pPr>
          </w:p>
          <w:p w14:paraId="23CBC193"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For urban investments, the traffic forecasts should be prepared on the basis of a traffic model which covers, at least, the city borders. For key transport investments and those in major cities (more than 300 000 residents), the model should be expanded to the area adjacent to the city which has an influence on the city traffic volume.</w:t>
            </w:r>
          </w:p>
          <w:p w14:paraId="5ACDDF38" w14:textId="77777777" w:rsidR="00600DEE" w:rsidRPr="0045151D" w:rsidRDefault="00600DEE">
            <w:pPr>
              <w:jc w:val="both"/>
              <w:rPr>
                <w:rFonts w:ascii="Calibri" w:eastAsia="Calibri" w:hAnsi="Calibri" w:cs="Calibri"/>
                <w:sz w:val="20"/>
                <w:szCs w:val="20"/>
                <w:lang w:val="en-GB"/>
              </w:rPr>
            </w:pPr>
          </w:p>
          <w:p w14:paraId="26F957BD"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Then, for the purposes of economic-financial analysis, it is useful to identify the project impact area, also called a buffer (as defined in “Definitions and </w:t>
            </w:r>
            <w:proofErr w:type="spellStart"/>
            <w:r w:rsidRPr="0045151D">
              <w:rPr>
                <w:rFonts w:ascii="Calibri" w:eastAsia="Calibri" w:hAnsi="Calibri" w:cs="Calibri"/>
                <w:sz w:val="20"/>
                <w:szCs w:val="20"/>
                <w:lang w:val="en-GB"/>
              </w:rPr>
              <w:t>Acronims</w:t>
            </w:r>
            <w:proofErr w:type="spellEnd"/>
            <w:r w:rsidRPr="0045151D">
              <w:rPr>
                <w:rFonts w:ascii="Calibri" w:eastAsia="Calibri" w:hAnsi="Calibri" w:cs="Calibri"/>
                <w:sz w:val="20"/>
                <w:szCs w:val="20"/>
                <w:lang w:val="en-GB"/>
              </w:rPr>
              <w:t>” section), which will constitute the basis for required traffic forecast input data.</w:t>
            </w:r>
          </w:p>
          <w:p w14:paraId="46A7B2D2" w14:textId="77777777" w:rsidR="00600DEE" w:rsidRPr="0045151D" w:rsidRDefault="00600DEE">
            <w:pPr>
              <w:jc w:val="both"/>
              <w:rPr>
                <w:rFonts w:ascii="Calibri" w:eastAsia="Calibri" w:hAnsi="Calibri" w:cs="Calibri"/>
                <w:sz w:val="20"/>
                <w:szCs w:val="20"/>
                <w:lang w:val="en-GB"/>
              </w:rPr>
            </w:pPr>
          </w:p>
          <w:p w14:paraId="2A83EEDE"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For road reconstruction projects, for which it is possible to prepare a simplified traffic forecast with the indicator method, the forecast should only cover the section of the road/street being analysed.</w:t>
            </w:r>
          </w:p>
          <w:p w14:paraId="226F868E" w14:textId="77777777" w:rsidR="00600DEE" w:rsidRPr="0045151D" w:rsidRDefault="00600DEE">
            <w:pPr>
              <w:jc w:val="both"/>
              <w:rPr>
                <w:rFonts w:ascii="Calibri" w:eastAsia="Calibri" w:hAnsi="Calibri" w:cs="Calibri"/>
                <w:sz w:val="20"/>
                <w:szCs w:val="20"/>
                <w:lang w:val="en-GB"/>
              </w:rPr>
            </w:pPr>
          </w:p>
          <w:p w14:paraId="2B89A923" w14:textId="77777777" w:rsidR="00600DEE" w:rsidRPr="0045151D" w:rsidRDefault="00600DEE">
            <w:pPr>
              <w:jc w:val="both"/>
              <w:rPr>
                <w:rFonts w:ascii="Calibri" w:eastAsia="Calibri" w:hAnsi="Calibri" w:cs="Calibri"/>
                <w:b/>
                <w:color w:val="323299"/>
                <w:sz w:val="20"/>
                <w:szCs w:val="20"/>
                <w:lang w:val="en-GB"/>
              </w:rPr>
            </w:pPr>
          </w:p>
          <w:p w14:paraId="5B2A7C5B" w14:textId="77777777" w:rsidR="00600DEE" w:rsidRPr="0045151D" w:rsidRDefault="00600DEE">
            <w:pPr>
              <w:jc w:val="both"/>
              <w:rPr>
                <w:rFonts w:ascii="Calibri" w:eastAsia="Calibri" w:hAnsi="Calibri" w:cs="Calibri"/>
                <w:b/>
                <w:color w:val="323299"/>
                <w:sz w:val="20"/>
                <w:szCs w:val="20"/>
                <w:lang w:val="en-GB"/>
              </w:rPr>
            </w:pPr>
          </w:p>
          <w:p w14:paraId="07F18455" w14:textId="77777777" w:rsidR="00600DEE" w:rsidRPr="0045151D" w:rsidRDefault="00600DEE">
            <w:pPr>
              <w:jc w:val="both"/>
              <w:rPr>
                <w:rFonts w:ascii="Calibri" w:eastAsia="Calibri" w:hAnsi="Calibri" w:cs="Calibri"/>
                <w:b/>
                <w:color w:val="323299"/>
                <w:sz w:val="20"/>
                <w:szCs w:val="20"/>
                <w:lang w:val="en-GB"/>
              </w:rPr>
            </w:pPr>
          </w:p>
          <w:p w14:paraId="576E591D" w14:textId="77777777" w:rsidR="00600DEE" w:rsidRPr="0045151D" w:rsidRDefault="00600DEE">
            <w:pPr>
              <w:jc w:val="both"/>
              <w:rPr>
                <w:rFonts w:ascii="Calibri" w:eastAsia="Calibri" w:hAnsi="Calibri" w:cs="Calibri"/>
                <w:b/>
                <w:color w:val="323299"/>
                <w:sz w:val="20"/>
                <w:szCs w:val="20"/>
                <w:lang w:val="en-GB"/>
              </w:rPr>
            </w:pPr>
          </w:p>
          <w:p w14:paraId="3CD0EF03" w14:textId="77777777" w:rsidR="00C77DFC" w:rsidRPr="0045151D" w:rsidRDefault="00C77DFC">
            <w:pPr>
              <w:jc w:val="both"/>
              <w:rPr>
                <w:rFonts w:ascii="Calibri" w:eastAsia="Calibri" w:hAnsi="Calibri" w:cs="Calibri"/>
                <w:b/>
                <w:color w:val="4F81BD"/>
                <w:sz w:val="20"/>
                <w:szCs w:val="20"/>
                <w:lang w:val="en-GB"/>
              </w:rPr>
            </w:pPr>
          </w:p>
          <w:p w14:paraId="39AF006D" w14:textId="77777777" w:rsidR="00C77DFC" w:rsidRPr="0045151D" w:rsidRDefault="00C77DFC">
            <w:pPr>
              <w:jc w:val="both"/>
              <w:rPr>
                <w:rFonts w:ascii="Calibri" w:eastAsia="Calibri" w:hAnsi="Calibri" w:cs="Calibri"/>
                <w:b/>
                <w:color w:val="4F81BD"/>
                <w:sz w:val="20"/>
                <w:szCs w:val="20"/>
                <w:lang w:val="en-GB"/>
              </w:rPr>
            </w:pPr>
          </w:p>
          <w:p w14:paraId="3F5D9C21" w14:textId="366E1F2E"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Network details. Zone system</w:t>
            </w:r>
          </w:p>
          <w:p w14:paraId="053B7BBA" w14:textId="77777777" w:rsidR="00600DEE" w:rsidRPr="0045151D" w:rsidRDefault="00600DEE">
            <w:pPr>
              <w:jc w:val="both"/>
              <w:rPr>
                <w:rFonts w:ascii="Calibri" w:eastAsia="Calibri" w:hAnsi="Calibri" w:cs="Calibri"/>
                <w:sz w:val="20"/>
                <w:szCs w:val="20"/>
                <w:lang w:val="en-GB"/>
              </w:rPr>
            </w:pPr>
          </w:p>
          <w:p w14:paraId="56064AF6"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For national and voivodeship road investments, it is recommended to use the transport  network model included in the Multimodal National Traffic Model available from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The model contains information about traffic on the national and voivodeship road network broken down into powiats [counties]. The information is in the form of text files readable by specialised </w:t>
            </w:r>
            <w:proofErr w:type="spellStart"/>
            <w:r w:rsidRPr="0045151D">
              <w:rPr>
                <w:rFonts w:ascii="Calibri" w:eastAsia="Calibri" w:hAnsi="Calibri" w:cs="Calibri"/>
                <w:sz w:val="20"/>
                <w:szCs w:val="20"/>
                <w:lang w:val="en-GB"/>
              </w:rPr>
              <w:t>softwares</w:t>
            </w:r>
            <w:proofErr w:type="spellEnd"/>
            <w:r w:rsidRPr="0045151D">
              <w:rPr>
                <w:rFonts w:ascii="Calibri" w:eastAsia="Calibri" w:hAnsi="Calibri" w:cs="Calibri"/>
                <w:sz w:val="20"/>
                <w:szCs w:val="20"/>
                <w:lang w:val="en-GB"/>
              </w:rPr>
              <w:t xml:space="preserve">. The information may have to be updated to include local roads in the vicinity of the analysed project. </w:t>
            </w:r>
          </w:p>
          <w:p w14:paraId="4A76A8A4" w14:textId="6A2F0C81" w:rsidR="00600DEE" w:rsidRPr="0045151D" w:rsidRDefault="00600DEE">
            <w:pPr>
              <w:jc w:val="both"/>
              <w:rPr>
                <w:rFonts w:ascii="Calibri" w:eastAsia="Calibri" w:hAnsi="Calibri" w:cs="Calibri"/>
                <w:sz w:val="20"/>
                <w:szCs w:val="20"/>
                <w:lang w:val="en-GB"/>
              </w:rPr>
            </w:pPr>
          </w:p>
          <w:p w14:paraId="1BC4B8AD" w14:textId="77777777" w:rsidR="00C77DFC" w:rsidRPr="0045151D" w:rsidRDefault="00C77DFC">
            <w:pPr>
              <w:jc w:val="both"/>
              <w:rPr>
                <w:rFonts w:ascii="Calibri" w:eastAsia="Calibri" w:hAnsi="Calibri" w:cs="Calibri"/>
                <w:sz w:val="20"/>
                <w:szCs w:val="20"/>
                <w:lang w:val="en-GB"/>
              </w:rPr>
            </w:pPr>
          </w:p>
          <w:p w14:paraId="45307D49"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following information should be provided, if a model different than the National Traffic Model is used in the CBA:</w:t>
            </w:r>
          </w:p>
          <w:p w14:paraId="70432DF6" w14:textId="77777777" w:rsidR="00600DEE" w:rsidRPr="0045151D" w:rsidRDefault="00641FB5" w:rsidP="00D5736B">
            <w:pPr>
              <w:numPr>
                <w:ilvl w:val="0"/>
                <w:numId w:val="80"/>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adopted division into road categories,</w:t>
            </w:r>
          </w:p>
          <w:p w14:paraId="5C472B67" w14:textId="7130F98D" w:rsidR="00600DEE" w:rsidRPr="0045151D" w:rsidRDefault="00641FB5" w:rsidP="00D5736B">
            <w:pPr>
              <w:numPr>
                <w:ilvl w:val="0"/>
                <w:numId w:val="80"/>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technical parameters of particular categories of road sections including, among others, the adopted section resistance functions</w:t>
            </w:r>
            <w:r w:rsidR="00B95FB9" w:rsidRPr="00B95FB9">
              <w:rPr>
                <w:rFonts w:ascii="Calibri" w:eastAsia="Calibri" w:hAnsi="Calibri" w:cs="Calibri"/>
                <w:sz w:val="20"/>
                <w:szCs w:val="20"/>
                <w:vertAlign w:val="superscript"/>
                <w:lang w:val="en-GB"/>
              </w:rPr>
              <w:t>23</w:t>
            </w:r>
            <w:r w:rsidRPr="0045151D">
              <w:rPr>
                <w:rFonts w:ascii="Calibri" w:eastAsia="Calibri" w:hAnsi="Calibri" w:cs="Calibri"/>
                <w:sz w:val="20"/>
                <w:szCs w:val="20"/>
                <w:lang w:val="en-GB"/>
              </w:rPr>
              <w:t>,</w:t>
            </w:r>
          </w:p>
          <w:p w14:paraId="31590422" w14:textId="77777777" w:rsidR="00600DEE" w:rsidRDefault="00641FB5" w:rsidP="00D5736B">
            <w:pPr>
              <w:numPr>
                <w:ilvl w:val="0"/>
                <w:numId w:val="80"/>
              </w:numPr>
              <w:spacing w:before="120" w:after="120"/>
              <w:ind w:left="709" w:hanging="709"/>
              <w:jc w:val="both"/>
              <w:rPr>
                <w:rFonts w:ascii="Calibri" w:eastAsia="Calibri" w:hAnsi="Calibri" w:cs="Calibri"/>
                <w:sz w:val="20"/>
                <w:szCs w:val="20"/>
              </w:rPr>
            </w:pPr>
            <w:proofErr w:type="spellStart"/>
            <w:r>
              <w:rPr>
                <w:rFonts w:ascii="Calibri" w:eastAsia="Calibri" w:hAnsi="Calibri" w:cs="Calibri"/>
                <w:sz w:val="20"/>
                <w:szCs w:val="20"/>
              </w:rPr>
              <w:t>adopted</w:t>
            </w:r>
            <w:proofErr w:type="spellEnd"/>
            <w:r>
              <w:rPr>
                <w:rFonts w:ascii="Calibri" w:eastAsia="Calibri" w:hAnsi="Calibri" w:cs="Calibri"/>
                <w:sz w:val="20"/>
                <w:szCs w:val="20"/>
              </w:rPr>
              <w:t xml:space="preserve"> transport </w:t>
            </w:r>
            <w:proofErr w:type="spellStart"/>
            <w:r>
              <w:rPr>
                <w:rFonts w:ascii="Calibri" w:eastAsia="Calibri" w:hAnsi="Calibri" w:cs="Calibri"/>
                <w:sz w:val="20"/>
                <w:szCs w:val="20"/>
              </w:rPr>
              <w:t>zoning</w:t>
            </w:r>
            <w:proofErr w:type="spellEnd"/>
            <w:r>
              <w:rPr>
                <w:rFonts w:ascii="Calibri" w:eastAsia="Calibri" w:hAnsi="Calibri" w:cs="Calibri"/>
                <w:sz w:val="20"/>
                <w:szCs w:val="20"/>
              </w:rPr>
              <w:t xml:space="preserve"> system,</w:t>
            </w:r>
          </w:p>
          <w:p w14:paraId="3F004D8A" w14:textId="77777777" w:rsidR="00600DEE" w:rsidRDefault="00641FB5" w:rsidP="00D5736B">
            <w:pPr>
              <w:numPr>
                <w:ilvl w:val="0"/>
                <w:numId w:val="80"/>
              </w:numPr>
              <w:spacing w:before="120" w:after="120"/>
              <w:ind w:left="709" w:hanging="709"/>
              <w:jc w:val="both"/>
              <w:rPr>
                <w:rFonts w:ascii="Calibri" w:eastAsia="Calibri" w:hAnsi="Calibri" w:cs="Calibri"/>
                <w:sz w:val="20"/>
                <w:szCs w:val="20"/>
              </w:rPr>
            </w:pPr>
            <w:proofErr w:type="spellStart"/>
            <w:r>
              <w:rPr>
                <w:rFonts w:ascii="Calibri" w:eastAsia="Calibri" w:hAnsi="Calibri" w:cs="Calibri"/>
                <w:sz w:val="20"/>
                <w:szCs w:val="20"/>
              </w:rPr>
              <w:t>charges</w:t>
            </w:r>
            <w:proofErr w:type="spellEnd"/>
            <w:r>
              <w:rPr>
                <w:rFonts w:ascii="Calibri" w:eastAsia="Calibri" w:hAnsi="Calibri" w:cs="Calibri"/>
                <w:sz w:val="20"/>
                <w:szCs w:val="20"/>
              </w:rPr>
              <w:t xml:space="preserve"> for </w:t>
            </w:r>
            <w:proofErr w:type="spellStart"/>
            <w:r>
              <w:rPr>
                <w:rFonts w:ascii="Calibri" w:eastAsia="Calibri" w:hAnsi="Calibri" w:cs="Calibri"/>
                <w:sz w:val="20"/>
                <w:szCs w:val="20"/>
              </w:rPr>
              <w:t>infrastructure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use</w:t>
            </w:r>
            <w:proofErr w:type="spellEnd"/>
            <w:r>
              <w:rPr>
                <w:rFonts w:ascii="Calibri" w:eastAsia="Calibri" w:hAnsi="Calibri" w:cs="Calibri"/>
                <w:sz w:val="20"/>
                <w:szCs w:val="20"/>
              </w:rPr>
              <w:t>.</w:t>
            </w:r>
          </w:p>
          <w:p w14:paraId="09AB8206"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In case of urban areas, it is recommended to use existing models from local authorities, if available. The model of the street network must include, at least, all streets within city limits, including local collector roads. The required information about the network model description must be the same as for non-urban roads.</w:t>
            </w:r>
          </w:p>
          <w:p w14:paraId="13A7E052" w14:textId="77777777" w:rsidR="00600DEE" w:rsidRPr="0045151D" w:rsidRDefault="00600DEE">
            <w:pPr>
              <w:jc w:val="both"/>
              <w:rPr>
                <w:rFonts w:ascii="Calibri" w:eastAsia="Calibri" w:hAnsi="Calibri" w:cs="Calibri"/>
                <w:b/>
                <w:color w:val="323299"/>
                <w:sz w:val="20"/>
                <w:szCs w:val="20"/>
                <w:lang w:val="en-GB"/>
              </w:rPr>
            </w:pPr>
          </w:p>
          <w:p w14:paraId="2A556FD9" w14:textId="77777777" w:rsidR="00600DEE" w:rsidRPr="0045151D" w:rsidRDefault="00600DEE">
            <w:pPr>
              <w:jc w:val="both"/>
              <w:rPr>
                <w:rFonts w:ascii="Calibri" w:eastAsia="Calibri" w:hAnsi="Calibri" w:cs="Calibri"/>
                <w:b/>
                <w:color w:val="4F81BD"/>
                <w:sz w:val="20"/>
                <w:szCs w:val="20"/>
                <w:lang w:val="en-GB"/>
              </w:rPr>
            </w:pPr>
          </w:p>
          <w:p w14:paraId="33CD093E" w14:textId="77777777" w:rsidR="00C77DFC" w:rsidRPr="0045151D" w:rsidRDefault="00C77DFC">
            <w:pPr>
              <w:jc w:val="both"/>
              <w:rPr>
                <w:rFonts w:ascii="Calibri" w:eastAsia="Calibri" w:hAnsi="Calibri" w:cs="Calibri"/>
                <w:b/>
                <w:color w:val="4F81BD"/>
                <w:sz w:val="20"/>
                <w:szCs w:val="20"/>
                <w:lang w:val="en-GB"/>
              </w:rPr>
            </w:pPr>
          </w:p>
          <w:p w14:paraId="7E63E35A" w14:textId="77777777" w:rsidR="00C77DFC" w:rsidRPr="0045151D" w:rsidRDefault="00C77DFC">
            <w:pPr>
              <w:jc w:val="both"/>
              <w:rPr>
                <w:rFonts w:ascii="Calibri" w:eastAsia="Calibri" w:hAnsi="Calibri" w:cs="Calibri"/>
                <w:b/>
                <w:color w:val="4F81BD"/>
                <w:sz w:val="20"/>
                <w:szCs w:val="20"/>
                <w:lang w:val="en-GB"/>
              </w:rPr>
            </w:pPr>
          </w:p>
          <w:p w14:paraId="36D6775C" w14:textId="77777777" w:rsidR="00C77DFC" w:rsidRPr="0045151D" w:rsidRDefault="00C77DFC">
            <w:pPr>
              <w:jc w:val="both"/>
              <w:rPr>
                <w:rFonts w:ascii="Calibri" w:eastAsia="Calibri" w:hAnsi="Calibri" w:cs="Calibri"/>
                <w:b/>
                <w:color w:val="4F81BD"/>
                <w:sz w:val="20"/>
                <w:szCs w:val="20"/>
                <w:lang w:val="en-GB"/>
              </w:rPr>
            </w:pPr>
          </w:p>
          <w:p w14:paraId="12F87BC0" w14:textId="77777777" w:rsidR="00C77DFC" w:rsidRPr="0045151D" w:rsidRDefault="00C77DFC">
            <w:pPr>
              <w:jc w:val="both"/>
              <w:rPr>
                <w:rFonts w:ascii="Calibri" w:eastAsia="Calibri" w:hAnsi="Calibri" w:cs="Calibri"/>
                <w:b/>
                <w:color w:val="4F81BD"/>
                <w:sz w:val="20"/>
                <w:szCs w:val="20"/>
                <w:lang w:val="en-GB"/>
              </w:rPr>
            </w:pPr>
          </w:p>
          <w:p w14:paraId="401D928F" w14:textId="77777777" w:rsidR="00C77DFC" w:rsidRPr="0045151D" w:rsidRDefault="00C77DFC">
            <w:pPr>
              <w:jc w:val="both"/>
              <w:rPr>
                <w:rFonts w:ascii="Calibri" w:eastAsia="Calibri" w:hAnsi="Calibri" w:cs="Calibri"/>
                <w:b/>
                <w:color w:val="4F81BD"/>
                <w:sz w:val="20"/>
                <w:szCs w:val="20"/>
                <w:lang w:val="en-GB"/>
              </w:rPr>
            </w:pPr>
          </w:p>
          <w:p w14:paraId="5ACC215A" w14:textId="77777777" w:rsidR="00C77DFC" w:rsidRPr="0045151D" w:rsidRDefault="00C77DFC">
            <w:pPr>
              <w:jc w:val="both"/>
              <w:rPr>
                <w:rFonts w:ascii="Calibri" w:eastAsia="Calibri" w:hAnsi="Calibri" w:cs="Calibri"/>
                <w:b/>
                <w:color w:val="4F81BD"/>
                <w:sz w:val="20"/>
                <w:szCs w:val="20"/>
                <w:lang w:val="en-GB"/>
              </w:rPr>
            </w:pPr>
          </w:p>
          <w:p w14:paraId="56A89026" w14:textId="658524FE" w:rsidR="00600DEE" w:rsidRPr="0045151D" w:rsidRDefault="00641FB5" w:rsidP="00C77DFC">
            <w:pPr>
              <w:spacing w:after="120"/>
              <w:jc w:val="both"/>
              <w:rPr>
                <w:rFonts w:ascii="Calibri" w:eastAsia="Calibri" w:hAnsi="Calibri" w:cs="Calibri"/>
                <w:sz w:val="20"/>
                <w:szCs w:val="20"/>
                <w:lang w:val="en-GB"/>
              </w:rPr>
            </w:pPr>
            <w:r w:rsidRPr="0045151D">
              <w:rPr>
                <w:rFonts w:ascii="Calibri" w:eastAsia="Calibri" w:hAnsi="Calibri" w:cs="Calibri"/>
                <w:b/>
                <w:color w:val="4F81BD"/>
                <w:sz w:val="20"/>
                <w:szCs w:val="20"/>
                <w:lang w:val="en-GB"/>
              </w:rPr>
              <w:t>Categories of vehicles. Multi-modality</w:t>
            </w:r>
          </w:p>
          <w:p w14:paraId="1BAEE038" w14:textId="77777777" w:rsidR="00600DEE" w:rsidRDefault="00641FB5">
            <w:pPr>
              <w:spacing w:after="120"/>
              <w:jc w:val="both"/>
              <w:rPr>
                <w:rFonts w:ascii="Calibri" w:eastAsia="Calibri" w:hAnsi="Calibri" w:cs="Calibri"/>
                <w:sz w:val="20"/>
                <w:szCs w:val="20"/>
              </w:rPr>
            </w:pPr>
            <w:r w:rsidRPr="0045151D">
              <w:rPr>
                <w:rFonts w:ascii="Calibri" w:eastAsia="Calibri" w:hAnsi="Calibri" w:cs="Calibri"/>
                <w:sz w:val="20"/>
                <w:szCs w:val="20"/>
                <w:lang w:val="en-GB"/>
              </w:rPr>
              <w:t xml:space="preserve">Regardless of the method of forecasting, the results should present the daily volume of traffic (in AADT – Average Annual Daily Traffic) or/and hourly (peak hours) volumes. </w:t>
            </w:r>
            <w:proofErr w:type="spellStart"/>
            <w:r>
              <w:rPr>
                <w:rFonts w:ascii="Calibri" w:eastAsia="Calibri" w:hAnsi="Calibri" w:cs="Calibri"/>
                <w:sz w:val="20"/>
                <w:szCs w:val="20"/>
              </w:rPr>
              <w:t>Typical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vehicle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classification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may</w:t>
            </w:r>
            <w:proofErr w:type="spellEnd"/>
            <w:r>
              <w:rPr>
                <w:rFonts w:ascii="Calibri" w:eastAsia="Calibri" w:hAnsi="Calibri" w:cs="Calibri"/>
                <w:sz w:val="20"/>
                <w:szCs w:val="20"/>
              </w:rPr>
              <w:t xml:space="preserve"> be as </w:t>
            </w:r>
            <w:proofErr w:type="spellStart"/>
            <w:r>
              <w:rPr>
                <w:rFonts w:ascii="Calibri" w:eastAsia="Calibri" w:hAnsi="Calibri" w:cs="Calibri"/>
                <w:sz w:val="20"/>
                <w:szCs w:val="20"/>
              </w:rPr>
              <w:t>follows</w:t>
            </w:r>
            <w:proofErr w:type="spellEnd"/>
            <w:r>
              <w:rPr>
                <w:rFonts w:ascii="Calibri" w:eastAsia="Calibri" w:hAnsi="Calibri" w:cs="Calibri"/>
                <w:sz w:val="20"/>
                <w:szCs w:val="20"/>
              </w:rPr>
              <w:t xml:space="preserve">: </w:t>
            </w:r>
          </w:p>
          <w:p w14:paraId="1EDC72BA" w14:textId="77777777" w:rsidR="00600DEE" w:rsidRDefault="00641FB5" w:rsidP="00D5736B">
            <w:pPr>
              <w:numPr>
                <w:ilvl w:val="0"/>
                <w:numId w:val="18"/>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 xml:space="preserve"> - </w:t>
            </w:r>
            <w:proofErr w:type="spellStart"/>
            <w:r>
              <w:rPr>
                <w:rFonts w:ascii="Calibri" w:eastAsia="Calibri" w:hAnsi="Calibri" w:cs="Calibri"/>
                <w:sz w:val="20"/>
                <w:szCs w:val="20"/>
              </w:rPr>
              <w:t>passenger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cars</w:t>
            </w:r>
            <w:proofErr w:type="spellEnd"/>
            <w:r>
              <w:rPr>
                <w:rFonts w:ascii="Calibri" w:eastAsia="Calibri" w:hAnsi="Calibri" w:cs="Calibri"/>
                <w:sz w:val="20"/>
                <w:szCs w:val="20"/>
              </w:rPr>
              <w:t xml:space="preserve">, </w:t>
            </w:r>
          </w:p>
          <w:p w14:paraId="0A2A0DC2" w14:textId="77777777" w:rsidR="00600DEE" w:rsidRPr="005B413F" w:rsidRDefault="00641FB5" w:rsidP="00D5736B">
            <w:pPr>
              <w:numPr>
                <w:ilvl w:val="0"/>
                <w:numId w:val="18"/>
              </w:numPr>
              <w:spacing w:before="120" w:after="120"/>
              <w:ind w:left="707" w:hanging="707"/>
              <w:jc w:val="both"/>
              <w:rPr>
                <w:rFonts w:ascii="Calibri" w:eastAsia="Calibri" w:hAnsi="Calibri" w:cs="Calibri"/>
                <w:sz w:val="20"/>
                <w:szCs w:val="20"/>
                <w:lang w:val="fr-BE"/>
              </w:rPr>
            </w:pPr>
            <w:r w:rsidRPr="005B413F">
              <w:rPr>
                <w:rFonts w:ascii="Calibri" w:eastAsia="Calibri" w:hAnsi="Calibri" w:cs="Calibri"/>
                <w:b/>
                <w:sz w:val="20"/>
                <w:szCs w:val="20"/>
                <w:lang w:val="fr-BE"/>
              </w:rPr>
              <w:t xml:space="preserve">SD - </w:t>
            </w:r>
            <w:r w:rsidRPr="005B413F">
              <w:rPr>
                <w:rFonts w:ascii="Calibri" w:eastAsia="Calibri" w:hAnsi="Calibri" w:cs="Calibri"/>
                <w:sz w:val="20"/>
                <w:szCs w:val="20"/>
                <w:lang w:val="fr-BE"/>
              </w:rPr>
              <w:t xml:space="preserve">commercial vehicles (e.g. vans), </w:t>
            </w:r>
          </w:p>
          <w:p w14:paraId="0A5E8A32" w14:textId="77777777" w:rsidR="00600DEE" w:rsidRDefault="00641FB5" w:rsidP="00D5736B">
            <w:pPr>
              <w:numPr>
                <w:ilvl w:val="0"/>
                <w:numId w:val="18"/>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 xml:space="preserve">SC - </w:t>
            </w:r>
            <w:r>
              <w:rPr>
                <w:rFonts w:ascii="Calibri" w:eastAsia="Calibri" w:hAnsi="Calibri" w:cs="Calibri"/>
                <w:sz w:val="20"/>
                <w:szCs w:val="20"/>
              </w:rPr>
              <w:t xml:space="preserve">trucks </w:t>
            </w:r>
            <w:proofErr w:type="spellStart"/>
            <w:r>
              <w:rPr>
                <w:rFonts w:ascii="Calibri" w:eastAsia="Calibri" w:hAnsi="Calibri" w:cs="Calibri"/>
                <w:sz w:val="20"/>
                <w:szCs w:val="20"/>
              </w:rPr>
              <w:t>without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trailers</w:t>
            </w:r>
            <w:proofErr w:type="spellEnd"/>
            <w:r>
              <w:rPr>
                <w:rFonts w:ascii="Calibri" w:eastAsia="Calibri" w:hAnsi="Calibri" w:cs="Calibri"/>
                <w:sz w:val="20"/>
                <w:szCs w:val="20"/>
              </w:rPr>
              <w:t>,</w:t>
            </w:r>
          </w:p>
          <w:p w14:paraId="67E854E9" w14:textId="77777777" w:rsidR="00600DEE" w:rsidRDefault="00641FB5" w:rsidP="00D5736B">
            <w:pPr>
              <w:numPr>
                <w:ilvl w:val="0"/>
                <w:numId w:val="18"/>
              </w:numPr>
              <w:spacing w:before="120" w:after="120"/>
              <w:ind w:left="707" w:hanging="707"/>
              <w:jc w:val="both"/>
              <w:rPr>
                <w:rFonts w:ascii="Calibri" w:eastAsia="Calibri" w:hAnsi="Calibri" w:cs="Calibri"/>
                <w:sz w:val="20"/>
                <w:szCs w:val="20"/>
              </w:rPr>
            </w:pPr>
            <w:proofErr w:type="spellStart"/>
            <w:r>
              <w:rPr>
                <w:rFonts w:ascii="Calibri" w:eastAsia="Calibri" w:hAnsi="Calibri" w:cs="Calibri"/>
                <w:b/>
                <w:sz w:val="20"/>
                <w:szCs w:val="20"/>
              </w:rPr>
              <w:t>SCp</w:t>
            </w:r>
            <w:proofErr w:type="spellEnd"/>
            <w:r>
              <w:rPr>
                <w:rFonts w:ascii="Calibri" w:eastAsia="Calibri" w:hAnsi="Calibri" w:cs="Calibri"/>
                <w:b/>
                <w:sz w:val="20"/>
                <w:szCs w:val="20"/>
              </w:rPr>
              <w:t xml:space="preserve"> - </w:t>
            </w:r>
            <w:r>
              <w:rPr>
                <w:rFonts w:ascii="Calibri" w:eastAsia="Calibri" w:hAnsi="Calibri" w:cs="Calibri"/>
                <w:sz w:val="20"/>
                <w:szCs w:val="20"/>
              </w:rPr>
              <w:t xml:space="preserve">trucks with </w:t>
            </w:r>
            <w:proofErr w:type="spellStart"/>
            <w:r>
              <w:rPr>
                <w:rFonts w:ascii="Calibri" w:eastAsia="Calibri" w:hAnsi="Calibri" w:cs="Calibri"/>
                <w:sz w:val="20"/>
                <w:szCs w:val="20"/>
              </w:rPr>
              <w:t>trailers</w:t>
            </w:r>
            <w:proofErr w:type="spellEnd"/>
            <w:r>
              <w:rPr>
                <w:rFonts w:ascii="Calibri" w:eastAsia="Calibri" w:hAnsi="Calibri" w:cs="Calibri"/>
                <w:sz w:val="20"/>
                <w:szCs w:val="20"/>
              </w:rPr>
              <w:t xml:space="preserve">, </w:t>
            </w:r>
          </w:p>
          <w:p w14:paraId="570E6A0D" w14:textId="77777777" w:rsidR="00600DEE" w:rsidRDefault="00641FB5" w:rsidP="00D5736B">
            <w:pPr>
              <w:numPr>
                <w:ilvl w:val="0"/>
                <w:numId w:val="18"/>
              </w:numPr>
              <w:spacing w:before="120" w:after="120"/>
              <w:ind w:left="709" w:hanging="709"/>
              <w:jc w:val="both"/>
              <w:rPr>
                <w:rFonts w:ascii="Calibri" w:eastAsia="Calibri" w:hAnsi="Calibri" w:cs="Calibri"/>
                <w:sz w:val="20"/>
                <w:szCs w:val="20"/>
              </w:rPr>
            </w:pPr>
            <w:r>
              <w:rPr>
                <w:rFonts w:ascii="Calibri" w:eastAsia="Calibri" w:hAnsi="Calibri" w:cs="Calibri"/>
                <w:b/>
                <w:sz w:val="20"/>
                <w:szCs w:val="20"/>
              </w:rPr>
              <w:t xml:space="preserve">A - </w:t>
            </w:r>
            <w:proofErr w:type="spellStart"/>
            <w:r>
              <w:rPr>
                <w:rFonts w:ascii="Calibri" w:eastAsia="Calibri" w:hAnsi="Calibri" w:cs="Calibri"/>
                <w:sz w:val="20"/>
                <w:szCs w:val="20"/>
              </w:rPr>
              <w:t>buses</w:t>
            </w:r>
            <w:proofErr w:type="spellEnd"/>
            <w:r>
              <w:rPr>
                <w:rFonts w:ascii="Calibri" w:eastAsia="Calibri" w:hAnsi="Calibri" w:cs="Calibri"/>
                <w:sz w:val="20"/>
                <w:szCs w:val="20"/>
              </w:rPr>
              <w:t>.</w:t>
            </w:r>
          </w:p>
          <w:p w14:paraId="5F0754C7" w14:textId="77777777" w:rsidR="00600DEE" w:rsidRDefault="00641FB5">
            <w:pPr>
              <w:spacing w:after="120"/>
              <w:jc w:val="both"/>
              <w:rPr>
                <w:rFonts w:ascii="Calibri" w:eastAsia="Calibri" w:hAnsi="Calibri" w:cs="Calibri"/>
                <w:sz w:val="20"/>
                <w:szCs w:val="20"/>
              </w:rPr>
            </w:pPr>
            <w:r w:rsidRPr="0045151D">
              <w:rPr>
                <w:rFonts w:ascii="Calibri" w:eastAsia="Calibri" w:hAnsi="Calibri" w:cs="Calibri"/>
                <w:sz w:val="20"/>
                <w:szCs w:val="20"/>
                <w:lang w:val="en-GB"/>
              </w:rPr>
              <w:t xml:space="preserve">It is also possible to adopt a different vehicle categorisation for the model (e.g. light commercial vehicles and passenger cars, or trucks with and without trailers may be combined) with a suitable explanation. </w:t>
            </w:r>
            <w:r>
              <w:rPr>
                <w:rFonts w:ascii="Calibri" w:eastAsia="Calibri" w:hAnsi="Calibri" w:cs="Calibri"/>
                <w:sz w:val="20"/>
                <w:szCs w:val="20"/>
              </w:rPr>
              <w:t>A </w:t>
            </w:r>
            <w:proofErr w:type="spellStart"/>
            <w:r>
              <w:rPr>
                <w:rFonts w:ascii="Calibri" w:eastAsia="Calibri" w:hAnsi="Calibri" w:cs="Calibri"/>
                <w:sz w:val="20"/>
                <w:szCs w:val="20"/>
              </w:rPr>
              <w:t>possible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alternative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vehicles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categories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division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is</w:t>
            </w:r>
            <w:proofErr w:type="spellEnd"/>
            <w:r>
              <w:rPr>
                <w:rFonts w:ascii="Calibri" w:eastAsia="Calibri" w:hAnsi="Calibri" w:cs="Calibri"/>
                <w:sz w:val="20"/>
                <w:szCs w:val="20"/>
              </w:rPr>
              <w:t xml:space="preserve"> as </w:t>
            </w:r>
            <w:proofErr w:type="spellStart"/>
            <w:r>
              <w:rPr>
                <w:rFonts w:ascii="Calibri" w:eastAsia="Calibri" w:hAnsi="Calibri" w:cs="Calibri"/>
                <w:sz w:val="20"/>
                <w:szCs w:val="20"/>
              </w:rPr>
              <w:t>follows</w:t>
            </w:r>
            <w:proofErr w:type="spellEnd"/>
            <w:r>
              <w:rPr>
                <w:rFonts w:ascii="Calibri" w:eastAsia="Calibri" w:hAnsi="Calibri" w:cs="Calibri"/>
                <w:sz w:val="20"/>
                <w:szCs w:val="20"/>
              </w:rPr>
              <w:t>:</w:t>
            </w:r>
          </w:p>
          <w:p w14:paraId="374C5140" w14:textId="77777777" w:rsidR="00600DEE" w:rsidRPr="0045151D" w:rsidRDefault="00641FB5" w:rsidP="00D5736B">
            <w:pPr>
              <w:numPr>
                <w:ilvl w:val="0"/>
                <w:numId w:val="4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b/>
                <w:sz w:val="20"/>
                <w:szCs w:val="20"/>
                <w:lang w:val="en-GB"/>
              </w:rPr>
              <w:t>LV</w:t>
            </w:r>
            <w:r w:rsidRPr="0045151D">
              <w:rPr>
                <w:rFonts w:ascii="Calibri" w:eastAsia="Calibri" w:hAnsi="Calibri" w:cs="Calibri"/>
                <w:sz w:val="20"/>
                <w:szCs w:val="20"/>
                <w:lang w:val="en-GB"/>
              </w:rPr>
              <w:t xml:space="preserve"> – light vehicles, gross weight &lt; 3,5 tons,</w:t>
            </w:r>
          </w:p>
          <w:p w14:paraId="05D5E0DE" w14:textId="77777777" w:rsidR="00600DEE" w:rsidRPr="0045151D" w:rsidRDefault="00641FB5" w:rsidP="00D5736B">
            <w:pPr>
              <w:numPr>
                <w:ilvl w:val="0"/>
                <w:numId w:val="4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b/>
                <w:sz w:val="20"/>
                <w:szCs w:val="20"/>
                <w:lang w:val="en-GB"/>
              </w:rPr>
              <w:t>HGV</w:t>
            </w:r>
            <w:r w:rsidRPr="0045151D">
              <w:rPr>
                <w:rFonts w:ascii="Calibri" w:eastAsia="Calibri" w:hAnsi="Calibri" w:cs="Calibri"/>
                <w:sz w:val="20"/>
                <w:szCs w:val="20"/>
                <w:lang w:val="en-GB"/>
              </w:rPr>
              <w:t xml:space="preserve"> – heavy goods vehicles, gross weight &gt; 3,5 tons (incl. buses).</w:t>
            </w:r>
          </w:p>
          <w:p w14:paraId="7920453D"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traffic model should also take into account other transport modes (use of various means of transport) both for freight and passenger transport. Such approach is in accordance with the requirements for EU funds 2021-2027 to promote sustainable transport. It should be added that the National Traffic Model should be systematically updated by the central administration.</w:t>
            </w:r>
          </w:p>
          <w:p w14:paraId="05E011CF" w14:textId="77777777" w:rsidR="00C77DFC" w:rsidRPr="0045151D" w:rsidRDefault="00C77DFC">
            <w:pPr>
              <w:jc w:val="both"/>
              <w:rPr>
                <w:rFonts w:ascii="Calibri" w:eastAsia="Calibri" w:hAnsi="Calibri" w:cs="Calibri"/>
                <w:b/>
                <w:color w:val="4F81BD"/>
                <w:sz w:val="20"/>
                <w:szCs w:val="20"/>
                <w:lang w:val="en-GB"/>
              </w:rPr>
            </w:pPr>
          </w:p>
          <w:p w14:paraId="5BEEC0DE" w14:textId="28711857" w:rsidR="00600DEE" w:rsidRPr="0045151D" w:rsidRDefault="00641FB5" w:rsidP="00C77DFC">
            <w:pPr>
              <w:spacing w:before="240" w:after="24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Categories of users</w:t>
            </w:r>
          </w:p>
          <w:p w14:paraId="750A2B2F" w14:textId="3FE8FFE9"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model should distinguish, at least, two categories of users: (1) passenger traffic: passenger vehicles and buses; (2) freight traffic: all trucks. Users of cars and buses should be divided into, at least, three categories based on different travel motivations:</w:t>
            </w:r>
          </w:p>
          <w:p w14:paraId="22279539" w14:textId="77777777" w:rsidR="00600DEE" w:rsidRDefault="00641FB5" w:rsidP="00D5736B">
            <w:pPr>
              <w:numPr>
                <w:ilvl w:val="0"/>
                <w:numId w:val="53"/>
              </w:numPr>
              <w:spacing w:before="120" w:after="120"/>
              <w:ind w:left="709" w:hanging="709"/>
              <w:jc w:val="both"/>
              <w:rPr>
                <w:rFonts w:ascii="Calibri" w:eastAsia="Calibri" w:hAnsi="Calibri" w:cs="Calibri"/>
                <w:sz w:val="20"/>
                <w:szCs w:val="20"/>
              </w:rPr>
            </w:pPr>
            <w:r>
              <w:rPr>
                <w:rFonts w:ascii="Calibri" w:eastAsia="Calibri" w:hAnsi="Calibri" w:cs="Calibri"/>
                <w:sz w:val="20"/>
                <w:szCs w:val="20"/>
              </w:rPr>
              <w:t xml:space="preserve">business </w:t>
            </w:r>
            <w:proofErr w:type="spellStart"/>
            <w:r>
              <w:rPr>
                <w:rFonts w:ascii="Calibri" w:eastAsia="Calibri" w:hAnsi="Calibri" w:cs="Calibri"/>
                <w:sz w:val="20"/>
                <w:szCs w:val="20"/>
              </w:rPr>
              <w:t>trips</w:t>
            </w:r>
            <w:proofErr w:type="spellEnd"/>
            <w:r>
              <w:rPr>
                <w:rFonts w:ascii="Calibri" w:eastAsia="Calibri" w:hAnsi="Calibri" w:cs="Calibri"/>
                <w:sz w:val="20"/>
                <w:szCs w:val="20"/>
              </w:rPr>
              <w:t>,</w:t>
            </w:r>
          </w:p>
          <w:p w14:paraId="63947BF4" w14:textId="77777777" w:rsidR="00600DEE" w:rsidRPr="0045151D" w:rsidRDefault="00641FB5" w:rsidP="00D5736B">
            <w:pPr>
              <w:numPr>
                <w:ilvl w:val="0"/>
                <w:numId w:val="53"/>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daily home-work-home trips (i.e. commuting),</w:t>
            </w:r>
          </w:p>
          <w:p w14:paraId="52642E16" w14:textId="77777777" w:rsidR="00600DEE" w:rsidRDefault="00641FB5" w:rsidP="00D5736B">
            <w:pPr>
              <w:numPr>
                <w:ilvl w:val="0"/>
                <w:numId w:val="53"/>
              </w:numPr>
              <w:spacing w:before="120" w:after="120"/>
              <w:ind w:left="709" w:hanging="709"/>
              <w:jc w:val="both"/>
              <w:rPr>
                <w:rFonts w:ascii="Calibri" w:eastAsia="Calibri" w:hAnsi="Calibri" w:cs="Calibri"/>
                <w:sz w:val="20"/>
                <w:szCs w:val="20"/>
              </w:rPr>
            </w:pPr>
            <w:proofErr w:type="spellStart"/>
            <w:r>
              <w:rPr>
                <w:rFonts w:ascii="Calibri" w:eastAsia="Calibri" w:hAnsi="Calibri" w:cs="Calibri"/>
                <w:sz w:val="20"/>
                <w:szCs w:val="20"/>
              </w:rPr>
              <w:lastRenderedPageBreak/>
              <w:t>other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motivations</w:t>
            </w:r>
            <w:proofErr w:type="spellEnd"/>
            <w:r>
              <w:rPr>
                <w:rFonts w:ascii="Calibri" w:eastAsia="Calibri" w:hAnsi="Calibri" w:cs="Calibri"/>
                <w:sz w:val="20"/>
                <w:szCs w:val="20"/>
              </w:rPr>
              <w:t>.</w:t>
            </w:r>
          </w:p>
          <w:p w14:paraId="6848D1CA" w14:textId="77777777" w:rsidR="00600DEE" w:rsidRDefault="00600DEE">
            <w:pPr>
              <w:jc w:val="both"/>
              <w:rPr>
                <w:rFonts w:ascii="Calibri" w:eastAsia="Calibri" w:hAnsi="Calibri" w:cs="Calibri"/>
                <w:sz w:val="20"/>
                <w:szCs w:val="20"/>
              </w:rPr>
            </w:pPr>
          </w:p>
          <w:p w14:paraId="4CA51D61"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Analysis </w:t>
            </w:r>
            <w:proofErr w:type="spellStart"/>
            <w:r>
              <w:rPr>
                <w:rFonts w:ascii="Calibri" w:eastAsia="Calibri" w:hAnsi="Calibri" w:cs="Calibri"/>
                <w:b/>
                <w:color w:val="4F81BD"/>
                <w:sz w:val="20"/>
                <w:szCs w:val="20"/>
              </w:rPr>
              <w:t>periods</w:t>
            </w:r>
            <w:proofErr w:type="spellEnd"/>
            <w:r>
              <w:rPr>
                <w:rFonts w:ascii="Calibri" w:eastAsia="Calibri" w:hAnsi="Calibri" w:cs="Calibri"/>
                <w:b/>
                <w:color w:val="4F81BD"/>
                <w:sz w:val="20"/>
                <w:szCs w:val="20"/>
              </w:rPr>
              <w:t xml:space="preserve"> </w:t>
            </w:r>
          </w:p>
          <w:p w14:paraId="7564FAC3"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w:t>
            </w:r>
            <w:proofErr w:type="spellStart"/>
            <w:r>
              <w:rPr>
                <w:rFonts w:ascii="Calibri" w:eastAsia="Calibri" w:hAnsi="Calibri" w:cs="Calibri"/>
                <w:b/>
                <w:color w:val="4F81BD"/>
                <w:sz w:val="20"/>
                <w:szCs w:val="20"/>
              </w:rPr>
              <w:t>year</w:t>
            </w:r>
            <w:proofErr w:type="spellEnd"/>
            <w:r>
              <w:rPr>
                <w:rFonts w:ascii="Calibri" w:eastAsia="Calibri" w:hAnsi="Calibri" w:cs="Calibri"/>
                <w:b/>
                <w:color w:val="4F81BD"/>
                <w:sz w:val="20"/>
                <w:szCs w:val="20"/>
              </w:rPr>
              <w:t>/</w:t>
            </w:r>
            <w:proofErr w:type="spellStart"/>
            <w:r>
              <w:rPr>
                <w:rFonts w:ascii="Calibri" w:eastAsia="Calibri" w:hAnsi="Calibri" w:cs="Calibri"/>
                <w:b/>
                <w:color w:val="4F81BD"/>
                <w:sz w:val="20"/>
                <w:szCs w:val="20"/>
              </w:rPr>
              <w:t>day</w:t>
            </w:r>
            <w:proofErr w:type="spellEnd"/>
            <w:r>
              <w:rPr>
                <w:rFonts w:ascii="Calibri" w:eastAsia="Calibri" w:hAnsi="Calibri" w:cs="Calibri"/>
                <w:b/>
                <w:color w:val="4F81BD"/>
                <w:sz w:val="20"/>
                <w:szCs w:val="20"/>
              </w:rPr>
              <w:t>/</w:t>
            </w:r>
            <w:proofErr w:type="spellStart"/>
            <w:r>
              <w:rPr>
                <w:rFonts w:ascii="Calibri" w:eastAsia="Calibri" w:hAnsi="Calibri" w:cs="Calibri"/>
                <w:b/>
                <w:color w:val="4F81BD"/>
                <w:sz w:val="20"/>
                <w:szCs w:val="20"/>
              </w:rPr>
              <w:t>peak</w:t>
            </w:r>
            <w:proofErr w:type="spellEnd"/>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hour</w:t>
            </w:r>
            <w:proofErr w:type="spellEnd"/>
            <w:r>
              <w:rPr>
                <w:rFonts w:ascii="Calibri" w:eastAsia="Calibri" w:hAnsi="Calibri" w:cs="Calibri"/>
                <w:b/>
                <w:color w:val="4F81BD"/>
                <w:sz w:val="20"/>
                <w:szCs w:val="20"/>
              </w:rPr>
              <w:t>)</w:t>
            </w:r>
          </w:p>
          <w:p w14:paraId="3DF4F397" w14:textId="77777777" w:rsidR="00600DEE" w:rsidRDefault="00600DEE">
            <w:pPr>
              <w:jc w:val="both"/>
              <w:rPr>
                <w:rFonts w:ascii="Calibri" w:eastAsia="Calibri" w:hAnsi="Calibri" w:cs="Calibri"/>
                <w:b/>
                <w:sz w:val="20"/>
                <w:szCs w:val="20"/>
              </w:rPr>
            </w:pPr>
          </w:p>
          <w:p w14:paraId="7931BF4B"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In case of investments on non-urban roads, traffic forecasts are expressed in terms of AADT calculated on the basis of General Traffic Survey (GPR) results. The conversion of daily traffic into average yearly traffic is to be made by multiplying the daily results by 365.</w:t>
            </w:r>
          </w:p>
          <w:p w14:paraId="04849F7A" w14:textId="77777777" w:rsidR="00600DEE" w:rsidRPr="0045151D" w:rsidRDefault="00600DEE">
            <w:pPr>
              <w:jc w:val="both"/>
              <w:rPr>
                <w:rFonts w:ascii="Calibri" w:eastAsia="Calibri" w:hAnsi="Calibri" w:cs="Calibri"/>
                <w:sz w:val="20"/>
                <w:szCs w:val="20"/>
                <w:lang w:val="en-GB"/>
              </w:rPr>
            </w:pPr>
          </w:p>
          <w:p w14:paraId="6EE6CF47"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case of traffic forecasts for urban investments, it is usually necessary to convert the benefits calculated for a peak hour into daily and annual benefits. </w:t>
            </w:r>
          </w:p>
          <w:p w14:paraId="27AACD55"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It is possible to disregard traffic costs at night as they generate marginal savings. </w:t>
            </w:r>
          </w:p>
          <w:p w14:paraId="5E93F724"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In the case of lack of data on hourly distribution factors, it is recommended to take the averaged value that assumes the multiplier of peak hour to twenty-four hours to be 8.2. If an average working day was used as the basis for calculation of annual traffic costs, then a multiplier of 300 should be used.</w:t>
            </w:r>
          </w:p>
          <w:p w14:paraId="6D7D01EF" w14:textId="77777777" w:rsidR="00600DEE" w:rsidRPr="0045151D" w:rsidRDefault="00600DEE">
            <w:pPr>
              <w:jc w:val="both"/>
              <w:rPr>
                <w:rFonts w:ascii="Calibri" w:eastAsia="Calibri" w:hAnsi="Calibri" w:cs="Calibri"/>
                <w:b/>
                <w:sz w:val="20"/>
                <w:szCs w:val="20"/>
                <w:lang w:val="en-GB"/>
              </w:rPr>
            </w:pPr>
          </w:p>
          <w:p w14:paraId="6FC01034"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Modelled years. Base year</w:t>
            </w:r>
          </w:p>
          <w:p w14:paraId="363A87C3" w14:textId="77777777" w:rsidR="00600DEE" w:rsidRPr="0045151D" w:rsidRDefault="00600DEE">
            <w:pPr>
              <w:jc w:val="both"/>
              <w:rPr>
                <w:rFonts w:ascii="Calibri" w:eastAsia="Calibri" w:hAnsi="Calibri" w:cs="Calibri"/>
                <w:sz w:val="20"/>
                <w:szCs w:val="20"/>
                <w:lang w:val="en-GB"/>
              </w:rPr>
            </w:pPr>
          </w:p>
          <w:p w14:paraId="7E771AD4" w14:textId="6BF55335"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forecast should be developed for, at least, the CBA reference period which for road projects i</w:t>
            </w:r>
            <w:r w:rsidR="00B95FB9">
              <w:rPr>
                <w:rFonts w:ascii="Calibri" w:eastAsia="Calibri" w:hAnsi="Calibri" w:cs="Calibri"/>
                <w:sz w:val="20"/>
                <w:szCs w:val="20"/>
                <w:lang w:val="en-GB"/>
              </w:rPr>
              <w:t>s 25</w:t>
            </w:r>
            <w:r w:rsidRPr="0045151D">
              <w:rPr>
                <w:rFonts w:ascii="Calibri" w:eastAsia="Calibri" w:hAnsi="Calibri" w:cs="Calibri"/>
                <w:sz w:val="20"/>
                <w:szCs w:val="20"/>
                <w:lang w:val="en-GB"/>
              </w:rPr>
              <w:t xml:space="preserve"> years (including the construction period). The relevant assumptions for the base year should also be made. </w:t>
            </w:r>
          </w:p>
          <w:p w14:paraId="3A4D32CC"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base year of the traffic forecast is the year in which the last GPR was conducted (to verify the calculation model) and/or the first year of the CBA period (see chapter 1.6).</w:t>
            </w:r>
          </w:p>
          <w:p w14:paraId="3EA298A5"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Other time horizons in the forecast for W0 and </w:t>
            </w:r>
            <w:proofErr w:type="spellStart"/>
            <w:r w:rsidRPr="0045151D">
              <w:rPr>
                <w:rFonts w:ascii="Calibri" w:eastAsia="Calibri" w:hAnsi="Calibri" w:cs="Calibri"/>
                <w:sz w:val="20"/>
                <w:szCs w:val="20"/>
                <w:lang w:val="en-GB"/>
              </w:rPr>
              <w:t>Wn</w:t>
            </w:r>
            <w:proofErr w:type="spellEnd"/>
            <w:r w:rsidRPr="0045151D">
              <w:rPr>
                <w:rFonts w:ascii="Calibri" w:eastAsia="Calibri" w:hAnsi="Calibri" w:cs="Calibri"/>
                <w:sz w:val="20"/>
                <w:szCs w:val="20"/>
                <w:lang w:val="en-GB"/>
              </w:rPr>
              <w:t xml:space="preserve"> to be presented for CBA purposes:</w:t>
            </w:r>
          </w:p>
          <w:p w14:paraId="7EC6D84A"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the first year of project implementation (the forecast for investment and non-investment option is identical in the implementation period, unless functional staging is used);</w:t>
            </w:r>
          </w:p>
          <w:p w14:paraId="2D6493BB"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first full calendar year of operation of the project (for W0 and </w:t>
            </w:r>
            <w:proofErr w:type="spellStart"/>
            <w:r w:rsidRPr="0045151D">
              <w:rPr>
                <w:rFonts w:ascii="Calibri" w:eastAsia="Calibri" w:hAnsi="Calibri" w:cs="Calibri"/>
                <w:sz w:val="20"/>
                <w:szCs w:val="20"/>
                <w:lang w:val="en-GB"/>
              </w:rPr>
              <w:t>Wn</w:t>
            </w:r>
            <w:proofErr w:type="spellEnd"/>
            <w:r w:rsidRPr="0045151D">
              <w:rPr>
                <w:rFonts w:ascii="Calibri" w:eastAsia="Calibri" w:hAnsi="Calibri" w:cs="Calibri"/>
                <w:sz w:val="20"/>
                <w:szCs w:val="20"/>
                <w:lang w:val="en-GB"/>
              </w:rPr>
              <w:t xml:space="preserve"> separately);</w:t>
            </w:r>
          </w:p>
          <w:p w14:paraId="068448B9"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further horizons are the 10</w:t>
            </w:r>
            <w:r w:rsidRPr="0045151D">
              <w:rPr>
                <w:rFonts w:ascii="Calibri" w:eastAsia="Calibri" w:hAnsi="Calibri" w:cs="Calibri"/>
                <w:sz w:val="20"/>
                <w:szCs w:val="20"/>
                <w:vertAlign w:val="superscript"/>
                <w:lang w:val="en-GB"/>
              </w:rPr>
              <w:t>th</w:t>
            </w:r>
            <w:r w:rsidRPr="0045151D">
              <w:rPr>
                <w:rFonts w:ascii="Calibri" w:eastAsia="Calibri" w:hAnsi="Calibri" w:cs="Calibri"/>
                <w:sz w:val="20"/>
                <w:szCs w:val="20"/>
                <w:lang w:val="en-GB"/>
              </w:rPr>
              <w:t xml:space="preserve"> and 20</w:t>
            </w:r>
            <w:r w:rsidRPr="0045151D">
              <w:rPr>
                <w:rFonts w:ascii="Calibri" w:eastAsia="Calibri" w:hAnsi="Calibri" w:cs="Calibri"/>
                <w:sz w:val="20"/>
                <w:szCs w:val="20"/>
                <w:vertAlign w:val="superscript"/>
                <w:lang w:val="en-GB"/>
              </w:rPr>
              <w:t>th</w:t>
            </w:r>
            <w:r w:rsidRPr="0045151D">
              <w:rPr>
                <w:rFonts w:ascii="Calibri" w:eastAsia="Calibri" w:hAnsi="Calibri" w:cs="Calibri"/>
                <w:sz w:val="20"/>
                <w:szCs w:val="20"/>
                <w:lang w:val="en-GB"/>
              </w:rPr>
              <w:t xml:space="preserve"> years of project operation;</w:t>
            </w:r>
          </w:p>
          <w:p w14:paraId="1BE6A83E" w14:textId="0DE415E3"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 xml:space="preserve">calculations should be made for additional horizon(s) if another investment with significant impact on the project traffic flows is </w:t>
            </w:r>
            <w:r w:rsidR="006C5DD9">
              <w:rPr>
                <w:rFonts w:ascii="Calibri" w:eastAsia="Calibri" w:hAnsi="Calibri" w:cs="Calibri"/>
                <w:sz w:val="20"/>
                <w:szCs w:val="20"/>
                <w:lang w:val="en-GB"/>
              </w:rPr>
              <w:t xml:space="preserve">planned to </w:t>
            </w:r>
            <w:r w:rsidRPr="0045151D">
              <w:rPr>
                <w:rFonts w:ascii="Calibri" w:eastAsia="Calibri" w:hAnsi="Calibri" w:cs="Calibri"/>
                <w:sz w:val="20"/>
                <w:szCs w:val="20"/>
                <w:lang w:val="en-GB"/>
              </w:rPr>
              <w:t>be completed during the project operation (it is recommended to calculate the projections for both one year before and one year after that influencing investment’s completion),;</w:t>
            </w:r>
          </w:p>
          <w:p w14:paraId="7AD10D7D"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in order to obtain traffic forecasts for the last year of the reference period and other horizons, interpolation/extrapolation of the above values may be used.</w:t>
            </w:r>
          </w:p>
          <w:p w14:paraId="069C6806" w14:textId="77777777" w:rsidR="00C77DFC" w:rsidRPr="0045151D" w:rsidRDefault="00C77DFC">
            <w:pPr>
              <w:jc w:val="both"/>
              <w:rPr>
                <w:rFonts w:ascii="Calibri" w:eastAsia="Calibri" w:hAnsi="Calibri" w:cs="Calibri"/>
                <w:b/>
                <w:color w:val="4F81BD"/>
                <w:sz w:val="20"/>
                <w:szCs w:val="20"/>
                <w:lang w:val="en-GB"/>
              </w:rPr>
            </w:pPr>
          </w:p>
          <w:p w14:paraId="34FDA03B" w14:textId="77777777" w:rsidR="00C77DFC" w:rsidRPr="0045151D" w:rsidRDefault="00C77DFC">
            <w:pPr>
              <w:jc w:val="both"/>
              <w:rPr>
                <w:rFonts w:ascii="Calibri" w:eastAsia="Calibri" w:hAnsi="Calibri" w:cs="Calibri"/>
                <w:b/>
                <w:color w:val="4F81BD"/>
                <w:sz w:val="20"/>
                <w:szCs w:val="20"/>
                <w:lang w:val="en-GB"/>
              </w:rPr>
            </w:pPr>
          </w:p>
          <w:p w14:paraId="40FF72BD" w14:textId="394F5F09"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II. THE MODEL FOR THE BASE YEAR</w:t>
            </w:r>
          </w:p>
          <w:p w14:paraId="22E1A018" w14:textId="77777777" w:rsidR="00600DEE" w:rsidRPr="0045151D" w:rsidRDefault="00600DEE">
            <w:pPr>
              <w:jc w:val="both"/>
              <w:rPr>
                <w:rFonts w:ascii="Calibri" w:eastAsia="Calibri" w:hAnsi="Calibri" w:cs="Calibri"/>
                <w:b/>
                <w:color w:val="4F81BD"/>
                <w:sz w:val="20"/>
                <w:szCs w:val="20"/>
                <w:lang w:val="en-GB"/>
              </w:rPr>
            </w:pPr>
          </w:p>
          <w:p w14:paraId="44C76D9E"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Input data preparation</w:t>
            </w:r>
          </w:p>
          <w:p w14:paraId="31C52961" w14:textId="77777777" w:rsidR="00600DEE" w:rsidRPr="0045151D" w:rsidRDefault="00600DEE">
            <w:pPr>
              <w:jc w:val="both"/>
              <w:rPr>
                <w:rFonts w:ascii="Calibri" w:eastAsia="Calibri" w:hAnsi="Calibri" w:cs="Calibri"/>
                <w:b/>
                <w:sz w:val="20"/>
                <w:szCs w:val="20"/>
                <w:lang w:val="en-GB"/>
              </w:rPr>
            </w:pPr>
          </w:p>
          <w:p w14:paraId="73D1460D"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Before preparation of traffic forecast, it is necessary to analyse the available road traffic inputs such as:</w:t>
            </w:r>
          </w:p>
          <w:p w14:paraId="3E795C6E" w14:textId="77777777" w:rsidR="00600DEE" w:rsidRPr="0045151D" w:rsidRDefault="00641FB5" w:rsidP="00D5736B">
            <w:pPr>
              <w:numPr>
                <w:ilvl w:val="0"/>
                <w:numId w:val="53"/>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previous traffic measurements on the analysed section or in its direct vicinity,</w:t>
            </w:r>
          </w:p>
          <w:p w14:paraId="50DBBD9A" w14:textId="77777777" w:rsidR="00600DEE" w:rsidRPr="0045151D" w:rsidRDefault="00641FB5" w:rsidP="00D5736B">
            <w:pPr>
              <w:numPr>
                <w:ilvl w:val="0"/>
                <w:numId w:val="53"/>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analyses, plans and traffic forecasts developed in previous years, also studies that cover a wider area around the planned investment (strategic transport documents including traffic forecasts).</w:t>
            </w:r>
          </w:p>
          <w:p w14:paraId="1905AE64"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On the basis of these analyses, traffic changes during the previous years should be presented. In the case of national and voivodeship roads, results of the General Traffic Survey from at least the last two GPRs should be used. In case of urban investments, it is advisable to provide key results of the Comprehensive Traffic Surveys (KBR, </w:t>
            </w:r>
            <w:proofErr w:type="spellStart"/>
            <w:r w:rsidRPr="0045151D">
              <w:rPr>
                <w:rFonts w:ascii="Calibri" w:eastAsia="Calibri" w:hAnsi="Calibri" w:cs="Calibri"/>
                <w:i/>
                <w:sz w:val="20"/>
                <w:szCs w:val="20"/>
                <w:lang w:val="en-GB"/>
              </w:rPr>
              <w:t>Kompleksowych</w:t>
            </w:r>
            <w:proofErr w:type="spellEnd"/>
            <w:r w:rsidRPr="0045151D">
              <w:rPr>
                <w:rFonts w:ascii="Calibri" w:eastAsia="Calibri" w:hAnsi="Calibri" w:cs="Calibri"/>
                <w:i/>
                <w:sz w:val="20"/>
                <w:szCs w:val="20"/>
                <w:lang w:val="en-GB"/>
              </w:rPr>
              <w:t xml:space="preserve"> </w:t>
            </w:r>
            <w:proofErr w:type="spellStart"/>
            <w:r w:rsidRPr="0045151D">
              <w:rPr>
                <w:rFonts w:ascii="Calibri" w:eastAsia="Calibri" w:hAnsi="Calibri" w:cs="Calibri"/>
                <w:i/>
                <w:sz w:val="20"/>
                <w:szCs w:val="20"/>
                <w:lang w:val="en-GB"/>
              </w:rPr>
              <w:t>Badań</w:t>
            </w:r>
            <w:proofErr w:type="spellEnd"/>
            <w:r w:rsidRPr="0045151D">
              <w:rPr>
                <w:rFonts w:ascii="Calibri" w:eastAsia="Calibri" w:hAnsi="Calibri" w:cs="Calibri"/>
                <w:i/>
                <w:sz w:val="20"/>
                <w:szCs w:val="20"/>
                <w:lang w:val="en-GB"/>
              </w:rPr>
              <w:t xml:space="preserve"> </w:t>
            </w:r>
            <w:proofErr w:type="spellStart"/>
            <w:r w:rsidRPr="0045151D">
              <w:rPr>
                <w:rFonts w:ascii="Calibri" w:eastAsia="Calibri" w:hAnsi="Calibri" w:cs="Calibri"/>
                <w:i/>
                <w:sz w:val="20"/>
                <w:szCs w:val="20"/>
                <w:lang w:val="en-GB"/>
              </w:rPr>
              <w:t>Ruchu</w:t>
            </w:r>
            <w:proofErr w:type="spellEnd"/>
            <w:r w:rsidRPr="0045151D">
              <w:rPr>
                <w:rFonts w:ascii="Calibri" w:eastAsia="Calibri" w:hAnsi="Calibri" w:cs="Calibri"/>
                <w:sz w:val="20"/>
                <w:szCs w:val="20"/>
                <w:lang w:val="en-GB"/>
              </w:rPr>
              <w:t>), if available, or other measurements that present the evolution of traffic in the urban area.</w:t>
            </w:r>
          </w:p>
          <w:p w14:paraId="09FFE5F5"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A review of previous traffic forecasting studies, if available for the project area, aims at the presentation of the project background from the traffic perspective. </w:t>
            </w:r>
          </w:p>
          <w:p w14:paraId="3925A140" w14:textId="77777777" w:rsidR="00600DEE" w:rsidRPr="0045151D" w:rsidRDefault="00641FB5">
            <w:pPr>
              <w:jc w:val="both"/>
              <w:rPr>
                <w:rFonts w:ascii="Calibri" w:eastAsia="Calibri" w:hAnsi="Calibri" w:cs="Calibri"/>
                <w:b/>
                <w:sz w:val="20"/>
                <w:szCs w:val="20"/>
                <w:lang w:val="en-GB"/>
              </w:rPr>
            </w:pPr>
            <w:r w:rsidRPr="0045151D">
              <w:rPr>
                <w:rFonts w:ascii="Calibri" w:eastAsia="Calibri" w:hAnsi="Calibri" w:cs="Calibri"/>
                <w:sz w:val="20"/>
                <w:szCs w:val="20"/>
                <w:lang w:val="en-GB"/>
              </w:rPr>
              <w:t>The traffic data basis for the analysis are the last GPR results, for national and voivodeship roads. If necessary, additional measurements must be carried out.</w:t>
            </w:r>
          </w:p>
          <w:p w14:paraId="73A7E565" w14:textId="77777777" w:rsidR="00600DEE" w:rsidRPr="0045151D" w:rsidRDefault="00600DEE">
            <w:pPr>
              <w:jc w:val="both"/>
              <w:rPr>
                <w:rFonts w:ascii="Calibri" w:eastAsia="Calibri" w:hAnsi="Calibri" w:cs="Calibri"/>
                <w:sz w:val="20"/>
                <w:szCs w:val="20"/>
                <w:lang w:val="en-GB"/>
              </w:rPr>
            </w:pPr>
          </w:p>
          <w:p w14:paraId="630E6CC8" w14:textId="77777777" w:rsidR="00C77DFC" w:rsidRPr="0045151D" w:rsidRDefault="00C77DFC">
            <w:pPr>
              <w:jc w:val="both"/>
              <w:rPr>
                <w:rFonts w:ascii="Calibri" w:eastAsia="Calibri" w:hAnsi="Calibri" w:cs="Calibri"/>
                <w:b/>
                <w:color w:val="4F81BD"/>
                <w:sz w:val="20"/>
                <w:szCs w:val="20"/>
                <w:lang w:val="en-GB"/>
              </w:rPr>
            </w:pPr>
          </w:p>
          <w:p w14:paraId="59C5A346" w14:textId="77777777" w:rsidR="00C77DFC" w:rsidRPr="0045151D" w:rsidRDefault="00C77DFC">
            <w:pPr>
              <w:jc w:val="both"/>
              <w:rPr>
                <w:rFonts w:ascii="Calibri" w:eastAsia="Calibri" w:hAnsi="Calibri" w:cs="Calibri"/>
                <w:b/>
                <w:color w:val="4F81BD"/>
                <w:sz w:val="20"/>
                <w:szCs w:val="20"/>
                <w:lang w:val="en-GB"/>
              </w:rPr>
            </w:pPr>
          </w:p>
          <w:p w14:paraId="6D86AD26" w14:textId="77777777" w:rsidR="00C77DFC" w:rsidRPr="0045151D" w:rsidRDefault="00C77DFC">
            <w:pPr>
              <w:jc w:val="both"/>
              <w:rPr>
                <w:rFonts w:ascii="Calibri" w:eastAsia="Calibri" w:hAnsi="Calibri" w:cs="Calibri"/>
                <w:b/>
                <w:color w:val="4F81BD"/>
                <w:sz w:val="20"/>
                <w:szCs w:val="20"/>
                <w:lang w:val="en-GB"/>
              </w:rPr>
            </w:pPr>
          </w:p>
          <w:p w14:paraId="3328869A" w14:textId="77777777" w:rsidR="00C77DFC" w:rsidRPr="0045151D" w:rsidRDefault="00C77DFC">
            <w:pPr>
              <w:jc w:val="both"/>
              <w:rPr>
                <w:rFonts w:ascii="Calibri" w:eastAsia="Calibri" w:hAnsi="Calibri" w:cs="Calibri"/>
                <w:b/>
                <w:color w:val="4F81BD"/>
                <w:sz w:val="20"/>
                <w:szCs w:val="20"/>
                <w:lang w:val="en-GB"/>
              </w:rPr>
            </w:pPr>
          </w:p>
          <w:p w14:paraId="584B4C0D" w14:textId="77777777" w:rsidR="00C77DFC" w:rsidRPr="0045151D" w:rsidRDefault="00C77DFC">
            <w:pPr>
              <w:jc w:val="both"/>
              <w:rPr>
                <w:rFonts w:ascii="Calibri" w:eastAsia="Calibri" w:hAnsi="Calibri" w:cs="Calibri"/>
                <w:b/>
                <w:color w:val="4F81BD"/>
                <w:sz w:val="20"/>
                <w:szCs w:val="20"/>
                <w:lang w:val="en-GB"/>
              </w:rPr>
            </w:pPr>
          </w:p>
          <w:p w14:paraId="0B184908" w14:textId="34C08216"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Traffic </w:t>
            </w:r>
            <w:proofErr w:type="spellStart"/>
            <w:r w:rsidRPr="0045151D">
              <w:rPr>
                <w:rFonts w:ascii="Calibri" w:eastAsia="Calibri" w:hAnsi="Calibri" w:cs="Calibri"/>
                <w:b/>
                <w:color w:val="4F81BD"/>
                <w:sz w:val="20"/>
                <w:szCs w:val="20"/>
                <w:lang w:val="en-GB"/>
              </w:rPr>
              <w:t>countings</w:t>
            </w:r>
            <w:proofErr w:type="spellEnd"/>
            <w:r w:rsidRPr="0045151D">
              <w:rPr>
                <w:rFonts w:ascii="Calibri" w:eastAsia="Calibri" w:hAnsi="Calibri" w:cs="Calibri"/>
                <w:b/>
                <w:color w:val="4F81BD"/>
                <w:sz w:val="20"/>
                <w:szCs w:val="20"/>
                <w:lang w:val="en-GB"/>
              </w:rPr>
              <w:t xml:space="preserve"> and surveys</w:t>
            </w:r>
          </w:p>
          <w:p w14:paraId="3DB67CC4" w14:textId="77777777" w:rsidR="00600DEE" w:rsidRPr="0045151D" w:rsidRDefault="00600DEE">
            <w:pPr>
              <w:jc w:val="both"/>
              <w:rPr>
                <w:rFonts w:ascii="Calibri" w:eastAsia="Calibri" w:hAnsi="Calibri" w:cs="Calibri"/>
                <w:sz w:val="20"/>
                <w:szCs w:val="20"/>
                <w:lang w:val="en-GB"/>
              </w:rPr>
            </w:pPr>
          </w:p>
          <w:p w14:paraId="1CDD4246" w14:textId="77777777" w:rsidR="00600DEE" w:rsidRDefault="00641FB5">
            <w:pPr>
              <w:jc w:val="both"/>
              <w:rPr>
                <w:rFonts w:ascii="Calibri" w:eastAsia="Calibri" w:hAnsi="Calibri" w:cs="Calibri"/>
                <w:sz w:val="20"/>
                <w:szCs w:val="20"/>
              </w:rPr>
            </w:pPr>
            <w:r w:rsidRPr="0045151D">
              <w:rPr>
                <w:rFonts w:ascii="Calibri" w:eastAsia="Calibri" w:hAnsi="Calibri" w:cs="Calibri"/>
                <w:sz w:val="20"/>
                <w:szCs w:val="20"/>
                <w:lang w:val="en-GB"/>
              </w:rPr>
              <w:t xml:space="preserve">Traffic forecasts should be based on earlier traffic surveys taking into account seasonal changes (in particular, when calculating AADT). </w:t>
            </w:r>
            <w:proofErr w:type="spellStart"/>
            <w:r>
              <w:rPr>
                <w:rFonts w:ascii="Calibri" w:eastAsia="Calibri" w:hAnsi="Calibri" w:cs="Calibri"/>
                <w:sz w:val="20"/>
                <w:szCs w:val="20"/>
              </w:rPr>
              <w:t>Complementary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traffic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measurements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are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required</w:t>
            </w:r>
            <w:proofErr w:type="spellEnd"/>
            <w:r>
              <w:rPr>
                <w:rFonts w:ascii="Calibri" w:eastAsia="Calibri" w:hAnsi="Calibri" w:cs="Calibri"/>
                <w:sz w:val="20"/>
                <w:szCs w:val="20"/>
              </w:rPr>
              <w:t xml:space="preserve"> in the </w:t>
            </w:r>
            <w:proofErr w:type="spellStart"/>
            <w:r>
              <w:rPr>
                <w:rFonts w:ascii="Calibri" w:eastAsia="Calibri" w:hAnsi="Calibri" w:cs="Calibri"/>
                <w:sz w:val="20"/>
                <w:szCs w:val="20"/>
              </w:rPr>
              <w:t>following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cases</w:t>
            </w:r>
            <w:proofErr w:type="spellEnd"/>
            <w:r>
              <w:rPr>
                <w:rFonts w:ascii="Calibri" w:eastAsia="Calibri" w:hAnsi="Calibri" w:cs="Calibri"/>
                <w:sz w:val="20"/>
                <w:szCs w:val="20"/>
              </w:rPr>
              <w:t>:</w:t>
            </w:r>
          </w:p>
          <w:p w14:paraId="6F442D73" w14:textId="77777777" w:rsidR="00600DEE" w:rsidRPr="0045151D" w:rsidRDefault="00641FB5" w:rsidP="00D5736B">
            <w:pPr>
              <w:numPr>
                <w:ilvl w:val="0"/>
                <w:numId w:val="57"/>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change/s in the network that could influence the traffic flows on the analysed investment sections,</w:t>
            </w:r>
          </w:p>
          <w:p w14:paraId="2590938F" w14:textId="77777777" w:rsidR="00600DEE" w:rsidRPr="0045151D" w:rsidRDefault="00641FB5" w:rsidP="00D5736B">
            <w:pPr>
              <w:numPr>
                <w:ilvl w:val="0"/>
                <w:numId w:val="57"/>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the investment is located in an area of significant socio-economic changes that influence vehicle traffic volume (e.g. dynamically developing urban areas, roads near new or reconstructed border crossings, tourism and recreational areas, logistic centres, commercial zones, etc.).</w:t>
            </w:r>
          </w:p>
          <w:p w14:paraId="36799550" w14:textId="77777777" w:rsidR="00600DEE" w:rsidRPr="0045151D" w:rsidRDefault="00600DEE">
            <w:pPr>
              <w:jc w:val="both"/>
              <w:rPr>
                <w:rFonts w:ascii="Calibri" w:eastAsia="Calibri" w:hAnsi="Calibri" w:cs="Calibri"/>
                <w:sz w:val="20"/>
                <w:szCs w:val="20"/>
                <w:lang w:val="en-GB"/>
              </w:rPr>
            </w:pPr>
          </w:p>
          <w:p w14:paraId="7161F906"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It is necessary to clearly state whether available traffic measurements are sufficient to produce the required project base year model and traffic forecasts. In the absence of sufficient data, additional measurements need to be carried out as part of the analysis. The surveys will be carried out on selected roads and intersections on both national and regional roads as relevant for the project. The number of additional measurement points as well as measuring duration and schedule need to be agreed with the services of road network administrator and the police notified appropriately.</w:t>
            </w:r>
          </w:p>
          <w:p w14:paraId="569B48A6" w14:textId="6E341A4C"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Additional traffic measurements should not last less than 24 hours, in </w:t>
            </w:r>
            <w:r w:rsidR="003A38F9">
              <w:rPr>
                <w:rFonts w:ascii="Calibri" w:eastAsia="Calibri" w:hAnsi="Calibri" w:cs="Calibri"/>
                <w:sz w:val="20"/>
                <w:szCs w:val="20"/>
                <w:lang w:val="en-GB"/>
              </w:rPr>
              <w:t>case of 12 hours measurement it</w:t>
            </w:r>
            <w:r w:rsidRPr="0045151D">
              <w:rPr>
                <w:rFonts w:ascii="Calibri" w:eastAsia="Calibri" w:hAnsi="Calibri" w:cs="Calibri"/>
                <w:sz w:val="20"/>
                <w:szCs w:val="20"/>
                <w:lang w:val="en-GB"/>
              </w:rPr>
              <w:t xml:space="preserve"> should include peak hour traffic. It is not recommended to conduct traffic measurements on weekdays adjacent to the weekend (Monday and Friday) and during periods deviating significantly from the average behaviour of road users (November - March, July - August, long May holiday weekend, the period of Christm</w:t>
            </w:r>
            <w:r w:rsidR="003A38F9">
              <w:rPr>
                <w:rFonts w:ascii="Calibri" w:eastAsia="Calibri" w:hAnsi="Calibri" w:cs="Calibri"/>
                <w:sz w:val="20"/>
                <w:szCs w:val="20"/>
                <w:lang w:val="en-GB"/>
              </w:rPr>
              <w:t>as and Easter, All Saints, etc.</w:t>
            </w:r>
            <w:r w:rsidRPr="0045151D">
              <w:rPr>
                <w:rFonts w:ascii="Calibri" w:eastAsia="Calibri" w:hAnsi="Calibri" w:cs="Calibri"/>
                <w:sz w:val="20"/>
                <w:szCs w:val="20"/>
                <w:lang w:val="en-GB"/>
              </w:rPr>
              <w:t>). Note: this does not apply to projects involving recreational and weekend traffic.</w:t>
            </w:r>
          </w:p>
          <w:p w14:paraId="1E3EF0AF" w14:textId="24D51BB8"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If the project impact area includes or is impacted by road/s (and/or structure/s) or if the project is located within the impact area of another (infrastructural) road investment project where tolls are collected (from all users, or from certain user categories), the amount of these charges and their possible changes during the reference period should also be consulted with the contracting authority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and included in the forecast.</w:t>
            </w:r>
          </w:p>
          <w:p w14:paraId="0A8DC6C2" w14:textId="77777777" w:rsidR="00C77DFC" w:rsidRPr="0045151D" w:rsidRDefault="00C77DFC">
            <w:pPr>
              <w:jc w:val="both"/>
              <w:rPr>
                <w:rFonts w:ascii="Calibri" w:eastAsia="Calibri" w:hAnsi="Calibri" w:cs="Calibri"/>
                <w:sz w:val="20"/>
                <w:szCs w:val="20"/>
                <w:lang w:val="en-GB"/>
              </w:rPr>
            </w:pPr>
          </w:p>
          <w:p w14:paraId="6FA41E05" w14:textId="77777777" w:rsidR="00600DEE" w:rsidRPr="0045151D" w:rsidRDefault="00600DEE">
            <w:pPr>
              <w:jc w:val="both"/>
              <w:rPr>
                <w:rFonts w:ascii="Calibri" w:eastAsia="Calibri" w:hAnsi="Calibri" w:cs="Calibri"/>
                <w:sz w:val="20"/>
                <w:szCs w:val="20"/>
                <w:lang w:val="en-GB"/>
              </w:rPr>
            </w:pPr>
          </w:p>
          <w:p w14:paraId="0620ABB8" w14:textId="77777777" w:rsidR="00600DEE" w:rsidRPr="0045151D" w:rsidRDefault="00600DEE">
            <w:pPr>
              <w:jc w:val="both"/>
              <w:rPr>
                <w:rFonts w:ascii="Calibri" w:eastAsia="Calibri" w:hAnsi="Calibri" w:cs="Calibri"/>
                <w:sz w:val="20"/>
                <w:szCs w:val="20"/>
                <w:lang w:val="en-GB"/>
              </w:rPr>
            </w:pPr>
          </w:p>
          <w:p w14:paraId="2E6855BC"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Network update and detail</w:t>
            </w:r>
          </w:p>
          <w:p w14:paraId="73ADE75C" w14:textId="77777777" w:rsidR="00600DEE" w:rsidRPr="0045151D" w:rsidRDefault="00600DEE">
            <w:pPr>
              <w:jc w:val="both"/>
              <w:rPr>
                <w:rFonts w:ascii="Calibri" w:eastAsia="Calibri" w:hAnsi="Calibri" w:cs="Calibri"/>
                <w:b/>
                <w:sz w:val="20"/>
                <w:szCs w:val="20"/>
                <w:lang w:val="en-GB"/>
              </w:rPr>
            </w:pPr>
          </w:p>
          <w:p w14:paraId="71919AFF"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Depending on the group to which the investment has been assigned (table 6 of the main text), one should develop or elaborate a detailed network model for the expected impact area of the investment, as described in the traffic forecasts chapter No. 1.8 of the present Manual. In case of National Traffic Model, the national roads network may have to be complemented to include local roads in the vicinity of the analysed project.</w:t>
            </w:r>
          </w:p>
          <w:p w14:paraId="79F41C19"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an available traffic model is being adapted, regional conditions must be taken into account and an analysis of assumptions must be made. The model cannot be adapted automatically without examination.</w:t>
            </w:r>
          </w:p>
          <w:p w14:paraId="24E6E7D7" w14:textId="6E631695"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It is important to ensure that the model includes current assumptions regarding the road network development and they are compliant with current strategic documents.</w:t>
            </w:r>
          </w:p>
          <w:p w14:paraId="6A66546D" w14:textId="77777777" w:rsidR="00A709B0" w:rsidRPr="0045151D" w:rsidRDefault="00A709B0">
            <w:pPr>
              <w:jc w:val="both"/>
              <w:rPr>
                <w:rFonts w:ascii="Calibri" w:eastAsia="Calibri" w:hAnsi="Calibri" w:cs="Calibri"/>
                <w:b/>
                <w:sz w:val="20"/>
                <w:szCs w:val="20"/>
                <w:lang w:val="en-GB"/>
              </w:rPr>
            </w:pPr>
          </w:p>
          <w:p w14:paraId="4958E737"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Public transport consideration</w:t>
            </w:r>
          </w:p>
          <w:p w14:paraId="72AB0716" w14:textId="77777777" w:rsidR="00600DEE" w:rsidRPr="0045151D" w:rsidRDefault="00600DEE">
            <w:pPr>
              <w:jc w:val="both"/>
              <w:rPr>
                <w:rFonts w:ascii="Calibri" w:eastAsia="Calibri" w:hAnsi="Calibri" w:cs="Calibri"/>
                <w:b/>
                <w:sz w:val="20"/>
                <w:szCs w:val="20"/>
                <w:lang w:val="en-GB"/>
              </w:rPr>
            </w:pPr>
          </w:p>
          <w:p w14:paraId="263BDC97"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If applicable, the public transport component impact on the project should be </w:t>
            </w:r>
            <w:proofErr w:type="spellStart"/>
            <w:r w:rsidRPr="0045151D">
              <w:rPr>
                <w:rFonts w:ascii="Calibri" w:eastAsia="Calibri" w:hAnsi="Calibri" w:cs="Calibri"/>
                <w:sz w:val="20"/>
                <w:szCs w:val="20"/>
                <w:lang w:val="en-GB"/>
              </w:rPr>
              <w:t>analyzed</w:t>
            </w:r>
            <w:proofErr w:type="spellEnd"/>
            <w:r w:rsidRPr="0045151D">
              <w:rPr>
                <w:rFonts w:ascii="Calibri" w:eastAsia="Calibri" w:hAnsi="Calibri" w:cs="Calibri"/>
                <w:sz w:val="20"/>
                <w:szCs w:val="20"/>
                <w:lang w:val="en-GB"/>
              </w:rPr>
              <w:t xml:space="preserve"> and then appropriately taken into account in the model.</w:t>
            </w:r>
          </w:p>
          <w:p w14:paraId="618A6199" w14:textId="77777777" w:rsidR="00600DEE" w:rsidRPr="0045151D" w:rsidRDefault="00600DEE">
            <w:pPr>
              <w:jc w:val="both"/>
              <w:rPr>
                <w:rFonts w:ascii="Calibri" w:eastAsia="Calibri" w:hAnsi="Calibri" w:cs="Calibri"/>
                <w:sz w:val="20"/>
                <w:szCs w:val="20"/>
                <w:lang w:val="en-GB"/>
              </w:rPr>
            </w:pPr>
          </w:p>
          <w:p w14:paraId="14CF1522"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Development/ elaboration of trip matrices for the base year</w:t>
            </w:r>
          </w:p>
          <w:p w14:paraId="676A7811" w14:textId="77777777" w:rsidR="00600DEE" w:rsidRPr="0045151D" w:rsidRDefault="00600DEE">
            <w:pPr>
              <w:jc w:val="both"/>
              <w:rPr>
                <w:rFonts w:ascii="Calibri" w:eastAsia="Calibri" w:hAnsi="Calibri" w:cs="Calibri"/>
                <w:sz w:val="20"/>
                <w:szCs w:val="20"/>
                <w:lang w:val="en-GB"/>
              </w:rPr>
            </w:pPr>
          </w:p>
          <w:p w14:paraId="7A8CFF49"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Traffic forecasting using models requires calculating a trip matrix. The matrix (so-called traffic travel distribution) is the mathematical representation of the number of trips between various regions of origin and destination within the analysed area. Traffic matrices should be developed according to user categories. The way in which the categories are defined depends on whether the traffic forecast is prepared for non-urban or for urban roads.</w:t>
            </w:r>
          </w:p>
          <w:p w14:paraId="0E2A8EEE"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base year matrix should be developed for the year when the analysis is performed or when complete results of traffic measurements are available (e.g. KBR).</w:t>
            </w:r>
          </w:p>
          <w:p w14:paraId="11B9FA3C"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case of non-urban investments, it is recommended to assume the base year to be the year when the last General Traffic Survey (GPR) was performed (alternatively, future updates of GPR or other national studies ordered by </w:t>
            </w:r>
            <w:proofErr w:type="spellStart"/>
            <w:r w:rsidRPr="0045151D">
              <w:rPr>
                <w:rFonts w:ascii="Calibri" w:eastAsia="Calibri" w:hAnsi="Calibri" w:cs="Calibri"/>
                <w:sz w:val="20"/>
                <w:szCs w:val="20"/>
                <w:lang w:val="en-GB"/>
              </w:rPr>
              <w:lastRenderedPageBreak/>
              <w:t>GDDKiA</w:t>
            </w:r>
            <w:proofErr w:type="spellEnd"/>
            <w:r w:rsidRPr="0045151D">
              <w:rPr>
                <w:rFonts w:ascii="Calibri" w:eastAsia="Calibri" w:hAnsi="Calibri" w:cs="Calibri"/>
                <w:sz w:val="20"/>
                <w:szCs w:val="20"/>
                <w:lang w:val="en-GB"/>
              </w:rPr>
              <w:t>). For the purpose of model verification for the base year, the last GPR results should be used, and/or the results of traffic measurement prepared for CBA purposes (if such measurements were carried out).</w:t>
            </w:r>
          </w:p>
          <w:p w14:paraId="26C184FF"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For urban projects, the base year should be the year of the last Comprehensive Traffic Survey (KBR), provided it was carried out not more than 5 years earlier. If the period from last Comprehensive Traffic Survey is longer than 5 years, the base year shall be the year in which the analysis is being performed.</w:t>
            </w:r>
          </w:p>
          <w:p w14:paraId="69180320"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the National Traffic Model is not used for a non-urban road investment forecasting, the development of the trip matrices and the mathematical models used should be described in detail.</w:t>
            </w:r>
          </w:p>
          <w:p w14:paraId="593CD052" w14:textId="7F2EF77D"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travel distribution for non-urban roads should be developed using the following vehicle categories taken from the National Traffic Model</w:t>
            </w:r>
            <w:r w:rsidR="003A38F9">
              <w:rPr>
                <w:rFonts w:ascii="Calibri" w:eastAsia="Calibri" w:hAnsi="Calibri" w:cs="Calibri"/>
                <w:sz w:val="20"/>
                <w:szCs w:val="20"/>
                <w:vertAlign w:val="superscript"/>
                <w:lang w:val="en-GB"/>
              </w:rPr>
              <w:t>24</w:t>
            </w:r>
            <w:r w:rsidRPr="0045151D">
              <w:rPr>
                <w:rFonts w:ascii="Calibri" w:eastAsia="Calibri" w:hAnsi="Calibri" w:cs="Calibri"/>
                <w:sz w:val="20"/>
                <w:szCs w:val="20"/>
                <w:lang w:val="en-GB"/>
              </w:rPr>
              <w:t>:</w:t>
            </w:r>
          </w:p>
          <w:p w14:paraId="0D10B0A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w:t>
            </w:r>
            <w:proofErr w:type="spellStart"/>
            <w:r>
              <w:rPr>
                <w:rFonts w:ascii="Calibri" w:eastAsia="Calibri" w:hAnsi="Calibri" w:cs="Calibri"/>
                <w:sz w:val="20"/>
                <w:szCs w:val="20"/>
              </w:rPr>
              <w:t>passenger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cars</w:t>
            </w:r>
            <w:proofErr w:type="spellEnd"/>
            <w:r>
              <w:rPr>
                <w:rFonts w:ascii="Calibri" w:eastAsia="Calibri" w:hAnsi="Calibri" w:cs="Calibri"/>
                <w:sz w:val="20"/>
                <w:szCs w:val="20"/>
              </w:rPr>
              <w:t>,</w:t>
            </w:r>
          </w:p>
          <w:p w14:paraId="5454FE55"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SD—</w:t>
            </w:r>
            <w:proofErr w:type="spellStart"/>
            <w:r>
              <w:rPr>
                <w:rFonts w:ascii="Calibri" w:eastAsia="Calibri" w:hAnsi="Calibri" w:cs="Calibri"/>
                <w:sz w:val="20"/>
                <w:szCs w:val="20"/>
              </w:rPr>
              <w:t>commercial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vehicles</w:t>
            </w:r>
            <w:proofErr w:type="spellEnd"/>
            <w:r>
              <w:rPr>
                <w:rFonts w:ascii="Calibri" w:eastAsia="Calibri" w:hAnsi="Calibri" w:cs="Calibri"/>
                <w:sz w:val="20"/>
                <w:szCs w:val="20"/>
              </w:rPr>
              <w:t>,</w:t>
            </w:r>
          </w:p>
          <w:p w14:paraId="5BADE7A8"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trucks,</w:t>
            </w:r>
          </w:p>
          <w:p w14:paraId="399CFDA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proofErr w:type="spellStart"/>
            <w:r>
              <w:rPr>
                <w:rFonts w:ascii="Calibri" w:eastAsia="Calibri" w:hAnsi="Calibri" w:cs="Calibri"/>
                <w:b/>
                <w:sz w:val="20"/>
                <w:szCs w:val="20"/>
              </w:rPr>
              <w:t>SCp</w:t>
            </w:r>
            <w:proofErr w:type="spellEnd"/>
            <w:r>
              <w:rPr>
                <w:rFonts w:ascii="Calibri" w:eastAsia="Calibri" w:hAnsi="Calibri" w:cs="Calibri"/>
                <w:sz w:val="20"/>
                <w:szCs w:val="20"/>
              </w:rPr>
              <w:t xml:space="preserve">—trucks with </w:t>
            </w:r>
            <w:proofErr w:type="spellStart"/>
            <w:r>
              <w:rPr>
                <w:rFonts w:ascii="Calibri" w:eastAsia="Calibri" w:hAnsi="Calibri" w:cs="Calibri"/>
                <w:sz w:val="20"/>
                <w:szCs w:val="20"/>
              </w:rPr>
              <w:t>trailers</w:t>
            </w:r>
            <w:proofErr w:type="spellEnd"/>
            <w:r>
              <w:rPr>
                <w:rFonts w:ascii="Calibri" w:eastAsia="Calibri" w:hAnsi="Calibri" w:cs="Calibri"/>
                <w:sz w:val="20"/>
                <w:szCs w:val="20"/>
              </w:rPr>
              <w:t>.</w:t>
            </w:r>
          </w:p>
          <w:p w14:paraId="56BB156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following vehicle categories division is also acceptable based on the results of the  National Traffic Model:</w:t>
            </w:r>
          </w:p>
          <w:p w14:paraId="623008CC"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LV</w:t>
            </w:r>
            <w:r w:rsidRPr="0045151D">
              <w:rPr>
                <w:rFonts w:ascii="Calibri" w:eastAsia="Calibri" w:hAnsi="Calibri" w:cs="Calibri"/>
                <w:sz w:val="20"/>
                <w:szCs w:val="20"/>
                <w:lang w:val="en-GB"/>
              </w:rPr>
              <w:t xml:space="preserve"> – light vehicles, gross weight &lt; 3,5 tons,</w:t>
            </w:r>
          </w:p>
          <w:p w14:paraId="67CE5CCA"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HGV</w:t>
            </w:r>
            <w:r w:rsidRPr="0045151D">
              <w:rPr>
                <w:rFonts w:ascii="Calibri" w:eastAsia="Calibri" w:hAnsi="Calibri" w:cs="Calibri"/>
                <w:sz w:val="20"/>
                <w:szCs w:val="20"/>
                <w:lang w:val="en-GB"/>
              </w:rPr>
              <w:t xml:space="preserve"> – heavy goods vehicles, gross weight &gt; 3,5 tons (incl. buses).</w:t>
            </w:r>
          </w:p>
          <w:p w14:paraId="72CA93B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For the passenger car matrix, it is advisable to perform a further breakdown based on user motivation including, at least:</w:t>
            </w:r>
          </w:p>
          <w:p w14:paraId="6090ACC3"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 xml:space="preserve">business </w:t>
            </w:r>
            <w:proofErr w:type="spellStart"/>
            <w:r>
              <w:rPr>
                <w:rFonts w:ascii="Calibri" w:eastAsia="Calibri" w:hAnsi="Calibri" w:cs="Calibri"/>
                <w:sz w:val="20"/>
                <w:szCs w:val="20"/>
              </w:rPr>
              <w:t>trips</w:t>
            </w:r>
            <w:proofErr w:type="spellEnd"/>
            <w:r>
              <w:rPr>
                <w:rFonts w:ascii="Calibri" w:eastAsia="Calibri" w:hAnsi="Calibri" w:cs="Calibri"/>
                <w:sz w:val="20"/>
                <w:szCs w:val="20"/>
              </w:rPr>
              <w:t>,</w:t>
            </w:r>
          </w:p>
          <w:p w14:paraId="2940AF59" w14:textId="77777777" w:rsidR="00600DEE" w:rsidRPr="0045151D" w:rsidRDefault="00641FB5" w:rsidP="00D5736B">
            <w:pPr>
              <w:numPr>
                <w:ilvl w:val="0"/>
                <w:numId w:val="77"/>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commuting trips (home-work-home),</w:t>
            </w:r>
          </w:p>
          <w:p w14:paraId="3193C27F"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other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trips</w:t>
            </w:r>
            <w:proofErr w:type="spellEnd"/>
            <w:r>
              <w:rPr>
                <w:rFonts w:ascii="Calibri" w:eastAsia="Calibri" w:hAnsi="Calibri" w:cs="Calibri"/>
                <w:sz w:val="20"/>
                <w:szCs w:val="20"/>
              </w:rPr>
              <w:t>.</w:t>
            </w:r>
          </w:p>
          <w:p w14:paraId="0C9961D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The travel distributions for non-urban roads should be developed in annual average daily traffic (AADT).</w:t>
            </w:r>
          </w:p>
          <w:p w14:paraId="734A8D67"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case of urban investments, it is recommended to calculate the traffic matrix using the traditional 4-stage model of traffic generation and trip assignment, covering the following four stages in the development of the matrix:</w:t>
            </w:r>
          </w:p>
          <w:p w14:paraId="0E1F99A3"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traffic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generation</w:t>
            </w:r>
            <w:proofErr w:type="spellEnd"/>
            <w:r>
              <w:rPr>
                <w:rFonts w:ascii="Calibri" w:eastAsia="Calibri" w:hAnsi="Calibri" w:cs="Calibri"/>
                <w:sz w:val="20"/>
                <w:szCs w:val="20"/>
              </w:rPr>
              <w:t>,</w:t>
            </w:r>
          </w:p>
          <w:p w14:paraId="6D55C75F"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spatial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traffic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distribution</w:t>
            </w:r>
            <w:proofErr w:type="spellEnd"/>
            <w:r>
              <w:rPr>
                <w:rFonts w:ascii="Calibri" w:eastAsia="Calibri" w:hAnsi="Calibri" w:cs="Calibri"/>
                <w:sz w:val="20"/>
                <w:szCs w:val="20"/>
              </w:rPr>
              <w:t>,</w:t>
            </w:r>
          </w:p>
          <w:p w14:paraId="0ECE7A74"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modal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split</w:t>
            </w:r>
            <w:proofErr w:type="spellEnd"/>
            <w:r>
              <w:rPr>
                <w:rFonts w:ascii="Calibri" w:eastAsia="Calibri" w:hAnsi="Calibri" w:cs="Calibri"/>
                <w:sz w:val="20"/>
                <w:szCs w:val="20"/>
              </w:rPr>
              <w:t>,</w:t>
            </w:r>
          </w:p>
          <w:p w14:paraId="223C803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traffic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assignment</w:t>
            </w:r>
            <w:proofErr w:type="spellEnd"/>
            <w:r>
              <w:rPr>
                <w:rFonts w:ascii="Calibri" w:eastAsia="Calibri" w:hAnsi="Calibri" w:cs="Calibri"/>
                <w:sz w:val="20"/>
                <w:szCs w:val="20"/>
              </w:rPr>
              <w:t>.</w:t>
            </w:r>
          </w:p>
          <w:p w14:paraId="060EBFA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urban traffic distributions should be developed broken down into the following vehicle categories:</w:t>
            </w:r>
          </w:p>
          <w:p w14:paraId="7EDB3A10"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w:t>
            </w:r>
            <w:proofErr w:type="spellStart"/>
            <w:r>
              <w:rPr>
                <w:rFonts w:ascii="Calibri" w:eastAsia="Calibri" w:hAnsi="Calibri" w:cs="Calibri"/>
                <w:sz w:val="20"/>
                <w:szCs w:val="20"/>
              </w:rPr>
              <w:t>passenger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cars</w:t>
            </w:r>
            <w:proofErr w:type="spellEnd"/>
            <w:r>
              <w:rPr>
                <w:rFonts w:ascii="Calibri" w:eastAsia="Calibri" w:hAnsi="Calibri" w:cs="Calibri"/>
                <w:sz w:val="20"/>
                <w:szCs w:val="20"/>
              </w:rPr>
              <w:t>,</w:t>
            </w:r>
          </w:p>
          <w:p w14:paraId="3B4F743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w:t>
            </w:r>
            <w:proofErr w:type="spellStart"/>
            <w:r>
              <w:rPr>
                <w:rFonts w:ascii="Calibri" w:eastAsia="Calibri" w:hAnsi="Calibri" w:cs="Calibri"/>
                <w:sz w:val="20"/>
                <w:szCs w:val="20"/>
              </w:rPr>
              <w:t>commercial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vehicles</w:t>
            </w:r>
            <w:proofErr w:type="spellEnd"/>
            <w:r>
              <w:rPr>
                <w:rFonts w:ascii="Calibri" w:eastAsia="Calibri" w:hAnsi="Calibri" w:cs="Calibri"/>
                <w:sz w:val="20"/>
                <w:szCs w:val="20"/>
              </w:rPr>
              <w:t>,</w:t>
            </w:r>
          </w:p>
          <w:p w14:paraId="722969B8"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—trucks</w:t>
            </w:r>
          </w:p>
          <w:p w14:paraId="39C9A397"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proofErr w:type="spellStart"/>
            <w:r>
              <w:rPr>
                <w:rFonts w:ascii="Calibri" w:eastAsia="Calibri" w:hAnsi="Calibri" w:cs="Calibri"/>
                <w:b/>
                <w:sz w:val="20"/>
                <w:szCs w:val="20"/>
              </w:rPr>
              <w:t>SCp</w:t>
            </w:r>
            <w:proofErr w:type="spellEnd"/>
            <w:r>
              <w:rPr>
                <w:rFonts w:ascii="Calibri" w:eastAsia="Calibri" w:hAnsi="Calibri" w:cs="Calibri"/>
                <w:sz w:val="20"/>
                <w:szCs w:val="20"/>
              </w:rPr>
              <w:t xml:space="preserve">—trucks with </w:t>
            </w:r>
            <w:proofErr w:type="spellStart"/>
            <w:r>
              <w:rPr>
                <w:rFonts w:ascii="Calibri" w:eastAsia="Calibri" w:hAnsi="Calibri" w:cs="Calibri"/>
                <w:sz w:val="20"/>
                <w:szCs w:val="20"/>
              </w:rPr>
              <w:t>trailers</w:t>
            </w:r>
            <w:proofErr w:type="spellEnd"/>
            <w:r>
              <w:rPr>
                <w:rFonts w:ascii="Calibri" w:eastAsia="Calibri" w:hAnsi="Calibri" w:cs="Calibri"/>
                <w:sz w:val="20"/>
                <w:szCs w:val="20"/>
              </w:rPr>
              <w:t>/</w:t>
            </w:r>
            <w:proofErr w:type="spellStart"/>
            <w:r>
              <w:rPr>
                <w:rFonts w:ascii="Calibri" w:eastAsia="Calibri" w:hAnsi="Calibri" w:cs="Calibri"/>
                <w:sz w:val="20"/>
                <w:szCs w:val="20"/>
              </w:rPr>
              <w:t>semitrailers</w:t>
            </w:r>
            <w:proofErr w:type="spellEnd"/>
          </w:p>
          <w:p w14:paraId="0795B97E"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A</w:t>
            </w:r>
            <w:r>
              <w:rPr>
                <w:rFonts w:ascii="Calibri" w:eastAsia="Calibri" w:hAnsi="Calibri" w:cs="Calibri"/>
                <w:sz w:val="20"/>
                <w:szCs w:val="20"/>
              </w:rPr>
              <w:t>—</w:t>
            </w:r>
            <w:proofErr w:type="spellStart"/>
            <w:r>
              <w:rPr>
                <w:rFonts w:ascii="Calibri" w:eastAsia="Calibri" w:hAnsi="Calibri" w:cs="Calibri"/>
                <w:sz w:val="20"/>
                <w:szCs w:val="20"/>
              </w:rPr>
              <w:t>buses</w:t>
            </w:r>
            <w:proofErr w:type="spellEnd"/>
            <w:r>
              <w:rPr>
                <w:rFonts w:ascii="Calibri" w:eastAsia="Calibri" w:hAnsi="Calibri" w:cs="Calibri"/>
                <w:sz w:val="20"/>
                <w:szCs w:val="20"/>
              </w:rPr>
              <w:t>.</w:t>
            </w:r>
          </w:p>
          <w:p w14:paraId="15F9BDE4"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following vehicle categories division is also acceptable based on the results of the  KMR or KBR :</w:t>
            </w:r>
          </w:p>
          <w:p w14:paraId="28F68043"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LV</w:t>
            </w:r>
            <w:r w:rsidRPr="0045151D">
              <w:rPr>
                <w:rFonts w:ascii="Calibri" w:eastAsia="Calibri" w:hAnsi="Calibri" w:cs="Calibri"/>
                <w:sz w:val="20"/>
                <w:szCs w:val="20"/>
                <w:lang w:val="en-GB"/>
              </w:rPr>
              <w:t xml:space="preserve"> – light vehicles, gross weight &lt; 3,5 tons,</w:t>
            </w:r>
          </w:p>
          <w:p w14:paraId="13A3592B"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HGV</w:t>
            </w:r>
            <w:r w:rsidRPr="0045151D">
              <w:rPr>
                <w:rFonts w:ascii="Calibri" w:eastAsia="Calibri" w:hAnsi="Calibri" w:cs="Calibri"/>
                <w:sz w:val="20"/>
                <w:szCs w:val="20"/>
                <w:lang w:val="en-GB"/>
              </w:rPr>
              <w:t xml:space="preserve"> – heavy goods vehicles, gross weight &gt; 3,5 tons (incl. buses).</w:t>
            </w:r>
          </w:p>
          <w:p w14:paraId="7CA07D64"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Passenger car urban distributions should be broken down into travel motivations. It is advisable to adopt the traditional breakdown used in previous street network analyses, including:</w:t>
            </w:r>
          </w:p>
          <w:p w14:paraId="33F75D11"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home-work-home trips (DPD),</w:t>
            </w:r>
          </w:p>
          <w:p w14:paraId="33BA12D8"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home-school-home trips (DND),</w:t>
            </w:r>
          </w:p>
          <w:p w14:paraId="0471AEC1"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home-other-home trips (DID),</w:t>
            </w:r>
          </w:p>
          <w:p w14:paraId="1849E421"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trips not connected with home.</w:t>
            </w:r>
          </w:p>
          <w:p w14:paraId="65C17A7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 xml:space="preserve">For the home-school-home and home-other-home trip motivations, the unit cost used for calculations may be assumed at the level of </w:t>
            </w:r>
            <w:r w:rsidRPr="0045151D">
              <w:rPr>
                <w:rFonts w:ascii="Calibri" w:eastAsia="Calibri" w:hAnsi="Calibri" w:cs="Calibri"/>
                <w:i/>
                <w:sz w:val="20"/>
                <w:szCs w:val="20"/>
                <w:lang w:val="en-GB"/>
              </w:rPr>
              <w:t>Others</w:t>
            </w:r>
            <w:r w:rsidRPr="0045151D">
              <w:rPr>
                <w:rFonts w:ascii="Calibri" w:eastAsia="Calibri" w:hAnsi="Calibri" w:cs="Calibri"/>
                <w:sz w:val="20"/>
                <w:szCs w:val="20"/>
                <w:lang w:val="en-GB"/>
              </w:rPr>
              <w:t xml:space="preserve"> category from the table Unit costs of time in</w:t>
            </w:r>
            <w:r w:rsidRPr="0045151D">
              <w:rPr>
                <w:rFonts w:ascii="Calibri" w:eastAsia="Calibri" w:hAnsi="Calibri" w:cs="Calibri"/>
                <w:lang w:val="en-GB"/>
              </w:rPr>
              <w:t xml:space="preserve"> </w:t>
            </w:r>
            <w:r w:rsidRPr="0045151D">
              <w:rPr>
                <w:rFonts w:ascii="Calibri" w:eastAsia="Calibri" w:hAnsi="Calibri" w:cs="Calibri"/>
                <w:sz w:val="20"/>
                <w:szCs w:val="20"/>
                <w:lang w:val="en-GB"/>
              </w:rPr>
              <w:t>Appendix A.</w:t>
            </w:r>
          </w:p>
          <w:p w14:paraId="4A82FA39" w14:textId="24AFC101"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another division of passenger car motivations is assumed, it has to be described in detail. It is also required to assign relevant unit costs to the categories</w:t>
            </w:r>
            <w:r w:rsidR="006C5DD9">
              <w:rPr>
                <w:rFonts w:ascii="Calibri" w:eastAsia="Calibri" w:hAnsi="Calibri" w:cs="Calibri"/>
                <w:sz w:val="20"/>
                <w:szCs w:val="20"/>
                <w:lang w:val="en-GB"/>
              </w:rPr>
              <w:t xml:space="preserve"> and provide </w:t>
            </w:r>
            <w:proofErr w:type="spellStart"/>
            <w:r w:rsidR="006C5DD9">
              <w:rPr>
                <w:rFonts w:ascii="Calibri" w:eastAsia="Calibri" w:hAnsi="Calibri" w:cs="Calibri"/>
                <w:sz w:val="20"/>
                <w:szCs w:val="20"/>
                <w:lang w:val="en-GB"/>
              </w:rPr>
              <w:t>substantation</w:t>
            </w:r>
            <w:proofErr w:type="spellEnd"/>
            <w:r w:rsidRPr="0045151D">
              <w:rPr>
                <w:rFonts w:ascii="Calibri" w:eastAsia="Calibri" w:hAnsi="Calibri" w:cs="Calibri"/>
                <w:sz w:val="20"/>
                <w:szCs w:val="20"/>
                <w:lang w:val="en-GB"/>
              </w:rPr>
              <w:t xml:space="preserve">. </w:t>
            </w:r>
          </w:p>
          <w:p w14:paraId="1DC626E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Traffic matrices for urban investments should consider the following:</w:t>
            </w:r>
          </w:p>
          <w:p w14:paraId="55CEA58F" w14:textId="77777777" w:rsidR="00600DEE" w:rsidRPr="0045151D" w:rsidRDefault="00641FB5">
            <w:pPr>
              <w:numPr>
                <w:ilvl w:val="0"/>
                <w:numId w:val="4"/>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internal traffic (defined as traffic whose beginning and end is located inside the analysed area),</w:t>
            </w:r>
          </w:p>
          <w:p w14:paraId="73B249A5" w14:textId="77777777" w:rsidR="00600DEE" w:rsidRPr="0045151D" w:rsidRDefault="00641FB5">
            <w:pPr>
              <w:numPr>
                <w:ilvl w:val="0"/>
                <w:numId w:val="4"/>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transit traffic (defined as traffic whose beginning and end is located  outside of the analysed area),</w:t>
            </w:r>
          </w:p>
          <w:p w14:paraId="19C031F6" w14:textId="77777777" w:rsidR="00600DEE" w:rsidRPr="0045151D" w:rsidRDefault="00641FB5">
            <w:pPr>
              <w:numPr>
                <w:ilvl w:val="0"/>
                <w:numId w:val="4"/>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origin-destination traffic (defined as traffic whose beginning or end is located inside the analysed area).</w:t>
            </w:r>
          </w:p>
          <w:p w14:paraId="7D4956F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Taking into consideration the nature of urban traffic which is characterised by high variability throughout the day, matrices should be developed hourly – at least for the peak hours.</w:t>
            </w:r>
          </w:p>
          <w:p w14:paraId="0199850B" w14:textId="77777777" w:rsidR="00600DEE" w:rsidRPr="0045151D" w:rsidRDefault="00600DEE">
            <w:pPr>
              <w:jc w:val="both"/>
              <w:rPr>
                <w:rFonts w:ascii="Calibri" w:eastAsia="Calibri" w:hAnsi="Calibri" w:cs="Calibri"/>
                <w:b/>
                <w:sz w:val="20"/>
                <w:szCs w:val="20"/>
                <w:lang w:val="en-GB"/>
              </w:rPr>
            </w:pPr>
          </w:p>
          <w:p w14:paraId="4FBB4D6A"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Update of demand function variables </w:t>
            </w:r>
          </w:p>
          <w:p w14:paraId="5F95B712" w14:textId="77777777" w:rsidR="00600DEE" w:rsidRPr="0045151D" w:rsidRDefault="00600DEE">
            <w:pPr>
              <w:jc w:val="both"/>
              <w:rPr>
                <w:rFonts w:ascii="Calibri" w:eastAsia="Calibri" w:hAnsi="Calibri" w:cs="Calibri"/>
                <w:sz w:val="20"/>
                <w:szCs w:val="20"/>
                <w:lang w:val="en-GB"/>
              </w:rPr>
            </w:pPr>
          </w:p>
          <w:p w14:paraId="0D9D0608"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Traffic growth rates for the forecasted period should be based on the current GDP growth table published on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website, applying the so-called elasticity indicators for different vehicle categories.</w:t>
            </w:r>
          </w:p>
          <w:p w14:paraId="5BFD283D" w14:textId="77777777" w:rsidR="00600DEE" w:rsidRPr="0045151D" w:rsidRDefault="00600DEE">
            <w:pPr>
              <w:jc w:val="both"/>
              <w:rPr>
                <w:rFonts w:ascii="Calibri" w:eastAsia="Calibri" w:hAnsi="Calibri" w:cs="Calibri"/>
                <w:sz w:val="20"/>
                <w:szCs w:val="20"/>
                <w:lang w:val="en-GB"/>
              </w:rPr>
            </w:pPr>
          </w:p>
          <w:p w14:paraId="19FD8301" w14:textId="77777777" w:rsidR="00600DEE" w:rsidRPr="0045151D" w:rsidRDefault="00600DEE">
            <w:pPr>
              <w:jc w:val="both"/>
              <w:rPr>
                <w:rFonts w:ascii="Calibri" w:eastAsia="Calibri" w:hAnsi="Calibri" w:cs="Calibri"/>
                <w:b/>
                <w:sz w:val="20"/>
                <w:szCs w:val="20"/>
                <w:lang w:val="en-GB"/>
              </w:rPr>
            </w:pPr>
          </w:p>
          <w:p w14:paraId="2D9784D9" w14:textId="77777777" w:rsidR="00600DEE" w:rsidRPr="0045151D" w:rsidRDefault="00641FB5" w:rsidP="00A709B0">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III. CALIBRATION AND VALIDATION OF THE MODEL</w:t>
            </w:r>
          </w:p>
          <w:p w14:paraId="28D03740" w14:textId="77777777" w:rsidR="00600DEE" w:rsidRPr="0045151D" w:rsidRDefault="00600DEE">
            <w:pPr>
              <w:jc w:val="both"/>
              <w:rPr>
                <w:rFonts w:ascii="Calibri" w:eastAsia="Calibri" w:hAnsi="Calibri" w:cs="Calibri"/>
                <w:sz w:val="20"/>
                <w:szCs w:val="20"/>
                <w:lang w:val="en-GB"/>
              </w:rPr>
            </w:pPr>
          </w:p>
          <w:p w14:paraId="56E4517D"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order to validate the correctness of the traffic model, a comparison should be made between data from measurements in the base year and the results obtained from the traffic model for that year.</w:t>
            </w:r>
          </w:p>
          <w:p w14:paraId="10170DF1"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method used to establish the network traffic distribution and the respective basic distribution parameters need to be presented (i.e. value of time, vehicle operating costs and other applicable components of the generalized travel cost function).</w:t>
            </w:r>
          </w:p>
          <w:p w14:paraId="5F7E8EBF"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At least, the following values are recommended to be compared and analysed for the verification of the traffic model:</w:t>
            </w:r>
          </w:p>
          <w:p w14:paraId="15371812"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traffic volume divided into basic vehicle categories,</w:t>
            </w:r>
          </w:p>
          <w:p w14:paraId="7DA3267A"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average travel speed on sections,</w:t>
            </w:r>
          </w:p>
          <w:p w14:paraId="77082282"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distribution of average length of travel in the whole network for individual user categories,</w:t>
            </w:r>
          </w:p>
          <w:p w14:paraId="0E20CFBD"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compliance of journey spatial distribution with survey results (if carried out).</w:t>
            </w:r>
          </w:p>
          <w:p w14:paraId="1BCE388A"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Results of the verification should be presented in a table format.</w:t>
            </w:r>
          </w:p>
          <w:p w14:paraId="515BC66C"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Results of urban traffic models should be verified on the basis of available data from the Comprehensive Traffic Surveys (KPR). If the comprehensive studies are more than 5 years old, the verification of the model should be based on results of measurements made for the CBA.</w:t>
            </w:r>
          </w:p>
          <w:p w14:paraId="15874E53" w14:textId="618C71E0"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Tolerances for particular values are diverse. It is assumed that a model provides a correct representation of the real traffic conditions if the discrepancy between measurements and the model results within the </w:t>
            </w:r>
            <w:proofErr w:type="spellStart"/>
            <w:r w:rsidRPr="0045151D">
              <w:rPr>
                <w:rFonts w:ascii="Calibri" w:eastAsia="Calibri" w:hAnsi="Calibri" w:cs="Calibri"/>
                <w:sz w:val="20"/>
                <w:szCs w:val="20"/>
                <w:lang w:val="en-GB"/>
              </w:rPr>
              <w:t>analyzed</w:t>
            </w:r>
            <w:proofErr w:type="spellEnd"/>
            <w:r w:rsidRPr="0045151D">
              <w:rPr>
                <w:rFonts w:ascii="Calibri" w:eastAsia="Calibri" w:hAnsi="Calibri" w:cs="Calibri"/>
                <w:sz w:val="20"/>
                <w:szCs w:val="20"/>
                <w:lang w:val="en-GB"/>
              </w:rPr>
              <w:t xml:space="preserve"> road network does not exceed +/-15%.</w:t>
            </w:r>
          </w:p>
          <w:p w14:paraId="02D47729" w14:textId="77777777" w:rsidR="00600DEE" w:rsidRPr="0045151D" w:rsidRDefault="00600DEE">
            <w:pPr>
              <w:jc w:val="both"/>
              <w:rPr>
                <w:rFonts w:ascii="Calibri" w:eastAsia="Calibri" w:hAnsi="Calibri" w:cs="Calibri"/>
                <w:sz w:val="20"/>
                <w:szCs w:val="20"/>
                <w:lang w:val="en-GB"/>
              </w:rPr>
            </w:pPr>
          </w:p>
          <w:p w14:paraId="2BEC0B6E" w14:textId="63F9888C"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Specifically for urban and regional models (based on city peak hours traffic), it is recommend to check the model calibration by calculating the GEH statistic index (Geoffrey </w:t>
            </w:r>
            <w:proofErr w:type="spellStart"/>
            <w:r w:rsidRPr="0045151D">
              <w:rPr>
                <w:rFonts w:ascii="Calibri" w:eastAsia="Calibri" w:hAnsi="Calibri" w:cs="Calibri"/>
                <w:sz w:val="20"/>
                <w:szCs w:val="20"/>
                <w:lang w:val="en-GB"/>
              </w:rPr>
              <w:t>E.Havers</w:t>
            </w:r>
            <w:proofErr w:type="spellEnd"/>
            <w:r w:rsidRPr="0045151D">
              <w:rPr>
                <w:rFonts w:ascii="Calibri" w:eastAsia="Calibri" w:hAnsi="Calibri" w:cs="Calibri"/>
                <w:sz w:val="20"/>
                <w:szCs w:val="20"/>
                <w:lang w:val="en-GB"/>
              </w:rPr>
              <w:t xml:space="preserve"> formula, similar to the chi-squared test) :</w:t>
            </w:r>
          </w:p>
          <w:p w14:paraId="76F84B75" w14:textId="77777777" w:rsidR="00B070AD" w:rsidRPr="0045151D" w:rsidRDefault="00B070AD">
            <w:pPr>
              <w:jc w:val="both"/>
              <w:rPr>
                <w:rFonts w:ascii="Calibri" w:eastAsia="Calibri" w:hAnsi="Calibri" w:cs="Calibri"/>
                <w:sz w:val="20"/>
                <w:szCs w:val="20"/>
                <w:lang w:val="en-GB"/>
              </w:rPr>
            </w:pPr>
          </w:p>
          <w:p w14:paraId="197F42E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object w:dxaOrig="2633" w:dyaOrig="728" w14:anchorId="3CA36426">
                <v:shape id="_x0000_i1042" type="#_x0000_t75" style="width:131.85pt;height:36.45pt" o:ole="" filled="t">
                  <v:fill color2="black"/>
                  <v:imagedata r:id="rId145" o:title=""/>
                </v:shape>
                <o:OLEObject Type="Embed" ProgID="Equation.3" ShapeID="_x0000_i1042" DrawAspect="Content" ObjectID="_1708947484" r:id="rId148"/>
              </w:object>
            </w:r>
          </w:p>
          <w:p w14:paraId="4236240E"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where:</w:t>
            </w:r>
          </w:p>
          <w:p w14:paraId="3212174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M – traffic on the section from the model (vehicles/hour)</w:t>
            </w:r>
          </w:p>
          <w:p w14:paraId="7B13279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C – traffic on the section from measurements (vehicles/hour)</w:t>
            </w:r>
          </w:p>
          <w:p w14:paraId="28E2221F" w14:textId="77777777" w:rsidR="00600DEE" w:rsidRPr="0045151D" w:rsidRDefault="00641FB5">
            <w:pPr>
              <w:spacing w:before="120" w:after="120"/>
              <w:jc w:val="both"/>
              <w:rPr>
                <w:rFonts w:ascii="Calibri" w:eastAsia="Calibri" w:hAnsi="Calibri" w:cs="Calibri"/>
                <w:sz w:val="20"/>
                <w:szCs w:val="20"/>
                <w:lang w:val="en-GB"/>
              </w:rPr>
            </w:pPr>
            <w:proofErr w:type="spellStart"/>
            <w:r w:rsidRPr="0045151D">
              <w:rPr>
                <w:rFonts w:ascii="Calibri" w:eastAsia="Calibri" w:hAnsi="Calibri" w:cs="Calibri"/>
                <w:sz w:val="20"/>
                <w:szCs w:val="20"/>
                <w:lang w:val="en-GB"/>
              </w:rPr>
              <w:t>i</w:t>
            </w:r>
            <w:proofErr w:type="spellEnd"/>
            <w:r w:rsidRPr="0045151D">
              <w:rPr>
                <w:rFonts w:ascii="Calibri" w:eastAsia="Calibri" w:hAnsi="Calibri" w:cs="Calibri"/>
                <w:sz w:val="20"/>
                <w:szCs w:val="20"/>
                <w:lang w:val="en-GB"/>
              </w:rPr>
              <w:t xml:space="preserve"> –road section</w:t>
            </w:r>
          </w:p>
          <w:p w14:paraId="0643D28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value of the index should be determined separately for each type of vehicles included in the model.</w:t>
            </w:r>
          </w:p>
          <w:p w14:paraId="72EF977F"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When calculating the index, traffic should be in vehicles/hour when data is available for the area concerned, or alternatively AADT for the section divided by 12 should be used.</w:t>
            </w:r>
          </w:p>
          <w:p w14:paraId="6C93CDE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Validation should be considered positive when the value of GEH statistic &lt;5 for at least 85% of all analysed sections.</w:t>
            </w:r>
          </w:p>
          <w:p w14:paraId="7D4F3756"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It is also recommended to validate the calibrated traffic volumes by comparison of groups of links as </w:t>
            </w:r>
            <w:proofErr w:type="spellStart"/>
            <w:r w:rsidRPr="0045151D">
              <w:rPr>
                <w:rFonts w:ascii="Calibri" w:eastAsia="Calibri" w:hAnsi="Calibri" w:cs="Calibri"/>
                <w:sz w:val="20"/>
                <w:szCs w:val="20"/>
                <w:lang w:val="en-GB"/>
              </w:rPr>
              <w:t>screenlines</w:t>
            </w:r>
            <w:proofErr w:type="spellEnd"/>
            <w:r w:rsidRPr="0045151D">
              <w:rPr>
                <w:rFonts w:ascii="Calibri" w:eastAsia="Calibri" w:hAnsi="Calibri" w:cs="Calibri"/>
                <w:sz w:val="20"/>
                <w:szCs w:val="20"/>
                <w:lang w:val="en-GB"/>
              </w:rPr>
              <w:t xml:space="preserve"> with traffic counts; the GEH statistic &lt; 5% for more than 85% cases is acceptable. </w:t>
            </w:r>
          </w:p>
          <w:p w14:paraId="630ADA66" w14:textId="77777777" w:rsidR="00600DEE" w:rsidRPr="0045151D" w:rsidRDefault="00600DEE">
            <w:pPr>
              <w:jc w:val="both"/>
              <w:rPr>
                <w:rFonts w:ascii="Calibri" w:eastAsia="Calibri" w:hAnsi="Calibri" w:cs="Calibri"/>
                <w:sz w:val="20"/>
                <w:szCs w:val="20"/>
                <w:lang w:val="en-GB"/>
              </w:rPr>
            </w:pPr>
          </w:p>
          <w:p w14:paraId="32695425" w14:textId="77777777" w:rsidR="00600DEE" w:rsidRPr="0045151D" w:rsidRDefault="00600DEE">
            <w:pPr>
              <w:jc w:val="both"/>
              <w:rPr>
                <w:rFonts w:ascii="Calibri" w:eastAsia="Calibri" w:hAnsi="Calibri" w:cs="Calibri"/>
                <w:sz w:val="20"/>
                <w:szCs w:val="20"/>
                <w:lang w:val="en-GB"/>
              </w:rPr>
            </w:pPr>
          </w:p>
          <w:p w14:paraId="0DCDE829"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IV. TRAFFIC FORECAST – ASSUMPTIONS</w:t>
            </w:r>
          </w:p>
          <w:p w14:paraId="2F5022C5" w14:textId="77777777" w:rsidR="00600DEE" w:rsidRPr="0045151D" w:rsidRDefault="00600DEE">
            <w:pPr>
              <w:jc w:val="both"/>
              <w:rPr>
                <w:rFonts w:ascii="Calibri" w:eastAsia="Calibri" w:hAnsi="Calibri" w:cs="Calibri"/>
                <w:sz w:val="20"/>
                <w:szCs w:val="20"/>
                <w:lang w:val="en-GB"/>
              </w:rPr>
            </w:pPr>
          </w:p>
          <w:p w14:paraId="3052AA0C"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b/>
                <w:sz w:val="20"/>
                <w:szCs w:val="20"/>
                <w:lang w:val="en-GB"/>
              </w:rPr>
              <w:t xml:space="preserve">The forecasting method and its required output results should be adapted to the project type, in compliance with table 6 in chapter 1.8.1. </w:t>
            </w:r>
            <w:r w:rsidRPr="0045151D">
              <w:rPr>
                <w:rFonts w:ascii="Calibri" w:eastAsia="Calibri" w:hAnsi="Calibri" w:cs="Calibri"/>
                <w:sz w:val="20"/>
                <w:szCs w:val="20"/>
                <w:lang w:val="en-GB"/>
              </w:rPr>
              <w:t>Therefore, the following rules shall apply respectively to the adopted forecasting method.</w:t>
            </w:r>
          </w:p>
          <w:p w14:paraId="6E5256F6" w14:textId="77777777" w:rsidR="00600DEE" w:rsidRPr="0045151D" w:rsidRDefault="00600DEE">
            <w:pPr>
              <w:jc w:val="both"/>
              <w:rPr>
                <w:rFonts w:ascii="Calibri" w:eastAsia="Calibri" w:hAnsi="Calibri" w:cs="Calibri"/>
                <w:sz w:val="20"/>
                <w:szCs w:val="20"/>
                <w:lang w:val="en-GB"/>
              </w:rPr>
            </w:pPr>
          </w:p>
          <w:p w14:paraId="67DF1BF1"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Network development analysis</w:t>
            </w:r>
          </w:p>
          <w:p w14:paraId="753FE110" w14:textId="77777777" w:rsidR="00600DEE" w:rsidRPr="0045151D" w:rsidRDefault="00600DEE">
            <w:pPr>
              <w:jc w:val="both"/>
              <w:rPr>
                <w:rFonts w:ascii="Calibri" w:eastAsia="Calibri" w:hAnsi="Calibri" w:cs="Calibri"/>
                <w:sz w:val="20"/>
                <w:szCs w:val="20"/>
                <w:lang w:val="en-GB"/>
              </w:rPr>
            </w:pPr>
          </w:p>
          <w:p w14:paraId="2EAA0DF6"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Changes in the development of the road network in terms of supply, i.e. the development of infrastructure, are very important and have a great impact on the final traffic forecasts that are used as the basis for further analyses. Forecasts should consider future road network development including any changes in the transport infrastructure within the analysed area. </w:t>
            </w:r>
          </w:p>
          <w:p w14:paraId="4CE6669D"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most likely scenario for the development of the road network in the reference period should be subject of the analysis, consistent with current strategic documents. The scenario should be the same for the without-the-project option (W0) and the investment option (</w:t>
            </w:r>
            <w:proofErr w:type="spellStart"/>
            <w:r w:rsidRPr="0045151D">
              <w:rPr>
                <w:rFonts w:ascii="Calibri" w:eastAsia="Calibri" w:hAnsi="Calibri" w:cs="Calibri"/>
                <w:sz w:val="20"/>
                <w:szCs w:val="20"/>
                <w:lang w:val="en-GB"/>
              </w:rPr>
              <w:t>Wn</w:t>
            </w:r>
            <w:proofErr w:type="spellEnd"/>
            <w:r w:rsidRPr="0045151D">
              <w:rPr>
                <w:rFonts w:ascii="Calibri" w:eastAsia="Calibri" w:hAnsi="Calibri" w:cs="Calibri"/>
                <w:sz w:val="20"/>
                <w:szCs w:val="20"/>
                <w:lang w:val="en-GB"/>
              </w:rPr>
              <w:t>).</w:t>
            </w:r>
          </w:p>
          <w:p w14:paraId="3DFB837B"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Without-the-project option and investment option must consider both existing and planned road network. Compared options differ only in the fact that the investment scenario takes into account the planned investment (project).</w:t>
            </w:r>
          </w:p>
          <w:p w14:paraId="74EFD57B" w14:textId="736350D6" w:rsidR="00600DEE" w:rsidRPr="0045151D" w:rsidRDefault="00600DEE">
            <w:pPr>
              <w:jc w:val="both"/>
              <w:rPr>
                <w:rFonts w:ascii="Calibri" w:eastAsia="Calibri" w:hAnsi="Calibri" w:cs="Calibri"/>
                <w:sz w:val="20"/>
                <w:szCs w:val="20"/>
                <w:lang w:val="en-GB"/>
              </w:rPr>
            </w:pPr>
          </w:p>
          <w:p w14:paraId="442121F2" w14:textId="462012A9" w:rsidR="007274C4" w:rsidRPr="0045151D" w:rsidRDefault="007274C4">
            <w:pPr>
              <w:jc w:val="both"/>
              <w:rPr>
                <w:rFonts w:ascii="Calibri" w:eastAsia="Calibri" w:hAnsi="Calibri" w:cs="Calibri"/>
                <w:sz w:val="20"/>
                <w:szCs w:val="20"/>
                <w:lang w:val="en-GB"/>
              </w:rPr>
            </w:pPr>
          </w:p>
          <w:p w14:paraId="5778BDC0" w14:textId="77777777" w:rsidR="007274C4" w:rsidRPr="0045151D" w:rsidRDefault="007274C4">
            <w:pPr>
              <w:jc w:val="both"/>
              <w:rPr>
                <w:rFonts w:ascii="Calibri" w:eastAsia="Calibri" w:hAnsi="Calibri" w:cs="Calibri"/>
                <w:sz w:val="20"/>
                <w:szCs w:val="20"/>
                <w:lang w:val="en-GB"/>
              </w:rPr>
            </w:pPr>
          </w:p>
          <w:p w14:paraId="2FDDBAAF" w14:textId="77777777" w:rsidR="00600DEE" w:rsidRPr="0045151D" w:rsidRDefault="00600DEE">
            <w:pPr>
              <w:jc w:val="both"/>
              <w:rPr>
                <w:rFonts w:ascii="Calibri" w:eastAsia="Calibri" w:hAnsi="Calibri" w:cs="Calibri"/>
                <w:sz w:val="20"/>
                <w:szCs w:val="20"/>
                <w:lang w:val="en-GB"/>
              </w:rPr>
            </w:pPr>
          </w:p>
          <w:p w14:paraId="684F8DBC"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Traffic growth indicators</w:t>
            </w:r>
          </w:p>
          <w:p w14:paraId="4EFD4E0C" w14:textId="77777777" w:rsidR="00600DEE" w:rsidRPr="0045151D" w:rsidRDefault="00600DEE">
            <w:pPr>
              <w:jc w:val="both"/>
              <w:rPr>
                <w:rFonts w:ascii="Calibri" w:eastAsia="Calibri" w:hAnsi="Calibri" w:cs="Calibri"/>
                <w:sz w:val="20"/>
                <w:szCs w:val="20"/>
                <w:lang w:val="en-GB"/>
              </w:rPr>
            </w:pPr>
          </w:p>
          <w:p w14:paraId="66A7F9A6"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Forecasted vehicle flows on specified road network sections may be estimated by means of:</w:t>
            </w:r>
          </w:p>
          <w:p w14:paraId="55214698" w14:textId="77777777" w:rsidR="00600DEE" w:rsidRPr="0045151D" w:rsidRDefault="00641FB5" w:rsidP="00D5736B">
            <w:pPr>
              <w:numPr>
                <w:ilvl w:val="0"/>
                <w:numId w:val="66"/>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simplified traffic forecasting method – e.g. indicator method,</w:t>
            </w:r>
          </w:p>
          <w:p w14:paraId="789E27A2" w14:textId="77777777" w:rsidR="00600DEE" w:rsidRDefault="00641FB5" w:rsidP="00D5736B">
            <w:pPr>
              <w:numPr>
                <w:ilvl w:val="0"/>
                <w:numId w:val="66"/>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traffic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modelling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method</w:t>
            </w:r>
            <w:proofErr w:type="spellEnd"/>
            <w:r>
              <w:rPr>
                <w:rFonts w:ascii="Calibri" w:eastAsia="Calibri" w:hAnsi="Calibri" w:cs="Calibri"/>
                <w:sz w:val="20"/>
                <w:szCs w:val="20"/>
              </w:rPr>
              <w:t>.</w:t>
            </w:r>
          </w:p>
          <w:p w14:paraId="666359B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choice of the method depends on the classification of the investment (as presented in table 6 in chapter 1.8 Traffic Forecasts).</w:t>
            </w:r>
          </w:p>
          <w:p w14:paraId="0C751EF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When using the modelling method, traffic growth rates for the forecasted period should be taken from the current GDP growth table published on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website, and including the so-called elasticity indicators for different vehicle categories.</w:t>
            </w:r>
          </w:p>
          <w:p w14:paraId="0430C125" w14:textId="77777777" w:rsidR="00600DEE" w:rsidRPr="0045151D" w:rsidRDefault="00600DEE">
            <w:pPr>
              <w:spacing w:before="120" w:after="120"/>
              <w:jc w:val="both"/>
              <w:rPr>
                <w:rFonts w:ascii="Calibri" w:eastAsia="Calibri" w:hAnsi="Calibri" w:cs="Calibri"/>
                <w:b/>
                <w:sz w:val="20"/>
                <w:szCs w:val="20"/>
                <w:lang w:val="en-GB"/>
              </w:rPr>
            </w:pPr>
          </w:p>
          <w:p w14:paraId="5D6E67C1" w14:textId="77777777" w:rsidR="00600DEE" w:rsidRPr="0045151D" w:rsidRDefault="00600DEE">
            <w:pPr>
              <w:spacing w:before="120" w:after="120"/>
              <w:jc w:val="both"/>
              <w:rPr>
                <w:rFonts w:ascii="Calibri" w:eastAsia="Calibri" w:hAnsi="Calibri" w:cs="Calibri"/>
                <w:b/>
                <w:sz w:val="20"/>
                <w:szCs w:val="20"/>
                <w:lang w:val="en-GB"/>
              </w:rPr>
            </w:pPr>
          </w:p>
          <w:p w14:paraId="757ADACD" w14:textId="59172165" w:rsidR="00600DEE" w:rsidRPr="0045151D" w:rsidRDefault="00641FB5" w:rsidP="005C4AAD">
            <w:pPr>
              <w:spacing w:before="240" w:after="120"/>
              <w:ind w:left="707" w:hanging="707"/>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 Elasticity of traffic growth indicators a</w:t>
            </w:r>
            <w:r w:rsidR="003A38F9">
              <w:rPr>
                <w:rFonts w:ascii="Calibri" w:eastAsia="Calibri" w:hAnsi="Calibri" w:cs="Calibri"/>
                <w:b/>
                <w:color w:val="4F81BD"/>
                <w:sz w:val="20"/>
                <w:szCs w:val="20"/>
                <w:lang w:val="en-GB"/>
              </w:rPr>
              <w:t xml:space="preserve">ccording to </w:t>
            </w:r>
            <w:proofErr w:type="spellStart"/>
            <w:r w:rsidR="003A38F9">
              <w:rPr>
                <w:rFonts w:ascii="Calibri" w:eastAsia="Calibri" w:hAnsi="Calibri" w:cs="Calibri"/>
                <w:b/>
                <w:color w:val="4F81BD"/>
                <w:sz w:val="20"/>
                <w:szCs w:val="20"/>
                <w:lang w:val="en-GB"/>
              </w:rPr>
              <w:t>GDDKiA</w:t>
            </w:r>
            <w:proofErr w:type="spellEnd"/>
            <w:r w:rsidR="003A38F9">
              <w:rPr>
                <w:rFonts w:ascii="Calibri" w:eastAsia="Calibri" w:hAnsi="Calibri" w:cs="Calibri"/>
                <w:b/>
                <w:color w:val="4F81BD"/>
                <w:sz w:val="20"/>
                <w:szCs w:val="20"/>
                <w:lang w:val="en-GB"/>
              </w:rPr>
              <w:t xml:space="preserve"> modelling </w:t>
            </w:r>
            <w:r w:rsidR="003A38F9">
              <w:rPr>
                <w:rFonts w:ascii="Calibri" w:eastAsia="Calibri" w:hAnsi="Calibri" w:cs="Calibri"/>
                <w:b/>
                <w:color w:val="4F81BD"/>
                <w:sz w:val="20"/>
                <w:szCs w:val="20"/>
                <w:lang w:val="en-GB"/>
              </w:rPr>
              <w:br/>
              <w:t xml:space="preserve"> </w:t>
            </w:r>
            <w:r w:rsidRPr="0045151D">
              <w:rPr>
                <w:rFonts w:ascii="Calibri" w:eastAsia="Calibri" w:hAnsi="Calibri" w:cs="Calibri"/>
                <w:b/>
                <w:color w:val="4F81BD"/>
                <w:sz w:val="20"/>
                <w:szCs w:val="20"/>
                <w:lang w:val="en-GB"/>
              </w:rPr>
              <w:t>method</w:t>
            </w:r>
          </w:p>
          <w:tbl>
            <w:tblPr>
              <w:tblStyle w:val="afffffffffffffc"/>
              <w:tblW w:w="6939" w:type="dxa"/>
              <w:tblLayout w:type="fixed"/>
              <w:tblLook w:val="0000" w:firstRow="0" w:lastRow="0" w:firstColumn="0" w:lastColumn="0" w:noHBand="0" w:noVBand="0"/>
            </w:tblPr>
            <w:tblGrid>
              <w:gridCol w:w="462"/>
              <w:gridCol w:w="2255"/>
              <w:gridCol w:w="1865"/>
              <w:gridCol w:w="2357"/>
            </w:tblGrid>
            <w:tr w:rsidR="00600DEE" w:rsidRPr="007463B9" w14:paraId="6BB61501" w14:textId="77777777">
              <w:trPr>
                <w:trHeight w:val="245"/>
              </w:trPr>
              <w:tc>
                <w:tcPr>
                  <w:tcW w:w="462" w:type="dxa"/>
                  <w:vMerge w:val="restart"/>
                  <w:tcBorders>
                    <w:top w:val="single" w:sz="4" w:space="0" w:color="FFFFFF"/>
                    <w:left w:val="single" w:sz="4" w:space="0" w:color="FFFFFF"/>
                  </w:tcBorders>
                  <w:shd w:val="clear" w:color="auto" w:fill="A6A6A6"/>
                </w:tcPr>
                <w:p w14:paraId="0528CDE8" w14:textId="77777777" w:rsidR="00600DEE" w:rsidRPr="0045151D" w:rsidRDefault="00600DEE">
                  <w:pPr>
                    <w:jc w:val="center"/>
                    <w:rPr>
                      <w:rFonts w:ascii="Calibri" w:eastAsia="Calibri" w:hAnsi="Calibri" w:cs="Calibri"/>
                      <w:b/>
                      <w:color w:val="FFFFFF"/>
                      <w:sz w:val="18"/>
                      <w:szCs w:val="18"/>
                      <w:lang w:val="en-GB"/>
                    </w:rPr>
                  </w:pPr>
                </w:p>
              </w:tc>
              <w:tc>
                <w:tcPr>
                  <w:tcW w:w="2255" w:type="dxa"/>
                  <w:vMerge w:val="restart"/>
                  <w:tcBorders>
                    <w:top w:val="single" w:sz="4" w:space="0" w:color="FFFFFF"/>
                    <w:left w:val="single" w:sz="4" w:space="0" w:color="FFFFFF"/>
                  </w:tcBorders>
                  <w:shd w:val="clear" w:color="auto" w:fill="A6A6A6"/>
                  <w:vAlign w:val="center"/>
                </w:tcPr>
                <w:p w14:paraId="096FF242"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Vehicle category</w:t>
                  </w:r>
                </w:p>
              </w:tc>
              <w:tc>
                <w:tcPr>
                  <w:tcW w:w="4222" w:type="dxa"/>
                  <w:gridSpan w:val="2"/>
                  <w:tcBorders>
                    <w:top w:val="single" w:sz="4" w:space="0" w:color="FFFFFF"/>
                    <w:left w:val="single" w:sz="4" w:space="0" w:color="FFFFFF"/>
                    <w:bottom w:val="single" w:sz="4" w:space="0" w:color="FFFFFF"/>
                  </w:tcBorders>
                  <w:shd w:val="clear" w:color="auto" w:fill="A6A6A6"/>
                  <w:vAlign w:val="center"/>
                </w:tcPr>
                <w:p w14:paraId="26AD9190"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We (elasticity indicator/years)</w:t>
                  </w:r>
                </w:p>
              </w:tc>
            </w:tr>
            <w:tr w:rsidR="00600DEE" w:rsidRPr="007463B9" w14:paraId="7BA44DC7" w14:textId="77777777">
              <w:trPr>
                <w:trHeight w:val="250"/>
              </w:trPr>
              <w:tc>
                <w:tcPr>
                  <w:tcW w:w="462" w:type="dxa"/>
                  <w:vMerge/>
                  <w:tcBorders>
                    <w:top w:val="single" w:sz="4" w:space="0" w:color="FFFFFF"/>
                    <w:left w:val="single" w:sz="4" w:space="0" w:color="FFFFFF"/>
                  </w:tcBorders>
                  <w:shd w:val="clear" w:color="auto" w:fill="A6A6A6"/>
                </w:tcPr>
                <w:p w14:paraId="4350C37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255" w:type="dxa"/>
                  <w:vMerge/>
                  <w:tcBorders>
                    <w:top w:val="single" w:sz="4" w:space="0" w:color="FFFFFF"/>
                    <w:left w:val="single" w:sz="4" w:space="0" w:color="FFFFFF"/>
                  </w:tcBorders>
                  <w:shd w:val="clear" w:color="auto" w:fill="A6A6A6"/>
                  <w:vAlign w:val="center"/>
                </w:tcPr>
                <w:p w14:paraId="0C66BE77"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865" w:type="dxa"/>
                  <w:tcBorders>
                    <w:top w:val="single" w:sz="4" w:space="0" w:color="FFFFFF"/>
                    <w:left w:val="single" w:sz="4" w:space="0" w:color="FFFFFF"/>
                    <w:bottom w:val="single" w:sz="4" w:space="0" w:color="FFFFFF"/>
                  </w:tcBorders>
                  <w:shd w:val="clear" w:color="auto" w:fill="A6A6A6"/>
                  <w:vAlign w:val="center"/>
                </w:tcPr>
                <w:p w14:paraId="5CA58AB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2008-2015</w:t>
                  </w:r>
                </w:p>
              </w:tc>
              <w:tc>
                <w:tcPr>
                  <w:tcW w:w="2357" w:type="dxa"/>
                  <w:tcBorders>
                    <w:top w:val="single" w:sz="4" w:space="0" w:color="FFFFFF"/>
                    <w:left w:val="single" w:sz="4" w:space="0" w:color="FFFFFF"/>
                    <w:bottom w:val="single" w:sz="4" w:space="0" w:color="FFFFFF"/>
                  </w:tcBorders>
                  <w:shd w:val="clear" w:color="auto" w:fill="A6A6A6"/>
                  <w:vAlign w:val="center"/>
                </w:tcPr>
                <w:p w14:paraId="55C82E47"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2016-2040</w:t>
                  </w:r>
                </w:p>
              </w:tc>
            </w:tr>
            <w:tr w:rsidR="00600DEE" w:rsidRPr="007463B9" w14:paraId="5B1C4088"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6948D26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2255" w:type="dxa"/>
                  <w:tcBorders>
                    <w:top w:val="single" w:sz="4" w:space="0" w:color="FFFFFF"/>
                    <w:left w:val="single" w:sz="4" w:space="0" w:color="FFFFFF"/>
                    <w:bottom w:val="single" w:sz="4" w:space="0" w:color="FFFFFF"/>
                  </w:tcBorders>
                  <w:shd w:val="clear" w:color="auto" w:fill="DBE5F1"/>
                  <w:vAlign w:val="center"/>
                </w:tcPr>
                <w:p w14:paraId="29BC0CFD"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Passenger cars</w:t>
                  </w:r>
                </w:p>
              </w:tc>
              <w:tc>
                <w:tcPr>
                  <w:tcW w:w="1865" w:type="dxa"/>
                  <w:tcBorders>
                    <w:top w:val="single" w:sz="4" w:space="0" w:color="FFFFFF"/>
                    <w:left w:val="single" w:sz="4" w:space="0" w:color="FFFFFF"/>
                    <w:bottom w:val="single" w:sz="4" w:space="0" w:color="FFFFFF"/>
                  </w:tcBorders>
                  <w:shd w:val="clear" w:color="auto" w:fill="DBE5F1"/>
                  <w:vAlign w:val="center"/>
                </w:tcPr>
                <w:p w14:paraId="2E4B046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0.90</w:t>
                  </w:r>
                </w:p>
              </w:tc>
              <w:tc>
                <w:tcPr>
                  <w:tcW w:w="2357" w:type="dxa"/>
                  <w:tcBorders>
                    <w:top w:val="single" w:sz="4" w:space="0" w:color="FFFFFF"/>
                    <w:left w:val="single" w:sz="4" w:space="0" w:color="FFFFFF"/>
                    <w:bottom w:val="single" w:sz="4" w:space="0" w:color="FFFFFF"/>
                  </w:tcBorders>
                  <w:shd w:val="clear" w:color="auto" w:fill="DBE5F1"/>
                  <w:vAlign w:val="center"/>
                </w:tcPr>
                <w:p w14:paraId="0EF4A9A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0.80</w:t>
                  </w:r>
                </w:p>
              </w:tc>
            </w:tr>
            <w:tr w:rsidR="00600DEE" w:rsidRPr="007463B9" w14:paraId="6F8C7B38"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65E4805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w:t>
                  </w:r>
                </w:p>
              </w:tc>
              <w:tc>
                <w:tcPr>
                  <w:tcW w:w="2255" w:type="dxa"/>
                  <w:tcBorders>
                    <w:top w:val="single" w:sz="4" w:space="0" w:color="FFFFFF"/>
                    <w:left w:val="single" w:sz="4" w:space="0" w:color="FFFFFF"/>
                    <w:bottom w:val="single" w:sz="4" w:space="0" w:color="FFFFFF"/>
                  </w:tcBorders>
                  <w:shd w:val="clear" w:color="auto" w:fill="DBE5F1"/>
                  <w:vAlign w:val="center"/>
                </w:tcPr>
                <w:p w14:paraId="0A1C68C5"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Commercial cars</w:t>
                  </w:r>
                </w:p>
              </w:tc>
              <w:tc>
                <w:tcPr>
                  <w:tcW w:w="1865" w:type="dxa"/>
                  <w:tcBorders>
                    <w:top w:val="single" w:sz="4" w:space="0" w:color="FFFFFF"/>
                    <w:left w:val="single" w:sz="4" w:space="0" w:color="FFFFFF"/>
                    <w:bottom w:val="single" w:sz="4" w:space="0" w:color="FFFFFF"/>
                  </w:tcBorders>
                  <w:shd w:val="clear" w:color="auto" w:fill="DBE5F1"/>
                  <w:vAlign w:val="center"/>
                </w:tcPr>
                <w:p w14:paraId="7EEBF4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w:t>
                  </w:r>
                </w:p>
              </w:tc>
              <w:tc>
                <w:tcPr>
                  <w:tcW w:w="2357" w:type="dxa"/>
                  <w:tcBorders>
                    <w:top w:val="single" w:sz="4" w:space="0" w:color="FFFFFF"/>
                    <w:left w:val="single" w:sz="4" w:space="0" w:color="FFFFFF"/>
                    <w:bottom w:val="single" w:sz="4" w:space="0" w:color="FFFFFF"/>
                  </w:tcBorders>
                  <w:shd w:val="clear" w:color="auto" w:fill="DBE5F1"/>
                  <w:vAlign w:val="center"/>
                </w:tcPr>
                <w:p w14:paraId="3D1F29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w:t>
                  </w:r>
                </w:p>
              </w:tc>
            </w:tr>
            <w:tr w:rsidR="00600DEE" w:rsidRPr="007463B9" w14:paraId="55124510"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7B6017F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w:t>
                  </w:r>
                </w:p>
              </w:tc>
              <w:tc>
                <w:tcPr>
                  <w:tcW w:w="2255" w:type="dxa"/>
                  <w:tcBorders>
                    <w:top w:val="single" w:sz="4" w:space="0" w:color="FFFFFF"/>
                    <w:left w:val="single" w:sz="4" w:space="0" w:color="FFFFFF"/>
                    <w:bottom w:val="single" w:sz="4" w:space="0" w:color="FFFFFF"/>
                  </w:tcBorders>
                  <w:shd w:val="clear" w:color="auto" w:fill="DBE5F1"/>
                  <w:vAlign w:val="center"/>
                </w:tcPr>
                <w:p w14:paraId="30844C0D"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Trucks without trailers</w:t>
                  </w:r>
                </w:p>
              </w:tc>
              <w:tc>
                <w:tcPr>
                  <w:tcW w:w="1865" w:type="dxa"/>
                  <w:tcBorders>
                    <w:top w:val="single" w:sz="4" w:space="0" w:color="FFFFFF"/>
                    <w:left w:val="single" w:sz="4" w:space="0" w:color="FFFFFF"/>
                    <w:bottom w:val="single" w:sz="4" w:space="0" w:color="FFFFFF"/>
                  </w:tcBorders>
                  <w:shd w:val="clear" w:color="auto" w:fill="DBE5F1"/>
                  <w:vAlign w:val="center"/>
                </w:tcPr>
                <w:p w14:paraId="5E66692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0.35</w:t>
                  </w:r>
                </w:p>
              </w:tc>
              <w:tc>
                <w:tcPr>
                  <w:tcW w:w="2357" w:type="dxa"/>
                  <w:tcBorders>
                    <w:top w:val="single" w:sz="4" w:space="0" w:color="FFFFFF"/>
                    <w:left w:val="single" w:sz="4" w:space="0" w:color="FFFFFF"/>
                    <w:bottom w:val="single" w:sz="4" w:space="0" w:color="FFFFFF"/>
                  </w:tcBorders>
                  <w:shd w:val="clear" w:color="auto" w:fill="DBE5F1"/>
                  <w:vAlign w:val="center"/>
                </w:tcPr>
                <w:p w14:paraId="19DD2CF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0.35</w:t>
                  </w:r>
                </w:p>
              </w:tc>
            </w:tr>
            <w:tr w:rsidR="00600DEE" w:rsidRPr="007463B9" w14:paraId="631E5858"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38F0480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w:t>
                  </w:r>
                </w:p>
              </w:tc>
              <w:tc>
                <w:tcPr>
                  <w:tcW w:w="2255" w:type="dxa"/>
                  <w:tcBorders>
                    <w:top w:val="single" w:sz="4" w:space="0" w:color="FFFFFF"/>
                    <w:left w:val="single" w:sz="4" w:space="0" w:color="FFFFFF"/>
                    <w:bottom w:val="single" w:sz="4" w:space="0" w:color="FFFFFF"/>
                  </w:tcBorders>
                  <w:shd w:val="clear" w:color="auto" w:fill="DBE5F1"/>
                  <w:vAlign w:val="center"/>
                </w:tcPr>
                <w:p w14:paraId="7508573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Commercial cars with trailers </w:t>
                  </w:r>
                </w:p>
              </w:tc>
              <w:tc>
                <w:tcPr>
                  <w:tcW w:w="1865" w:type="dxa"/>
                  <w:tcBorders>
                    <w:top w:val="single" w:sz="4" w:space="0" w:color="FFFFFF"/>
                    <w:left w:val="single" w:sz="4" w:space="0" w:color="FFFFFF"/>
                    <w:bottom w:val="single" w:sz="4" w:space="0" w:color="FFFFFF"/>
                  </w:tcBorders>
                  <w:shd w:val="clear" w:color="auto" w:fill="DBE5F1"/>
                  <w:vAlign w:val="center"/>
                </w:tcPr>
                <w:p w14:paraId="5C06999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1.07</w:t>
                  </w:r>
                </w:p>
              </w:tc>
              <w:tc>
                <w:tcPr>
                  <w:tcW w:w="2357" w:type="dxa"/>
                  <w:tcBorders>
                    <w:top w:val="single" w:sz="4" w:space="0" w:color="FFFFFF"/>
                    <w:left w:val="single" w:sz="4" w:space="0" w:color="FFFFFF"/>
                    <w:bottom w:val="single" w:sz="4" w:space="0" w:color="FFFFFF"/>
                  </w:tcBorders>
                  <w:shd w:val="clear" w:color="auto" w:fill="DBE5F1"/>
                  <w:vAlign w:val="center"/>
                </w:tcPr>
                <w:p w14:paraId="043E3F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w:t>
                  </w:r>
                </w:p>
              </w:tc>
            </w:tr>
          </w:tbl>
          <w:p w14:paraId="1E300927"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For non-urban investments where it is allowed to use the simplified method, traffic volume on specified sections is calculated by multiplying the base year traffic by each vehicle category traffic growth indicator (estimated using factors obtained from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As traffic growth dynamics varies depending on the road categories, growth indicators should be adjusted using different elasticity indicators by vehicle category.</w:t>
            </w:r>
          </w:p>
          <w:p w14:paraId="33DBE733" w14:textId="77777777" w:rsidR="00600DEE" w:rsidRPr="0045151D" w:rsidRDefault="00600DEE">
            <w:pPr>
              <w:jc w:val="both"/>
              <w:rPr>
                <w:rFonts w:ascii="Calibri" w:eastAsia="Calibri" w:hAnsi="Calibri" w:cs="Calibri"/>
                <w:sz w:val="20"/>
                <w:szCs w:val="20"/>
                <w:lang w:val="en-GB"/>
              </w:rPr>
            </w:pPr>
          </w:p>
          <w:p w14:paraId="164154B0" w14:textId="77777777" w:rsidR="00600DEE" w:rsidRPr="0045151D" w:rsidRDefault="00600DEE">
            <w:pPr>
              <w:jc w:val="both"/>
              <w:rPr>
                <w:rFonts w:ascii="Calibri" w:eastAsia="Calibri" w:hAnsi="Calibri" w:cs="Calibri"/>
                <w:sz w:val="20"/>
                <w:szCs w:val="20"/>
                <w:lang w:val="en-GB"/>
              </w:rPr>
            </w:pPr>
          </w:p>
          <w:p w14:paraId="635AB083" w14:textId="77777777" w:rsidR="00600DEE" w:rsidRPr="0045151D" w:rsidRDefault="00600DEE">
            <w:pPr>
              <w:jc w:val="both"/>
              <w:rPr>
                <w:rFonts w:ascii="Calibri" w:eastAsia="Calibri" w:hAnsi="Calibri" w:cs="Calibri"/>
                <w:sz w:val="20"/>
                <w:szCs w:val="20"/>
                <w:lang w:val="en-GB"/>
              </w:rPr>
            </w:pPr>
          </w:p>
          <w:p w14:paraId="293283DB" w14:textId="77777777" w:rsidR="00600DEE" w:rsidRPr="0045151D" w:rsidRDefault="00641FB5" w:rsidP="005C4AAD">
            <w:pPr>
              <w:spacing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 xml:space="preserve">Table 2. Elasticity indicators according to the </w:t>
            </w:r>
            <w:proofErr w:type="spellStart"/>
            <w:r w:rsidRPr="0045151D">
              <w:rPr>
                <w:rFonts w:ascii="Calibri" w:eastAsia="Calibri" w:hAnsi="Calibri" w:cs="Calibri"/>
                <w:b/>
                <w:color w:val="4F81BD"/>
                <w:sz w:val="20"/>
                <w:szCs w:val="20"/>
                <w:lang w:val="en-GB"/>
              </w:rPr>
              <w:t>GDDKiA</w:t>
            </w:r>
            <w:proofErr w:type="spellEnd"/>
            <w:r w:rsidRPr="0045151D">
              <w:rPr>
                <w:rFonts w:ascii="Calibri" w:eastAsia="Calibri" w:hAnsi="Calibri" w:cs="Calibri"/>
                <w:b/>
                <w:color w:val="4F81BD"/>
                <w:sz w:val="20"/>
                <w:szCs w:val="20"/>
                <w:lang w:val="en-GB"/>
              </w:rPr>
              <w:t xml:space="preserve"> forecasting growth </w:t>
            </w:r>
            <w:r w:rsidRPr="0045151D">
              <w:rPr>
                <w:rFonts w:ascii="Calibri" w:eastAsia="Calibri" w:hAnsi="Calibri" w:cs="Calibri"/>
                <w:b/>
                <w:color w:val="4F81BD"/>
                <w:sz w:val="20"/>
                <w:szCs w:val="20"/>
                <w:lang w:val="en-GB"/>
              </w:rPr>
              <w:br/>
              <w:t xml:space="preserve"> indicator method</w:t>
            </w:r>
          </w:p>
          <w:tbl>
            <w:tblPr>
              <w:tblStyle w:val="afffffffffffffd"/>
              <w:tblW w:w="6939" w:type="dxa"/>
              <w:tblLayout w:type="fixed"/>
              <w:tblLook w:val="0000" w:firstRow="0" w:lastRow="0" w:firstColumn="0" w:lastColumn="0" w:noHBand="0" w:noVBand="0"/>
            </w:tblPr>
            <w:tblGrid>
              <w:gridCol w:w="1410"/>
              <w:gridCol w:w="1365"/>
              <w:gridCol w:w="1388"/>
              <w:gridCol w:w="1388"/>
              <w:gridCol w:w="1388"/>
            </w:tblGrid>
            <w:tr w:rsidR="00600DEE" w:rsidRPr="007463B9" w14:paraId="5D9E7849" w14:textId="77777777" w:rsidTr="005C4AAD">
              <w:trPr>
                <w:trHeight w:hRule="exact" w:val="567"/>
              </w:trPr>
              <w:tc>
                <w:tcPr>
                  <w:tcW w:w="1410" w:type="dxa"/>
                  <w:tcBorders>
                    <w:top w:val="single" w:sz="4" w:space="0" w:color="FFFFFF"/>
                    <w:left w:val="single" w:sz="4" w:space="0" w:color="FFFFFF"/>
                    <w:bottom w:val="single" w:sz="4" w:space="0" w:color="FFFFFF"/>
                  </w:tcBorders>
                  <w:shd w:val="clear" w:color="auto" w:fill="A6A6A6"/>
                  <w:vAlign w:val="center"/>
                </w:tcPr>
                <w:p w14:paraId="11F9427A"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1365" w:type="dxa"/>
                  <w:tcBorders>
                    <w:top w:val="single" w:sz="4" w:space="0" w:color="FFFFFF"/>
                    <w:left w:val="single" w:sz="4" w:space="0" w:color="FFFFFF"/>
                    <w:bottom w:val="single" w:sz="4" w:space="0" w:color="FFFFFF"/>
                  </w:tcBorders>
                  <w:shd w:val="clear" w:color="auto" w:fill="A6A6A6"/>
                  <w:vAlign w:val="center"/>
                </w:tcPr>
                <w:p w14:paraId="2277F49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Passenger cars</w:t>
                  </w:r>
                </w:p>
              </w:tc>
              <w:tc>
                <w:tcPr>
                  <w:tcW w:w="1388" w:type="dxa"/>
                  <w:tcBorders>
                    <w:top w:val="single" w:sz="4" w:space="0" w:color="FFFFFF"/>
                    <w:left w:val="single" w:sz="4" w:space="0" w:color="FFFFFF"/>
                    <w:bottom w:val="single" w:sz="4" w:space="0" w:color="FFFFFF"/>
                  </w:tcBorders>
                  <w:shd w:val="clear" w:color="auto" w:fill="A6A6A6"/>
                  <w:vAlign w:val="center"/>
                </w:tcPr>
                <w:p w14:paraId="6EEF66D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Commercial vehicles</w:t>
                  </w:r>
                </w:p>
              </w:tc>
              <w:tc>
                <w:tcPr>
                  <w:tcW w:w="1388" w:type="dxa"/>
                  <w:tcBorders>
                    <w:top w:val="single" w:sz="4" w:space="0" w:color="FFFFFF"/>
                    <w:left w:val="single" w:sz="4" w:space="0" w:color="FFFFFF"/>
                    <w:bottom w:val="single" w:sz="4" w:space="0" w:color="FFFFFF"/>
                  </w:tcBorders>
                  <w:shd w:val="clear" w:color="auto" w:fill="A6A6A6"/>
                  <w:vAlign w:val="center"/>
                </w:tcPr>
                <w:p w14:paraId="714987C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Trucks</w:t>
                  </w:r>
                </w:p>
              </w:tc>
              <w:tc>
                <w:tcPr>
                  <w:tcW w:w="1388" w:type="dxa"/>
                  <w:tcBorders>
                    <w:top w:val="single" w:sz="4" w:space="0" w:color="FFFFFF"/>
                    <w:left w:val="single" w:sz="4" w:space="0" w:color="FFFFFF"/>
                    <w:bottom w:val="single" w:sz="4" w:space="0" w:color="FFFFFF"/>
                  </w:tcBorders>
                  <w:shd w:val="clear" w:color="auto" w:fill="A6A6A6"/>
                  <w:vAlign w:val="center"/>
                </w:tcPr>
                <w:p w14:paraId="2CEB656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Trucks with (semi)trailers</w:t>
                  </w:r>
                </w:p>
              </w:tc>
            </w:tr>
            <w:tr w:rsidR="00600DEE" w:rsidRPr="007463B9" w14:paraId="76369C7C" w14:textId="77777777" w:rsidTr="005C4AAD">
              <w:trPr>
                <w:trHeight w:hRule="exact" w:val="284"/>
              </w:trPr>
              <w:tc>
                <w:tcPr>
                  <w:tcW w:w="1410" w:type="dxa"/>
                  <w:tcBorders>
                    <w:top w:val="single" w:sz="4" w:space="0" w:color="FFFFFF"/>
                    <w:left w:val="single" w:sz="4" w:space="0" w:color="FFFFFF"/>
                    <w:bottom w:val="single" w:sz="4" w:space="0" w:color="FFFFFF"/>
                  </w:tcBorders>
                  <w:shd w:val="clear" w:color="auto" w:fill="DBE5F1"/>
                  <w:vAlign w:val="center"/>
                </w:tcPr>
                <w:p w14:paraId="23796E20"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National</w:t>
                  </w:r>
                </w:p>
              </w:tc>
              <w:tc>
                <w:tcPr>
                  <w:tcW w:w="1365" w:type="dxa"/>
                  <w:tcBorders>
                    <w:top w:val="single" w:sz="4" w:space="0" w:color="FFFFFF"/>
                    <w:left w:val="single" w:sz="4" w:space="0" w:color="FFFFFF"/>
                    <w:bottom w:val="single" w:sz="4" w:space="0" w:color="FFFFFF"/>
                  </w:tcBorders>
                  <w:shd w:val="clear" w:color="auto" w:fill="DBE5F1"/>
                  <w:vAlign w:val="center"/>
                </w:tcPr>
                <w:p w14:paraId="048280C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1388" w:type="dxa"/>
                  <w:tcBorders>
                    <w:top w:val="single" w:sz="4" w:space="0" w:color="FFFFFF"/>
                    <w:left w:val="single" w:sz="4" w:space="0" w:color="FFFFFF"/>
                    <w:bottom w:val="single" w:sz="4" w:space="0" w:color="FFFFFF"/>
                  </w:tcBorders>
                  <w:shd w:val="clear" w:color="auto" w:fill="DBE5F1"/>
                  <w:vAlign w:val="center"/>
                </w:tcPr>
                <w:p w14:paraId="1D93A3F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1388" w:type="dxa"/>
                  <w:tcBorders>
                    <w:top w:val="single" w:sz="4" w:space="0" w:color="FFFFFF"/>
                    <w:left w:val="single" w:sz="4" w:space="0" w:color="FFFFFF"/>
                    <w:bottom w:val="single" w:sz="4" w:space="0" w:color="FFFFFF"/>
                  </w:tcBorders>
                  <w:shd w:val="clear" w:color="auto" w:fill="DBE5F1"/>
                  <w:vAlign w:val="center"/>
                </w:tcPr>
                <w:p w14:paraId="4405373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1388" w:type="dxa"/>
                  <w:tcBorders>
                    <w:top w:val="single" w:sz="4" w:space="0" w:color="FFFFFF"/>
                    <w:left w:val="single" w:sz="4" w:space="0" w:color="FFFFFF"/>
                    <w:bottom w:val="single" w:sz="4" w:space="0" w:color="FFFFFF"/>
                  </w:tcBorders>
                  <w:shd w:val="clear" w:color="auto" w:fill="DBE5F1"/>
                  <w:vAlign w:val="center"/>
                </w:tcPr>
                <w:p w14:paraId="1724B4B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r>
            <w:tr w:rsidR="00600DEE" w:rsidRPr="007463B9" w14:paraId="194BCC12" w14:textId="77777777" w:rsidTr="005C4AAD">
              <w:trPr>
                <w:trHeight w:hRule="exact" w:val="284"/>
              </w:trPr>
              <w:tc>
                <w:tcPr>
                  <w:tcW w:w="1410" w:type="dxa"/>
                  <w:tcBorders>
                    <w:top w:val="single" w:sz="4" w:space="0" w:color="FFFFFF"/>
                    <w:left w:val="single" w:sz="4" w:space="0" w:color="FFFFFF"/>
                    <w:bottom w:val="single" w:sz="4" w:space="0" w:color="FFFFFF"/>
                  </w:tcBorders>
                  <w:shd w:val="clear" w:color="auto" w:fill="DBE5F1"/>
                  <w:vAlign w:val="center"/>
                </w:tcPr>
                <w:p w14:paraId="281E3B7B" w14:textId="77777777" w:rsidR="00600DEE" w:rsidRPr="0045151D" w:rsidRDefault="00641FB5">
                  <w:pPr>
                    <w:rPr>
                      <w:rFonts w:ascii="Calibri" w:eastAsia="Calibri" w:hAnsi="Calibri" w:cs="Calibri"/>
                      <w:color w:val="4F81BD"/>
                      <w:sz w:val="18"/>
                      <w:szCs w:val="18"/>
                      <w:lang w:val="en-GB"/>
                    </w:rPr>
                  </w:pPr>
                  <w:proofErr w:type="spellStart"/>
                  <w:r w:rsidRPr="0045151D">
                    <w:rPr>
                      <w:rFonts w:ascii="Calibri" w:eastAsia="Calibri" w:hAnsi="Calibri" w:cs="Calibri"/>
                      <w:color w:val="4F81BD"/>
                      <w:sz w:val="18"/>
                      <w:szCs w:val="18"/>
                      <w:lang w:val="en-GB"/>
                    </w:rPr>
                    <w:t>Voivoideship</w:t>
                  </w:r>
                  <w:proofErr w:type="spellEnd"/>
                </w:p>
              </w:tc>
              <w:tc>
                <w:tcPr>
                  <w:tcW w:w="1365" w:type="dxa"/>
                  <w:tcBorders>
                    <w:top w:val="single" w:sz="4" w:space="0" w:color="FFFFFF"/>
                    <w:left w:val="single" w:sz="4" w:space="0" w:color="FFFFFF"/>
                    <w:bottom w:val="single" w:sz="4" w:space="0" w:color="FFFFFF"/>
                  </w:tcBorders>
                  <w:shd w:val="clear" w:color="auto" w:fill="DBE5F1"/>
                  <w:vAlign w:val="center"/>
                </w:tcPr>
                <w:p w14:paraId="2ADCB0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w:t>
                  </w:r>
                </w:p>
              </w:tc>
              <w:tc>
                <w:tcPr>
                  <w:tcW w:w="1388" w:type="dxa"/>
                  <w:tcBorders>
                    <w:top w:val="single" w:sz="4" w:space="0" w:color="FFFFFF"/>
                    <w:left w:val="single" w:sz="4" w:space="0" w:color="FFFFFF"/>
                    <w:bottom w:val="single" w:sz="4" w:space="0" w:color="FFFFFF"/>
                  </w:tcBorders>
                  <w:shd w:val="clear" w:color="auto" w:fill="DBE5F1"/>
                  <w:vAlign w:val="center"/>
                </w:tcPr>
                <w:p w14:paraId="6F59EE4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w:t>
                  </w:r>
                </w:p>
              </w:tc>
              <w:tc>
                <w:tcPr>
                  <w:tcW w:w="1388" w:type="dxa"/>
                  <w:tcBorders>
                    <w:top w:val="single" w:sz="4" w:space="0" w:color="FFFFFF"/>
                    <w:left w:val="single" w:sz="4" w:space="0" w:color="FFFFFF"/>
                    <w:bottom w:val="single" w:sz="4" w:space="0" w:color="FFFFFF"/>
                  </w:tcBorders>
                  <w:shd w:val="clear" w:color="auto" w:fill="DBE5F1"/>
                  <w:vAlign w:val="center"/>
                </w:tcPr>
                <w:p w14:paraId="681736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388" w:type="dxa"/>
                  <w:tcBorders>
                    <w:top w:val="single" w:sz="4" w:space="0" w:color="FFFFFF"/>
                    <w:left w:val="single" w:sz="4" w:space="0" w:color="FFFFFF"/>
                    <w:bottom w:val="single" w:sz="4" w:space="0" w:color="FFFFFF"/>
                  </w:tcBorders>
                  <w:shd w:val="clear" w:color="auto" w:fill="DBE5F1"/>
                  <w:vAlign w:val="center"/>
                </w:tcPr>
                <w:p w14:paraId="5D802D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r>
            <w:tr w:rsidR="00600DEE" w:rsidRPr="007463B9" w14:paraId="2FEFAB1C" w14:textId="77777777" w:rsidTr="005C4AAD">
              <w:trPr>
                <w:trHeight w:hRule="exact" w:val="284"/>
              </w:trPr>
              <w:tc>
                <w:tcPr>
                  <w:tcW w:w="1410" w:type="dxa"/>
                  <w:tcBorders>
                    <w:top w:val="single" w:sz="4" w:space="0" w:color="FFFFFF"/>
                    <w:left w:val="single" w:sz="4" w:space="0" w:color="FFFFFF"/>
                    <w:bottom w:val="single" w:sz="4" w:space="0" w:color="FFFFFF"/>
                  </w:tcBorders>
                  <w:shd w:val="clear" w:color="auto" w:fill="DBE5F1"/>
                  <w:vAlign w:val="center"/>
                </w:tcPr>
                <w:p w14:paraId="0BE08B4F"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County </w:t>
                  </w:r>
                </w:p>
              </w:tc>
              <w:tc>
                <w:tcPr>
                  <w:tcW w:w="1365" w:type="dxa"/>
                  <w:tcBorders>
                    <w:top w:val="single" w:sz="4" w:space="0" w:color="FFFFFF"/>
                    <w:left w:val="single" w:sz="4" w:space="0" w:color="FFFFFF"/>
                    <w:bottom w:val="single" w:sz="4" w:space="0" w:color="FFFFFF"/>
                  </w:tcBorders>
                  <w:shd w:val="clear" w:color="auto" w:fill="DBE5F1"/>
                  <w:vAlign w:val="center"/>
                </w:tcPr>
                <w:p w14:paraId="404D15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388" w:type="dxa"/>
                  <w:tcBorders>
                    <w:top w:val="single" w:sz="4" w:space="0" w:color="FFFFFF"/>
                    <w:left w:val="single" w:sz="4" w:space="0" w:color="FFFFFF"/>
                    <w:bottom w:val="single" w:sz="4" w:space="0" w:color="FFFFFF"/>
                  </w:tcBorders>
                  <w:shd w:val="clear" w:color="auto" w:fill="DBE5F1"/>
                  <w:vAlign w:val="center"/>
                </w:tcPr>
                <w:p w14:paraId="682EE07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388" w:type="dxa"/>
                  <w:tcBorders>
                    <w:top w:val="single" w:sz="4" w:space="0" w:color="FFFFFF"/>
                    <w:left w:val="single" w:sz="4" w:space="0" w:color="FFFFFF"/>
                    <w:bottom w:val="single" w:sz="4" w:space="0" w:color="FFFFFF"/>
                  </w:tcBorders>
                  <w:shd w:val="clear" w:color="auto" w:fill="DBE5F1"/>
                  <w:vAlign w:val="center"/>
                </w:tcPr>
                <w:p w14:paraId="6965BED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c>
                <w:tcPr>
                  <w:tcW w:w="1388" w:type="dxa"/>
                  <w:tcBorders>
                    <w:top w:val="single" w:sz="4" w:space="0" w:color="FFFFFF"/>
                    <w:left w:val="single" w:sz="4" w:space="0" w:color="FFFFFF"/>
                    <w:bottom w:val="single" w:sz="4" w:space="0" w:color="FFFFFF"/>
                  </w:tcBorders>
                  <w:shd w:val="clear" w:color="auto" w:fill="DBE5F1"/>
                  <w:vAlign w:val="center"/>
                </w:tcPr>
                <w:p w14:paraId="7F5661B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w:t>
                  </w:r>
                </w:p>
              </w:tc>
            </w:tr>
            <w:tr w:rsidR="00600DEE" w:rsidRPr="007463B9" w14:paraId="635A9315" w14:textId="77777777" w:rsidTr="005C4AAD">
              <w:trPr>
                <w:trHeight w:hRule="exact" w:val="454"/>
              </w:trPr>
              <w:tc>
                <w:tcPr>
                  <w:tcW w:w="1410" w:type="dxa"/>
                  <w:tcBorders>
                    <w:top w:val="single" w:sz="4" w:space="0" w:color="FFFFFF"/>
                    <w:left w:val="single" w:sz="4" w:space="0" w:color="FFFFFF"/>
                    <w:bottom w:val="single" w:sz="4" w:space="0" w:color="FFFFFF"/>
                  </w:tcBorders>
                  <w:shd w:val="clear" w:color="auto" w:fill="DBE5F1"/>
                  <w:vAlign w:val="center"/>
                </w:tcPr>
                <w:p w14:paraId="18840DF1"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Community/Municipality</w:t>
                  </w:r>
                </w:p>
              </w:tc>
              <w:tc>
                <w:tcPr>
                  <w:tcW w:w="1365" w:type="dxa"/>
                  <w:tcBorders>
                    <w:top w:val="single" w:sz="4" w:space="0" w:color="FFFFFF"/>
                    <w:left w:val="single" w:sz="4" w:space="0" w:color="FFFFFF"/>
                    <w:bottom w:val="single" w:sz="4" w:space="0" w:color="FFFFFF"/>
                  </w:tcBorders>
                  <w:shd w:val="clear" w:color="auto" w:fill="DBE5F1"/>
                  <w:vAlign w:val="center"/>
                </w:tcPr>
                <w:p w14:paraId="1D1795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c>
                <w:tcPr>
                  <w:tcW w:w="1388" w:type="dxa"/>
                  <w:tcBorders>
                    <w:top w:val="single" w:sz="4" w:space="0" w:color="FFFFFF"/>
                    <w:left w:val="single" w:sz="4" w:space="0" w:color="FFFFFF"/>
                    <w:bottom w:val="single" w:sz="4" w:space="0" w:color="FFFFFF"/>
                  </w:tcBorders>
                  <w:shd w:val="clear" w:color="auto" w:fill="DBE5F1"/>
                  <w:vAlign w:val="center"/>
                </w:tcPr>
                <w:p w14:paraId="2CE00B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c>
                <w:tcPr>
                  <w:tcW w:w="1388" w:type="dxa"/>
                  <w:tcBorders>
                    <w:top w:val="single" w:sz="4" w:space="0" w:color="FFFFFF"/>
                    <w:left w:val="single" w:sz="4" w:space="0" w:color="FFFFFF"/>
                    <w:bottom w:val="single" w:sz="4" w:space="0" w:color="FFFFFF"/>
                  </w:tcBorders>
                  <w:shd w:val="clear" w:color="auto" w:fill="DBE5F1"/>
                  <w:vAlign w:val="center"/>
                </w:tcPr>
                <w:p w14:paraId="2A2BDB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w:t>
                  </w:r>
                </w:p>
              </w:tc>
              <w:tc>
                <w:tcPr>
                  <w:tcW w:w="1388" w:type="dxa"/>
                  <w:tcBorders>
                    <w:top w:val="single" w:sz="4" w:space="0" w:color="FFFFFF"/>
                    <w:left w:val="single" w:sz="4" w:space="0" w:color="FFFFFF"/>
                    <w:bottom w:val="single" w:sz="4" w:space="0" w:color="FFFFFF"/>
                  </w:tcBorders>
                  <w:shd w:val="clear" w:color="auto" w:fill="DBE5F1"/>
                  <w:vAlign w:val="center"/>
                </w:tcPr>
                <w:p w14:paraId="6FA335F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0.65</w:t>
                  </w:r>
                </w:p>
              </w:tc>
            </w:tr>
          </w:tbl>
          <w:p w14:paraId="24C96FC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above indicators will be updated under the current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work aiming at updating the National Transport Model.</w:t>
            </w:r>
          </w:p>
          <w:p w14:paraId="5ED14B3A"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It should be noted that in case of big cities, in principle, the traffic would remain unchanged over time, unless new sources/destinations (</w:t>
            </w:r>
            <w:proofErr w:type="spellStart"/>
            <w:r w:rsidRPr="0045151D">
              <w:rPr>
                <w:rFonts w:ascii="Calibri" w:eastAsia="Calibri" w:hAnsi="Calibri" w:cs="Calibri"/>
                <w:sz w:val="20"/>
                <w:szCs w:val="20"/>
                <w:lang w:val="en-GB"/>
              </w:rPr>
              <w:t>eg.</w:t>
            </w:r>
            <w:proofErr w:type="spellEnd"/>
            <w:r w:rsidRPr="0045151D">
              <w:rPr>
                <w:rFonts w:ascii="Calibri" w:eastAsia="Calibri" w:hAnsi="Calibri" w:cs="Calibri"/>
                <w:sz w:val="20"/>
                <w:szCs w:val="20"/>
                <w:lang w:val="en-GB"/>
              </w:rPr>
              <w:t xml:space="preserve"> shopping </w:t>
            </w:r>
            <w:proofErr w:type="spellStart"/>
            <w:r w:rsidRPr="0045151D">
              <w:rPr>
                <w:rFonts w:ascii="Calibri" w:eastAsia="Calibri" w:hAnsi="Calibri" w:cs="Calibri"/>
                <w:sz w:val="20"/>
                <w:szCs w:val="20"/>
                <w:lang w:val="en-GB"/>
              </w:rPr>
              <w:t>center</w:t>
            </w:r>
            <w:proofErr w:type="spellEnd"/>
            <w:r w:rsidRPr="0045151D">
              <w:rPr>
                <w:rFonts w:ascii="Calibri" w:eastAsia="Calibri" w:hAnsi="Calibri" w:cs="Calibri"/>
                <w:sz w:val="20"/>
                <w:szCs w:val="20"/>
                <w:lang w:val="en-GB"/>
              </w:rPr>
              <w:t xml:space="preserve"> or residential area) are foreseen within spatial development plans in the vicinity of the new project.</w:t>
            </w:r>
          </w:p>
          <w:p w14:paraId="1E3FE38A" w14:textId="77777777" w:rsidR="00600DEE" w:rsidRPr="0045151D" w:rsidRDefault="00600DEE">
            <w:pPr>
              <w:jc w:val="both"/>
              <w:rPr>
                <w:rFonts w:ascii="Calibri" w:eastAsia="Calibri" w:hAnsi="Calibri" w:cs="Calibri"/>
                <w:color w:val="4F81BD"/>
                <w:sz w:val="20"/>
                <w:szCs w:val="20"/>
                <w:lang w:val="en-GB"/>
              </w:rPr>
            </w:pPr>
          </w:p>
          <w:p w14:paraId="1408D517" w14:textId="77777777" w:rsidR="00600DEE" w:rsidRPr="0045151D" w:rsidRDefault="00600DEE">
            <w:pPr>
              <w:jc w:val="both"/>
              <w:rPr>
                <w:rFonts w:ascii="Calibri" w:eastAsia="Calibri" w:hAnsi="Calibri" w:cs="Calibri"/>
                <w:color w:val="4F81BD"/>
                <w:sz w:val="20"/>
                <w:szCs w:val="20"/>
                <w:lang w:val="en-GB"/>
              </w:rPr>
            </w:pPr>
          </w:p>
          <w:p w14:paraId="31E3906C" w14:textId="77777777" w:rsidR="00600DEE" w:rsidRPr="0045151D" w:rsidRDefault="00600DEE">
            <w:pPr>
              <w:jc w:val="both"/>
              <w:rPr>
                <w:rFonts w:ascii="Calibri" w:eastAsia="Calibri" w:hAnsi="Calibri" w:cs="Calibri"/>
                <w:color w:val="4F81BD"/>
                <w:sz w:val="20"/>
                <w:szCs w:val="20"/>
                <w:lang w:val="en-GB"/>
              </w:rPr>
            </w:pPr>
          </w:p>
          <w:p w14:paraId="02285A80"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V. TRAFFIC FORECASTING ESTIMATION. OUTPUT REPORTS</w:t>
            </w:r>
          </w:p>
          <w:p w14:paraId="61249D1E" w14:textId="77777777" w:rsidR="00600DEE" w:rsidRPr="0045151D" w:rsidRDefault="00600DEE">
            <w:pPr>
              <w:jc w:val="both"/>
              <w:rPr>
                <w:rFonts w:ascii="Calibri" w:eastAsia="Calibri" w:hAnsi="Calibri" w:cs="Calibri"/>
                <w:b/>
                <w:color w:val="4F81BD"/>
                <w:sz w:val="20"/>
                <w:szCs w:val="20"/>
                <w:lang w:val="en-GB"/>
              </w:rPr>
            </w:pPr>
          </w:p>
          <w:p w14:paraId="54AC5FB7"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Estimation of the forecasted traffic flow on the road network</w:t>
            </w:r>
          </w:p>
          <w:p w14:paraId="73E0DBD3" w14:textId="77777777" w:rsidR="00600DEE" w:rsidRPr="0045151D" w:rsidRDefault="00600DEE">
            <w:pPr>
              <w:jc w:val="both"/>
              <w:rPr>
                <w:rFonts w:ascii="Calibri" w:eastAsia="Calibri" w:hAnsi="Calibri" w:cs="Calibri"/>
                <w:color w:val="4F81BD"/>
                <w:sz w:val="20"/>
                <w:szCs w:val="20"/>
                <w:lang w:val="en-GB"/>
              </w:rPr>
            </w:pPr>
          </w:p>
          <w:p w14:paraId="145E2085"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When using forecasting indicator methods, usually it is not allowed to consider diverted traffic from other streets/roads or induced traffic on the analysed section. Forecasted traffic volumes should be calculated only by multiplying the existing base year traffic volume by the traffic growth indicators for the relevant area.</w:t>
            </w:r>
          </w:p>
          <w:p w14:paraId="7A12535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forecasted traffic results should be presented in table form illustrating traffic volumes per vehicle category on specified sections of the analysed investment. The results may also be presented as cartograms of traffic flows on individual network sections within the corridor including the analysed section.</w:t>
            </w:r>
          </w:p>
          <w:p w14:paraId="2C137C2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analysis for investments including toll road sections is recommended to be carried out considering different toll rate options and the option without toll. The toll rates should be agreed with the infrastructure manager.</w:t>
            </w:r>
          </w:p>
          <w:p w14:paraId="028EDEAE" w14:textId="77777777" w:rsidR="00600DEE" w:rsidRPr="0045151D" w:rsidRDefault="00600DEE">
            <w:pPr>
              <w:jc w:val="both"/>
              <w:rPr>
                <w:rFonts w:ascii="Calibri" w:eastAsia="Calibri" w:hAnsi="Calibri" w:cs="Calibri"/>
                <w:color w:val="4F81BD"/>
                <w:sz w:val="20"/>
                <w:szCs w:val="20"/>
                <w:lang w:val="en-GB"/>
              </w:rPr>
            </w:pPr>
          </w:p>
          <w:p w14:paraId="3E016C03" w14:textId="77777777" w:rsidR="00600DEE" w:rsidRPr="0045151D" w:rsidRDefault="00600DEE">
            <w:pPr>
              <w:jc w:val="both"/>
              <w:rPr>
                <w:rFonts w:ascii="Calibri" w:eastAsia="Calibri" w:hAnsi="Calibri" w:cs="Calibri"/>
                <w:color w:val="4F81BD"/>
                <w:sz w:val="20"/>
                <w:szCs w:val="20"/>
                <w:lang w:val="en-GB"/>
              </w:rPr>
            </w:pPr>
          </w:p>
          <w:p w14:paraId="108D1A94" w14:textId="77777777" w:rsidR="005C4AAD" w:rsidRPr="0045151D" w:rsidRDefault="005C4AAD">
            <w:pPr>
              <w:jc w:val="both"/>
              <w:rPr>
                <w:rFonts w:ascii="Calibri" w:eastAsia="Calibri" w:hAnsi="Calibri" w:cs="Calibri"/>
                <w:b/>
                <w:color w:val="4F81BD"/>
                <w:sz w:val="20"/>
                <w:szCs w:val="20"/>
                <w:lang w:val="en-GB"/>
              </w:rPr>
            </w:pPr>
          </w:p>
          <w:p w14:paraId="3603791C" w14:textId="77777777" w:rsidR="005C4AAD" w:rsidRPr="0045151D" w:rsidRDefault="005C4AAD">
            <w:pPr>
              <w:jc w:val="both"/>
              <w:rPr>
                <w:rFonts w:ascii="Calibri" w:eastAsia="Calibri" w:hAnsi="Calibri" w:cs="Calibri"/>
                <w:b/>
                <w:color w:val="4F81BD"/>
                <w:sz w:val="20"/>
                <w:szCs w:val="20"/>
                <w:lang w:val="en-GB"/>
              </w:rPr>
            </w:pPr>
          </w:p>
          <w:p w14:paraId="35D6BBA1" w14:textId="77777777" w:rsidR="005C4AAD" w:rsidRPr="0045151D" w:rsidRDefault="005C4AAD" w:rsidP="0090055C">
            <w:pPr>
              <w:spacing w:after="120"/>
              <w:jc w:val="both"/>
              <w:rPr>
                <w:rFonts w:ascii="Calibri" w:eastAsia="Calibri" w:hAnsi="Calibri" w:cs="Calibri"/>
                <w:b/>
                <w:color w:val="4F81BD"/>
                <w:sz w:val="20"/>
                <w:szCs w:val="20"/>
                <w:lang w:val="en-GB"/>
              </w:rPr>
            </w:pPr>
          </w:p>
          <w:p w14:paraId="57998EC6" w14:textId="3E49F20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Traffic forecast output reports</w:t>
            </w:r>
          </w:p>
          <w:p w14:paraId="3907310D" w14:textId="77777777" w:rsidR="00600DEE" w:rsidRPr="0045151D" w:rsidRDefault="00600DEE">
            <w:pPr>
              <w:jc w:val="both"/>
              <w:rPr>
                <w:rFonts w:ascii="Calibri" w:eastAsia="Calibri" w:hAnsi="Calibri" w:cs="Calibri"/>
                <w:color w:val="4F81BD"/>
                <w:sz w:val="20"/>
                <w:szCs w:val="20"/>
                <w:lang w:val="en-GB"/>
              </w:rPr>
            </w:pPr>
          </w:p>
          <w:p w14:paraId="63F1818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traffic forecast results should be presented including the traffic structure, apart from volume and speed data – in accordance with the agreed categories of vehicles. </w:t>
            </w:r>
          </w:p>
          <w:p w14:paraId="4302448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the road infrastructure is an element (part) of a bigger public transport project, the whole CBA as well as the traffic forecast should be performed according to the Blue Book dedicated to Public Transport projects.</w:t>
            </w:r>
          </w:p>
          <w:p w14:paraId="490AA809" w14:textId="672B4801"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accordance with current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requirements</w:t>
            </w:r>
            <w:r w:rsidR="00A85726">
              <w:rPr>
                <w:rFonts w:ascii="Calibri" w:eastAsia="Calibri" w:hAnsi="Calibri" w:cs="Calibri"/>
                <w:sz w:val="20"/>
                <w:szCs w:val="20"/>
                <w:vertAlign w:val="superscript"/>
                <w:lang w:val="en-GB"/>
              </w:rPr>
              <w:t>25</w:t>
            </w:r>
            <w:r w:rsidR="00A85726">
              <w:rPr>
                <w:rFonts w:ascii="Calibri" w:eastAsia="Calibri" w:hAnsi="Calibri" w:cs="Calibri"/>
                <w:sz w:val="20"/>
                <w:szCs w:val="20"/>
                <w:lang w:val="en-GB"/>
              </w:rPr>
              <w:t>*)</w:t>
            </w:r>
            <w:r w:rsidRPr="0045151D">
              <w:rPr>
                <w:rFonts w:ascii="Calibri" w:eastAsia="Calibri" w:hAnsi="Calibri" w:cs="Calibri"/>
                <w:sz w:val="20"/>
                <w:szCs w:val="20"/>
                <w:lang w:val="en-GB"/>
              </w:rPr>
              <w:t xml:space="preserve"> the following items should be included in the output reports of the traffic forecast:</w:t>
            </w:r>
          </w:p>
          <w:p w14:paraId="38DD2A53"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Information on traffic volumes, description of traffic conditions, critical points, main conflicts etc. in the existing road network - for the base year</w:t>
            </w:r>
          </w:p>
          <w:p w14:paraId="17AD8FD1"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Results of model calibration and verification of measurements against the base year in accordance with requirements available at </w:t>
            </w:r>
            <w:hyperlink r:id="rId149">
              <w:r w:rsidRPr="0045151D">
                <w:rPr>
                  <w:rFonts w:ascii="Calibri" w:eastAsia="Calibri" w:hAnsi="Calibri" w:cs="Calibri"/>
                  <w:color w:val="0000FF"/>
                  <w:sz w:val="20"/>
                  <w:szCs w:val="20"/>
                  <w:u w:val="single"/>
                  <w:lang w:val="en-GB"/>
                </w:rPr>
                <w:t>www.gddkia.gov.pl</w:t>
              </w:r>
            </w:hyperlink>
            <w:r w:rsidRPr="0045151D">
              <w:rPr>
                <w:rFonts w:ascii="Calibri" w:eastAsia="Calibri" w:hAnsi="Calibri" w:cs="Calibri"/>
                <w:sz w:val="20"/>
                <w:szCs w:val="20"/>
                <w:lang w:val="en-GB"/>
              </w:rPr>
              <w:t xml:space="preserve"> in the “Analyses and Traffic Forecasts” section</w:t>
            </w:r>
          </w:p>
          <w:p w14:paraId="7872FA59"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Forecasts of traffic volumes and traffic conditions for the existing road network (non-investment option – W0), for the required forecast horizons</w:t>
            </w:r>
          </w:p>
          <w:p w14:paraId="6DFB15BA"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Forecasts of traffic volumes and traffic conditions (i.e. determination of forecasted traffic degrees of freedom) for the proposed investment options, for the required forecast horizons</w:t>
            </w:r>
          </w:p>
          <w:p w14:paraId="547D61E7"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Comparison of travel distances obtained from the model and observed in reality</w:t>
            </w:r>
          </w:p>
          <w:p w14:paraId="6921B2F5"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Traffic structure according to vehicle categories</w:t>
            </w:r>
          </w:p>
          <w:p w14:paraId="4CDB4B40" w14:textId="77777777" w:rsidR="00600DEE" w:rsidRDefault="00641FB5">
            <w:pPr>
              <w:numPr>
                <w:ilvl w:val="0"/>
                <w:numId w:val="5"/>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Traffic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distribution</w:t>
            </w:r>
            <w:proofErr w:type="spellEnd"/>
            <w:r>
              <w:rPr>
                <w:rFonts w:ascii="Calibri" w:eastAsia="Calibri" w:hAnsi="Calibri" w:cs="Calibri"/>
                <w:sz w:val="20"/>
                <w:szCs w:val="20"/>
              </w:rPr>
              <w:t xml:space="preserve"> by </w:t>
            </w:r>
            <w:proofErr w:type="spellStart"/>
            <w:r>
              <w:rPr>
                <w:rFonts w:ascii="Calibri" w:eastAsia="Calibri" w:hAnsi="Calibri" w:cs="Calibri"/>
                <w:sz w:val="20"/>
                <w:szCs w:val="20"/>
              </w:rPr>
              <w:t>directions</w:t>
            </w:r>
            <w:proofErr w:type="spellEnd"/>
            <w:r>
              <w:rPr>
                <w:rFonts w:ascii="Calibri" w:eastAsia="Calibri" w:hAnsi="Calibri" w:cs="Calibri"/>
                <w:sz w:val="20"/>
                <w:szCs w:val="20"/>
              </w:rPr>
              <w:t>.</w:t>
            </w:r>
          </w:p>
          <w:p w14:paraId="13E2C5D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It is also recommended to include travel times and other network performance indicators (e.g. average speeds on given sections, etc.).</w:t>
            </w:r>
          </w:p>
          <w:p w14:paraId="7DCBCE85" w14:textId="77777777" w:rsidR="00600DEE" w:rsidRPr="0045151D" w:rsidRDefault="00600DEE">
            <w:pPr>
              <w:jc w:val="both"/>
              <w:rPr>
                <w:rFonts w:ascii="Calibri" w:eastAsia="Calibri" w:hAnsi="Calibri" w:cs="Calibri"/>
                <w:b/>
                <w:color w:val="4F81BD"/>
                <w:sz w:val="20"/>
                <w:szCs w:val="20"/>
                <w:lang w:val="en-GB"/>
              </w:rPr>
            </w:pPr>
          </w:p>
          <w:p w14:paraId="22857822" w14:textId="77777777" w:rsidR="00F15189" w:rsidRPr="0045151D" w:rsidRDefault="00F15189">
            <w:pPr>
              <w:jc w:val="both"/>
              <w:rPr>
                <w:rFonts w:ascii="Calibri" w:eastAsia="Calibri" w:hAnsi="Calibri" w:cs="Calibri"/>
                <w:b/>
                <w:color w:val="4F81BD"/>
                <w:sz w:val="20"/>
                <w:szCs w:val="20"/>
                <w:lang w:val="en-GB"/>
              </w:rPr>
            </w:pPr>
          </w:p>
          <w:p w14:paraId="41312D4D" w14:textId="77777777" w:rsidR="00F15189" w:rsidRPr="0045151D" w:rsidRDefault="00F15189">
            <w:pPr>
              <w:jc w:val="both"/>
              <w:rPr>
                <w:rFonts w:ascii="Calibri" w:eastAsia="Calibri" w:hAnsi="Calibri" w:cs="Calibri"/>
                <w:b/>
                <w:color w:val="4F81BD"/>
                <w:sz w:val="20"/>
                <w:szCs w:val="20"/>
                <w:lang w:val="en-GB"/>
              </w:rPr>
            </w:pPr>
          </w:p>
          <w:p w14:paraId="61A52931" w14:textId="77777777" w:rsidR="00F15189" w:rsidRPr="0045151D" w:rsidRDefault="00F15189">
            <w:pPr>
              <w:jc w:val="both"/>
              <w:rPr>
                <w:rFonts w:ascii="Calibri" w:eastAsia="Calibri" w:hAnsi="Calibri" w:cs="Calibri"/>
                <w:b/>
                <w:color w:val="4F81BD"/>
                <w:sz w:val="20"/>
                <w:szCs w:val="20"/>
                <w:lang w:val="en-GB"/>
              </w:rPr>
            </w:pPr>
          </w:p>
          <w:p w14:paraId="0EBEBE3A" w14:textId="33370AC6"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Analysis of outputs</w:t>
            </w:r>
          </w:p>
          <w:p w14:paraId="46947EED" w14:textId="77777777" w:rsidR="00600DEE" w:rsidRPr="0045151D" w:rsidRDefault="00600DEE">
            <w:pPr>
              <w:spacing w:line="360" w:lineRule="auto"/>
              <w:jc w:val="both"/>
              <w:rPr>
                <w:rFonts w:ascii="Calibri" w:eastAsia="Calibri" w:hAnsi="Calibri" w:cs="Calibri"/>
                <w:color w:val="4F81BD"/>
                <w:sz w:val="20"/>
                <w:szCs w:val="20"/>
                <w:lang w:val="en-GB"/>
              </w:rPr>
            </w:pPr>
          </w:p>
          <w:p w14:paraId="49D62B5B"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outputs should not only meet the criteria of verification and validation but also of the common sense. After each modelling and forecasting stage, a critical approach to the outputs should be applied. If unusual behaviour in the model is noticed, transport network matrixes or calculation methodology may need to be re-examined and corrected.</w:t>
            </w:r>
          </w:p>
          <w:p w14:paraId="384A130F" w14:textId="77777777" w:rsidR="00600DEE" w:rsidRPr="0045151D" w:rsidRDefault="00600DEE">
            <w:pPr>
              <w:jc w:val="both"/>
              <w:rPr>
                <w:rFonts w:ascii="Calibri" w:eastAsia="Calibri" w:hAnsi="Calibri" w:cs="Calibri"/>
                <w:sz w:val="20"/>
                <w:szCs w:val="20"/>
                <w:lang w:val="en-GB"/>
              </w:rPr>
            </w:pPr>
          </w:p>
          <w:p w14:paraId="0CC9E77E" w14:textId="77777777" w:rsidR="00600DEE" w:rsidRPr="0045151D" w:rsidRDefault="00600DEE">
            <w:pPr>
              <w:jc w:val="both"/>
              <w:rPr>
                <w:rFonts w:ascii="Calibri" w:eastAsia="Calibri" w:hAnsi="Calibri" w:cs="Calibri"/>
                <w:b/>
                <w:color w:val="4F81BD"/>
                <w:sz w:val="20"/>
                <w:szCs w:val="20"/>
                <w:lang w:val="en-GB"/>
              </w:rPr>
            </w:pPr>
          </w:p>
          <w:p w14:paraId="38C2735D"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CBA input data</w:t>
            </w:r>
          </w:p>
          <w:p w14:paraId="16D07F2B" w14:textId="77777777" w:rsidR="00600DEE" w:rsidRPr="0045151D" w:rsidRDefault="00600DEE">
            <w:pPr>
              <w:jc w:val="both"/>
              <w:rPr>
                <w:rFonts w:ascii="Calibri" w:eastAsia="Calibri" w:hAnsi="Calibri" w:cs="Calibri"/>
                <w:b/>
                <w:color w:val="4F81BD"/>
                <w:sz w:val="20"/>
                <w:szCs w:val="20"/>
                <w:lang w:val="en-GB"/>
              </w:rPr>
            </w:pPr>
          </w:p>
          <w:p w14:paraId="57AB59EE"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above reports are the necessary data source for the CBA. Minimum requirements for the scope of these data are described in chapter 1.8 of this manual.</w:t>
            </w:r>
          </w:p>
          <w:p w14:paraId="63A5D9F9"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basic input data required for CBA calculations  are:</w:t>
            </w:r>
          </w:p>
          <w:p w14:paraId="6CA80F7A" w14:textId="77777777" w:rsidR="00600DEE" w:rsidRPr="0045151D" w:rsidRDefault="00641FB5">
            <w:pPr>
              <w:numPr>
                <w:ilvl w:val="0"/>
                <w:numId w:val="11"/>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traffic volumes (AADT) in </w:t>
            </w:r>
            <w:proofErr w:type="spellStart"/>
            <w:r w:rsidRPr="0045151D">
              <w:rPr>
                <w:rFonts w:ascii="Calibri" w:eastAsia="Calibri" w:hAnsi="Calibri" w:cs="Calibri"/>
                <w:sz w:val="20"/>
                <w:szCs w:val="20"/>
                <w:lang w:val="en-GB"/>
              </w:rPr>
              <w:t>veh</w:t>
            </w:r>
            <w:proofErr w:type="spellEnd"/>
            <w:r w:rsidRPr="0045151D">
              <w:rPr>
                <w:rFonts w:ascii="Calibri" w:eastAsia="Calibri" w:hAnsi="Calibri" w:cs="Calibri"/>
                <w:sz w:val="20"/>
                <w:szCs w:val="20"/>
                <w:lang w:val="en-GB"/>
              </w:rPr>
              <w:t xml:space="preserve">/day on the analysed road network; </w:t>
            </w:r>
          </w:p>
          <w:p w14:paraId="0666BC5A" w14:textId="77777777" w:rsidR="00600DEE" w:rsidRPr="0045151D" w:rsidRDefault="00641FB5">
            <w:pPr>
              <w:numPr>
                <w:ilvl w:val="0"/>
                <w:numId w:val="11"/>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transport work/day,</w:t>
            </w:r>
            <w:r w:rsidRPr="0045151D">
              <w:rPr>
                <w:rFonts w:ascii="Calibri" w:eastAsia="Calibri" w:hAnsi="Calibri" w:cs="Calibri"/>
                <w:b/>
                <w:sz w:val="20"/>
                <w:szCs w:val="20"/>
                <w:lang w:val="en-GB"/>
              </w:rPr>
              <w:t xml:space="preserve"> </w:t>
            </w:r>
            <w:r w:rsidRPr="0045151D">
              <w:rPr>
                <w:rFonts w:ascii="Calibri" w:eastAsia="Calibri" w:hAnsi="Calibri" w:cs="Calibri"/>
                <w:sz w:val="20"/>
                <w:szCs w:val="20"/>
                <w:lang w:val="en-GB"/>
              </w:rPr>
              <w:t>broken down by categories of vehicles, speed ranges and road category, expressed in:</w:t>
            </w:r>
          </w:p>
          <w:p w14:paraId="2E547415" w14:textId="77777777" w:rsidR="00600DEE" w:rsidRPr="0045151D" w:rsidRDefault="00641FB5">
            <w:pPr>
              <w:numPr>
                <w:ilvl w:val="1"/>
                <w:numId w:val="11"/>
              </w:numPr>
              <w:spacing w:before="120" w:after="120"/>
              <w:ind w:left="707" w:hanging="426"/>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vehicle-kilometres (sum of the products of the volume of traffic in ADDT and the length of the analysed sections); and </w:t>
            </w:r>
          </w:p>
          <w:p w14:paraId="78F6039F" w14:textId="77777777" w:rsidR="00600DEE" w:rsidRPr="0045151D" w:rsidRDefault="00641FB5">
            <w:pPr>
              <w:numPr>
                <w:ilvl w:val="1"/>
                <w:numId w:val="11"/>
              </w:numPr>
              <w:spacing w:before="120" w:after="120"/>
              <w:ind w:left="707" w:hanging="426"/>
              <w:jc w:val="both"/>
              <w:rPr>
                <w:rFonts w:ascii="Calibri" w:eastAsia="Calibri" w:hAnsi="Calibri" w:cs="Calibri"/>
                <w:sz w:val="20"/>
                <w:szCs w:val="20"/>
                <w:lang w:val="en-GB"/>
              </w:rPr>
            </w:pPr>
            <w:r w:rsidRPr="0045151D">
              <w:rPr>
                <w:rFonts w:ascii="Calibri" w:eastAsia="Calibri" w:hAnsi="Calibri" w:cs="Calibri"/>
                <w:sz w:val="20"/>
                <w:szCs w:val="20"/>
                <w:lang w:val="en-GB"/>
              </w:rPr>
              <w:t>in vehicle-hours (sum of the products of the volume of traffic in AADT and the time required to cover those sections).</w:t>
            </w:r>
          </w:p>
          <w:p w14:paraId="23121379" w14:textId="77777777" w:rsidR="00F15189" w:rsidRPr="0045151D" w:rsidRDefault="00F15189">
            <w:pPr>
              <w:spacing w:before="120" w:after="120"/>
              <w:jc w:val="both"/>
              <w:rPr>
                <w:rFonts w:ascii="Calibri" w:eastAsia="Calibri" w:hAnsi="Calibri" w:cs="Calibri"/>
                <w:b/>
                <w:sz w:val="20"/>
                <w:szCs w:val="20"/>
                <w:lang w:val="en-GB"/>
              </w:rPr>
            </w:pPr>
          </w:p>
          <w:p w14:paraId="10F5DB3B" w14:textId="182A1FC9" w:rsidR="00600DEE" w:rsidRPr="0045151D" w:rsidRDefault="00641FB5">
            <w:pPr>
              <w:spacing w:before="120" w:after="120"/>
              <w:jc w:val="both"/>
              <w:rPr>
                <w:rFonts w:ascii="Calibri" w:eastAsia="Calibri" w:hAnsi="Calibri" w:cs="Calibri"/>
                <w:b/>
                <w:sz w:val="20"/>
                <w:szCs w:val="20"/>
                <w:lang w:val="en-GB"/>
              </w:rPr>
            </w:pPr>
            <w:r w:rsidRPr="0045151D">
              <w:rPr>
                <w:rFonts w:ascii="Calibri" w:eastAsia="Calibri" w:hAnsi="Calibri" w:cs="Calibri"/>
                <w:b/>
                <w:sz w:val="20"/>
                <w:szCs w:val="20"/>
                <w:lang w:val="en-GB"/>
              </w:rPr>
              <w:lastRenderedPageBreak/>
              <w:t>The above data should be provided for all sections of the respective project impact area, (i.e. buffer) and for the whole reference period; table form presentation is recommended.</w:t>
            </w:r>
          </w:p>
          <w:p w14:paraId="42E832A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It should be verified that the same number of vehicles (trips) in the buffer is considered for W0 and </w:t>
            </w:r>
            <w:proofErr w:type="spellStart"/>
            <w:r w:rsidRPr="0045151D">
              <w:rPr>
                <w:rFonts w:ascii="Calibri" w:eastAsia="Calibri" w:hAnsi="Calibri" w:cs="Calibri"/>
                <w:sz w:val="20"/>
                <w:szCs w:val="20"/>
                <w:lang w:val="en-GB"/>
              </w:rPr>
              <w:t>Wn</w:t>
            </w:r>
            <w:proofErr w:type="spellEnd"/>
            <w:r w:rsidRPr="0045151D">
              <w:rPr>
                <w:rFonts w:ascii="Calibri" w:eastAsia="Calibri" w:hAnsi="Calibri" w:cs="Calibri"/>
                <w:sz w:val="20"/>
                <w:szCs w:val="20"/>
                <w:lang w:val="en-GB"/>
              </w:rPr>
              <w:t>.</w:t>
            </w:r>
          </w:p>
          <w:p w14:paraId="60EB66A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order to estimate transport work in </w:t>
            </w:r>
            <w:proofErr w:type="spellStart"/>
            <w:r w:rsidRPr="0045151D">
              <w:rPr>
                <w:rFonts w:ascii="Calibri" w:eastAsia="Calibri" w:hAnsi="Calibri" w:cs="Calibri"/>
                <w:sz w:val="20"/>
                <w:szCs w:val="20"/>
                <w:lang w:val="en-GB"/>
              </w:rPr>
              <w:t>veh</w:t>
            </w:r>
            <w:proofErr w:type="spellEnd"/>
            <w:r w:rsidRPr="0045151D">
              <w:rPr>
                <w:rFonts w:ascii="Calibri" w:eastAsia="Calibri" w:hAnsi="Calibri" w:cs="Calibri"/>
                <w:sz w:val="20"/>
                <w:szCs w:val="20"/>
                <w:lang w:val="en-GB"/>
              </w:rPr>
              <w:t xml:space="preserve">-h, it is necessary to estimate the respective travel time considering the length of the sections with  homogeneous traffic of the analysed network and the speed tables from </w:t>
            </w:r>
            <w:proofErr w:type="spellStart"/>
            <w:r w:rsidRPr="0045151D">
              <w:rPr>
                <w:rFonts w:ascii="Calibri" w:eastAsia="Calibri" w:hAnsi="Calibri" w:cs="Calibri"/>
                <w:i/>
                <w:sz w:val="20"/>
                <w:szCs w:val="20"/>
                <w:lang w:val="en-GB"/>
              </w:rPr>
              <w:t>GDDKiA</w:t>
            </w:r>
            <w:proofErr w:type="spellEnd"/>
            <w:r w:rsidRPr="0045151D">
              <w:rPr>
                <w:rFonts w:ascii="Calibri" w:eastAsia="Calibri" w:hAnsi="Calibri" w:cs="Calibri"/>
                <w:i/>
                <w:sz w:val="20"/>
                <w:szCs w:val="20"/>
                <w:lang w:val="en-GB"/>
              </w:rPr>
              <w:t xml:space="preserve"> internal CBA instruction (published in 2021) substituting </w:t>
            </w:r>
            <w:proofErr w:type="spellStart"/>
            <w:r w:rsidRPr="0045151D">
              <w:rPr>
                <w:rFonts w:ascii="Calibri" w:eastAsia="Calibri" w:hAnsi="Calibri" w:cs="Calibri"/>
                <w:i/>
                <w:sz w:val="20"/>
                <w:szCs w:val="20"/>
                <w:lang w:val="en-GB"/>
              </w:rPr>
              <w:t>IBDiM</w:t>
            </w:r>
            <w:proofErr w:type="spellEnd"/>
            <w:r w:rsidRPr="0045151D">
              <w:rPr>
                <w:rFonts w:ascii="Calibri" w:eastAsia="Calibri" w:hAnsi="Calibri" w:cs="Calibri"/>
                <w:i/>
                <w:sz w:val="20"/>
                <w:szCs w:val="20"/>
                <w:lang w:val="en-GB"/>
              </w:rPr>
              <w:t xml:space="preserve"> instruction dated 2008</w:t>
            </w:r>
            <w:r w:rsidRPr="0045151D">
              <w:rPr>
                <w:rFonts w:ascii="Calibri" w:eastAsia="Calibri" w:hAnsi="Calibri" w:cs="Calibri"/>
                <w:sz w:val="20"/>
                <w:szCs w:val="20"/>
                <w:lang w:val="en-GB"/>
              </w:rPr>
              <w:t>. In order to perform these calculations at the network level, specialized modelling software is used. In this case, it is important to use encoding parameters for road sections in analysed areas to provide transport work results by different road classes.</w:t>
            </w:r>
          </w:p>
          <w:p w14:paraId="41CD69BC"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For the sake of the CBA calculations, transport work results from the model should be broken down into various speed ranges (unless a simplified method is used, the traffic flow speeds should be calculated on the basis of speed tables from the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internal </w:t>
            </w:r>
            <w:r w:rsidRPr="0045151D">
              <w:rPr>
                <w:rFonts w:ascii="Calibri" w:eastAsia="Calibri" w:hAnsi="Calibri" w:cs="Calibri"/>
                <w:i/>
                <w:sz w:val="20"/>
                <w:szCs w:val="20"/>
                <w:lang w:val="en-GB"/>
              </w:rPr>
              <w:t>CBA instruction</w:t>
            </w:r>
            <w:r w:rsidRPr="0045151D">
              <w:rPr>
                <w:rFonts w:ascii="Calibri" w:eastAsia="Calibri" w:hAnsi="Calibri" w:cs="Calibri"/>
                <w:sz w:val="20"/>
                <w:szCs w:val="20"/>
                <w:lang w:val="en-GB"/>
              </w:rPr>
              <w:t>.</w:t>
            </w:r>
          </w:p>
          <w:p w14:paraId="005E281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Division into speed ranges should be differentiated depending on the location of the investment. In case of non-urban investments at least the following speed ranges should be considered:</w:t>
            </w:r>
          </w:p>
          <w:p w14:paraId="3733D4B1"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&lt;30 km/h</w:t>
            </w:r>
          </w:p>
          <w:p w14:paraId="5A734CD6"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30 ÷ 50 km/h</w:t>
            </w:r>
          </w:p>
          <w:p w14:paraId="1457A15C"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51 ÷ 70 km/h</w:t>
            </w:r>
          </w:p>
          <w:p w14:paraId="00D60451"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71 ÷ 90 km/h</w:t>
            </w:r>
          </w:p>
          <w:p w14:paraId="2D704C40"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91 ÷ 110 km/h</w:t>
            </w:r>
          </w:p>
          <w:p w14:paraId="482A0F43"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&gt; 110 km/h</w:t>
            </w:r>
          </w:p>
          <w:p w14:paraId="109864C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case of non-urban investments at least the following road categories should be used for the purpose of presentation of traffic analysis results expressed in transport work for a project impact area (buffer):</w:t>
            </w:r>
          </w:p>
          <w:p w14:paraId="415F09F3" w14:textId="77777777" w:rsidR="00600DEE" w:rsidRDefault="00641FB5" w:rsidP="00D5736B">
            <w:pPr>
              <w:numPr>
                <w:ilvl w:val="0"/>
                <w:numId w:val="54"/>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Motorways</w:t>
            </w:r>
            <w:proofErr w:type="spellEnd"/>
            <w:r>
              <w:rPr>
                <w:rFonts w:ascii="Calibri" w:eastAsia="Calibri" w:hAnsi="Calibri" w:cs="Calibri"/>
                <w:sz w:val="20"/>
                <w:szCs w:val="20"/>
              </w:rPr>
              <w:t xml:space="preserve"> (A)</w:t>
            </w:r>
          </w:p>
          <w:p w14:paraId="760D7914" w14:textId="51674C17" w:rsidR="00600DEE" w:rsidRDefault="00641FB5" w:rsidP="00D5736B">
            <w:pPr>
              <w:numPr>
                <w:ilvl w:val="0"/>
                <w:numId w:val="54"/>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Expressways</w:t>
            </w:r>
            <w:proofErr w:type="spellEnd"/>
            <w:r>
              <w:rPr>
                <w:rFonts w:ascii="Calibri" w:eastAsia="Calibri" w:hAnsi="Calibri" w:cs="Calibri"/>
                <w:sz w:val="20"/>
                <w:szCs w:val="20"/>
              </w:rPr>
              <w:t xml:space="preserve">, dual </w:t>
            </w:r>
            <w:proofErr w:type="spellStart"/>
            <w:r>
              <w:rPr>
                <w:rFonts w:ascii="Calibri" w:eastAsia="Calibri" w:hAnsi="Calibri" w:cs="Calibri"/>
                <w:sz w:val="20"/>
                <w:szCs w:val="20"/>
              </w:rPr>
              <w:t>carriageway</w:t>
            </w:r>
            <w:proofErr w:type="spellEnd"/>
            <w:r>
              <w:rPr>
                <w:rFonts w:ascii="Calibri" w:eastAsia="Calibri" w:hAnsi="Calibri" w:cs="Calibri"/>
                <w:sz w:val="20"/>
                <w:szCs w:val="20"/>
              </w:rPr>
              <w:t xml:space="preserve"> (S)</w:t>
            </w:r>
          </w:p>
          <w:p w14:paraId="7DEAF13E" w14:textId="6F47A899" w:rsidR="00600DEE" w:rsidRPr="0045151D" w:rsidRDefault="00641FB5" w:rsidP="00D5736B">
            <w:pPr>
              <w:numPr>
                <w:ilvl w:val="0"/>
                <w:numId w:val="54"/>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Expressways, single carriageway (S1</w:t>
            </w:r>
            <w:r w:rsidR="006C5DD9">
              <w:rPr>
                <w:rFonts w:ascii="Calibri" w:eastAsia="Calibri" w:hAnsi="Calibri" w:cs="Calibri"/>
                <w:sz w:val="20"/>
                <w:szCs w:val="20"/>
                <w:lang w:val="en-GB"/>
              </w:rPr>
              <w:t>x2</w:t>
            </w:r>
            <w:r w:rsidRPr="0045151D">
              <w:rPr>
                <w:rFonts w:ascii="Calibri" w:eastAsia="Calibri" w:hAnsi="Calibri" w:cs="Calibri"/>
                <w:sz w:val="20"/>
                <w:szCs w:val="20"/>
                <w:lang w:val="en-GB"/>
              </w:rPr>
              <w:t>)</w:t>
            </w:r>
            <w:r w:rsidR="006C5DD9">
              <w:rPr>
                <w:rFonts w:ascii="Calibri" w:eastAsia="Calibri" w:hAnsi="Calibri" w:cs="Calibri"/>
                <w:sz w:val="20"/>
                <w:szCs w:val="20"/>
                <w:lang w:val="en-GB"/>
              </w:rPr>
              <w:t xml:space="preserve"> </w:t>
            </w:r>
            <w:r w:rsidRPr="0045151D">
              <w:rPr>
                <w:rFonts w:ascii="Calibri" w:eastAsia="Calibri" w:hAnsi="Calibri" w:cs="Calibri"/>
                <w:sz w:val="20"/>
                <w:szCs w:val="20"/>
                <w:lang w:val="en-GB"/>
              </w:rPr>
              <w:t>including with one additional lane (S2+1)</w:t>
            </w:r>
          </w:p>
          <w:p w14:paraId="3935D6D4" w14:textId="77777777" w:rsidR="00600DEE" w:rsidRPr="0045151D" w:rsidRDefault="00641FB5" w:rsidP="00D5736B">
            <w:pPr>
              <w:numPr>
                <w:ilvl w:val="0"/>
                <w:numId w:val="54"/>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national and voivodeship roads, dual carriageway</w:t>
            </w:r>
          </w:p>
          <w:p w14:paraId="617F4DDE" w14:textId="77777777" w:rsidR="00600DEE" w:rsidRPr="0045151D" w:rsidRDefault="00641FB5" w:rsidP="00D5736B">
            <w:pPr>
              <w:numPr>
                <w:ilvl w:val="0"/>
                <w:numId w:val="54"/>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national and voivodeship roads, single carriageway</w:t>
            </w:r>
          </w:p>
          <w:p w14:paraId="6BDB2918" w14:textId="77777777" w:rsidR="00600DEE" w:rsidRDefault="00641FB5" w:rsidP="00D5736B">
            <w:pPr>
              <w:numPr>
                <w:ilvl w:val="0"/>
                <w:numId w:val="5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 xml:space="preserve">Urban </w:t>
            </w:r>
            <w:proofErr w:type="spellStart"/>
            <w:r>
              <w:rPr>
                <w:rFonts w:ascii="Calibri" w:eastAsia="Calibri" w:hAnsi="Calibri" w:cs="Calibri"/>
                <w:sz w:val="20"/>
                <w:szCs w:val="20"/>
              </w:rPr>
              <w:t>sections</w:t>
            </w:r>
            <w:proofErr w:type="spellEnd"/>
          </w:p>
          <w:p w14:paraId="51C469B1" w14:textId="77777777" w:rsidR="00600DEE" w:rsidRDefault="00641FB5" w:rsidP="00D5736B">
            <w:pPr>
              <w:numPr>
                <w:ilvl w:val="0"/>
                <w:numId w:val="54"/>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All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other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roads</w:t>
            </w:r>
            <w:proofErr w:type="spellEnd"/>
          </w:p>
          <w:p w14:paraId="77177B65"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above mentioned division is in line with the main division of road section categories that is used in the Multimodal National Traffic Model provided by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additionally S2+1 </w:t>
            </w:r>
            <w:proofErr w:type="spellStart"/>
            <w:r w:rsidRPr="0045151D">
              <w:rPr>
                <w:rFonts w:ascii="Calibri" w:eastAsia="Calibri" w:hAnsi="Calibri" w:cs="Calibri"/>
                <w:sz w:val="20"/>
                <w:szCs w:val="20"/>
                <w:lang w:val="en-GB"/>
              </w:rPr>
              <w:t>cattegory</w:t>
            </w:r>
            <w:proofErr w:type="spellEnd"/>
            <w:r w:rsidRPr="0045151D">
              <w:rPr>
                <w:rFonts w:ascii="Calibri" w:eastAsia="Calibri" w:hAnsi="Calibri" w:cs="Calibri"/>
                <w:sz w:val="20"/>
                <w:szCs w:val="20"/>
                <w:lang w:val="en-GB"/>
              </w:rPr>
              <w:t xml:space="preserve"> is considered.</w:t>
            </w:r>
          </w:p>
          <w:p w14:paraId="5AE5D89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case of urban investments at least the following speed ranges should be considered:</w:t>
            </w:r>
          </w:p>
          <w:p w14:paraId="3EB1E45B"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&lt;10 km/h</w:t>
            </w:r>
          </w:p>
          <w:p w14:paraId="49923AF2"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10 ÷ 30 km/h</w:t>
            </w:r>
          </w:p>
          <w:p w14:paraId="09EC1F1F"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31 ÷ 50 km/h</w:t>
            </w:r>
          </w:p>
          <w:p w14:paraId="4272AD7F"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51 ÷ 60 km/h</w:t>
            </w:r>
          </w:p>
          <w:p w14:paraId="4476B4AF"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61 ÷ 80 km/h</w:t>
            </w:r>
          </w:p>
          <w:p w14:paraId="18FE655C"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&gt; 80 km/h</w:t>
            </w:r>
          </w:p>
          <w:p w14:paraId="72832E5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speed ranges on urban roads should be assigned at least to the following road section categories:</w:t>
            </w:r>
          </w:p>
          <w:p w14:paraId="2D95E174" w14:textId="77777777" w:rsidR="00600DEE" w:rsidRDefault="00641FB5" w:rsidP="00D5736B">
            <w:pPr>
              <w:numPr>
                <w:ilvl w:val="0"/>
                <w:numId w:val="71"/>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Expressways</w:t>
            </w:r>
            <w:proofErr w:type="spellEnd"/>
            <w:r>
              <w:rPr>
                <w:rFonts w:ascii="Calibri" w:eastAsia="Calibri" w:hAnsi="Calibri" w:cs="Calibri"/>
                <w:sz w:val="20"/>
                <w:szCs w:val="20"/>
              </w:rPr>
              <w:t xml:space="preserve"> (S)</w:t>
            </w:r>
          </w:p>
          <w:p w14:paraId="69F6DFCD" w14:textId="77777777" w:rsidR="00600DEE" w:rsidRPr="0045151D" w:rsidRDefault="00641FB5" w:rsidP="00D5736B">
            <w:pPr>
              <w:numPr>
                <w:ilvl w:val="0"/>
                <w:numId w:val="71"/>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trunk roads, accelerated traffic (GP) </w:t>
            </w:r>
          </w:p>
          <w:p w14:paraId="3EF4B24F" w14:textId="77777777" w:rsidR="00600DEE" w:rsidRDefault="00641FB5" w:rsidP="00D5736B">
            <w:pPr>
              <w:numPr>
                <w:ilvl w:val="0"/>
                <w:numId w:val="71"/>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main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roads</w:t>
            </w:r>
            <w:proofErr w:type="spellEnd"/>
            <w:r>
              <w:rPr>
                <w:rFonts w:ascii="Calibri" w:eastAsia="Calibri" w:hAnsi="Calibri" w:cs="Calibri"/>
                <w:sz w:val="20"/>
                <w:szCs w:val="20"/>
              </w:rPr>
              <w:t xml:space="preserve"> (G)</w:t>
            </w:r>
          </w:p>
          <w:p w14:paraId="4C695DAF" w14:textId="77777777" w:rsidR="00600DEE" w:rsidRDefault="00641FB5" w:rsidP="00D5736B">
            <w:pPr>
              <w:numPr>
                <w:ilvl w:val="0"/>
                <w:numId w:val="71"/>
              </w:numPr>
              <w:spacing w:before="120" w:after="120"/>
              <w:ind w:left="707" w:hanging="707"/>
              <w:jc w:val="both"/>
              <w:rPr>
                <w:rFonts w:ascii="Calibri" w:eastAsia="Calibri" w:hAnsi="Calibri" w:cs="Calibri"/>
                <w:sz w:val="20"/>
                <w:szCs w:val="20"/>
              </w:rPr>
            </w:pPr>
            <w:proofErr w:type="spellStart"/>
            <w:r>
              <w:rPr>
                <w:rFonts w:ascii="Calibri" w:eastAsia="Calibri" w:hAnsi="Calibri" w:cs="Calibri"/>
                <w:sz w:val="20"/>
                <w:szCs w:val="20"/>
              </w:rPr>
              <w:t>collector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roads</w:t>
            </w:r>
            <w:proofErr w:type="spellEnd"/>
            <w:r>
              <w:rPr>
                <w:rFonts w:ascii="Calibri" w:eastAsia="Calibri" w:hAnsi="Calibri" w:cs="Calibri"/>
                <w:sz w:val="20"/>
                <w:szCs w:val="20"/>
              </w:rPr>
              <w:t xml:space="preserve"> (Z).</w:t>
            </w:r>
          </w:p>
          <w:p w14:paraId="013BEC6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It is important to take into account the aspect of section collision/ non-collision with crossing roads in case of GP street category. </w:t>
            </w:r>
          </w:p>
          <w:p w14:paraId="72E7E4A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project impact area for which the AADT and transport work are calculated should be presented in graphical and descriptive forms.</w:t>
            </w:r>
          </w:p>
          <w:p w14:paraId="453AF8D0" w14:textId="77777777" w:rsidR="00600DEE" w:rsidRPr="0045151D" w:rsidRDefault="00600DEE">
            <w:pPr>
              <w:spacing w:before="120" w:after="120"/>
              <w:jc w:val="both"/>
              <w:rPr>
                <w:rFonts w:ascii="Calibri" w:eastAsia="Calibri" w:hAnsi="Calibri" w:cs="Calibri"/>
                <w:sz w:val="20"/>
                <w:szCs w:val="20"/>
                <w:lang w:val="en-GB"/>
              </w:rPr>
            </w:pPr>
          </w:p>
        </w:tc>
      </w:tr>
    </w:tbl>
    <w:p w14:paraId="6FAFC4EA" w14:textId="2291ECBB" w:rsidR="00600DEE" w:rsidRPr="0045151D" w:rsidRDefault="00641FB5">
      <w:pPr>
        <w:pStyle w:val="Nagwek1"/>
        <w:rPr>
          <w:rFonts w:ascii="Calibri" w:eastAsia="Calibri" w:hAnsi="Calibri" w:cs="Calibri"/>
          <w:color w:val="0070C0"/>
          <w:lang w:val="pl-PL"/>
        </w:rPr>
      </w:pPr>
      <w:bookmarkStart w:id="128" w:name="_Toc95378018"/>
      <w:r w:rsidRPr="0045151D">
        <w:rPr>
          <w:rFonts w:ascii="Calibri" w:eastAsia="Calibri" w:hAnsi="Calibri" w:cs="Calibri"/>
          <w:color w:val="0070C0"/>
          <w:lang w:val="pl-PL"/>
        </w:rPr>
        <w:lastRenderedPageBreak/>
        <w:t>Załącznik C: Podstawy metodologiczne obliczania współczynników</w:t>
      </w:r>
      <w:r w:rsidRPr="0045151D">
        <w:rPr>
          <w:rFonts w:ascii="Calibri" w:eastAsia="Calibri" w:hAnsi="Calibri" w:cs="Calibri"/>
          <w:color w:val="0070C0"/>
          <w:lang w:val="pl-PL"/>
        </w:rPr>
        <w:br/>
        <w:t xml:space="preserve">                     </w:t>
      </w:r>
      <w:r w:rsidRPr="0045151D">
        <w:rPr>
          <w:rFonts w:ascii="Calibri" w:eastAsia="Calibri" w:hAnsi="Calibri" w:cs="Calibri"/>
          <w:color w:val="0070C0"/>
          <w:vertAlign w:val="superscript"/>
          <w:lang w:val="pl-PL"/>
        </w:rPr>
        <w:t xml:space="preserve">  </w:t>
      </w:r>
      <w:r w:rsidRPr="0045151D">
        <w:rPr>
          <w:rFonts w:ascii="Calibri" w:eastAsia="Calibri" w:hAnsi="Calibri" w:cs="Calibri"/>
          <w:color w:val="0070C0"/>
          <w:lang w:val="pl-PL"/>
        </w:rPr>
        <w:t>przeliczeniowych (konwersji)</w:t>
      </w:r>
      <w:r w:rsidRPr="0045151D">
        <w:rPr>
          <w:rFonts w:ascii="Calibri" w:eastAsia="Calibri" w:hAnsi="Calibri" w:cs="Calibri"/>
          <w:color w:val="0070C0"/>
          <w:lang w:val="pl-PL"/>
        </w:rPr>
        <w:br/>
      </w:r>
      <w:r w:rsidRPr="0045151D">
        <w:rPr>
          <w:rFonts w:ascii="Calibri" w:eastAsia="Calibri" w:hAnsi="Calibri" w:cs="Calibri"/>
          <w:i/>
          <w:color w:val="0070C0"/>
          <w:lang w:val="pl-PL"/>
        </w:rPr>
        <w:t xml:space="preserve">Appendix C: </w:t>
      </w:r>
      <w:proofErr w:type="spellStart"/>
      <w:r w:rsidRPr="0045151D">
        <w:rPr>
          <w:rFonts w:ascii="Calibri" w:eastAsia="Calibri" w:hAnsi="Calibri" w:cs="Calibri"/>
          <w:i/>
          <w:color w:val="0070C0"/>
          <w:lang w:val="pl-PL"/>
        </w:rPr>
        <w:t>Methodological</w:t>
      </w:r>
      <w:proofErr w:type="spellEnd"/>
      <w:r w:rsidRPr="0045151D">
        <w:rPr>
          <w:rFonts w:ascii="Calibri" w:eastAsia="Calibri" w:hAnsi="Calibri" w:cs="Calibri"/>
          <w:i/>
          <w:color w:val="0070C0"/>
          <w:lang w:val="pl-PL"/>
        </w:rPr>
        <w:t xml:space="preserve"> </w:t>
      </w:r>
      <w:proofErr w:type="spellStart"/>
      <w:r w:rsidRPr="0045151D">
        <w:rPr>
          <w:rFonts w:ascii="Calibri" w:eastAsia="Calibri" w:hAnsi="Calibri" w:cs="Calibri"/>
          <w:i/>
          <w:color w:val="0070C0"/>
          <w:lang w:val="pl-PL"/>
        </w:rPr>
        <w:t>background</w:t>
      </w:r>
      <w:proofErr w:type="spellEnd"/>
      <w:r w:rsidRPr="0045151D">
        <w:rPr>
          <w:rFonts w:ascii="Calibri" w:eastAsia="Calibri" w:hAnsi="Calibri" w:cs="Calibri"/>
          <w:i/>
          <w:color w:val="0070C0"/>
          <w:lang w:val="pl-PL"/>
        </w:rPr>
        <w:t xml:space="preserve"> to </w:t>
      </w:r>
      <w:proofErr w:type="spellStart"/>
      <w:r w:rsidRPr="0045151D">
        <w:rPr>
          <w:rFonts w:ascii="Calibri" w:eastAsia="Calibri" w:hAnsi="Calibri" w:cs="Calibri"/>
          <w:i/>
          <w:color w:val="0070C0"/>
          <w:lang w:val="pl-PL"/>
        </w:rPr>
        <w:t>calculate</w:t>
      </w:r>
      <w:proofErr w:type="spellEnd"/>
      <w:r w:rsidRPr="0045151D">
        <w:rPr>
          <w:rFonts w:ascii="Calibri" w:eastAsia="Calibri" w:hAnsi="Calibri" w:cs="Calibri"/>
          <w:i/>
          <w:color w:val="0070C0"/>
          <w:lang w:val="pl-PL"/>
        </w:rPr>
        <w:t xml:space="preserve"> Conversion </w:t>
      </w:r>
      <w:proofErr w:type="spellStart"/>
      <w:r w:rsidRPr="0045151D">
        <w:rPr>
          <w:rFonts w:ascii="Calibri" w:eastAsia="Calibri" w:hAnsi="Calibri" w:cs="Calibri"/>
          <w:i/>
          <w:color w:val="0070C0"/>
          <w:lang w:val="pl-PL"/>
        </w:rPr>
        <w:t>Factors</w:t>
      </w:r>
      <w:bookmarkEnd w:id="128"/>
      <w:proofErr w:type="spellEnd"/>
    </w:p>
    <w:tbl>
      <w:tblPr>
        <w:tblStyle w:val="afffffffffffffe"/>
        <w:tblW w:w="14571" w:type="dxa"/>
        <w:tblLayout w:type="fixed"/>
        <w:tblLook w:val="0400" w:firstRow="0" w:lastRow="0" w:firstColumn="0" w:lastColumn="0" w:noHBand="0" w:noVBand="1"/>
      </w:tblPr>
      <w:tblGrid>
        <w:gridCol w:w="7370"/>
        <w:gridCol w:w="7201"/>
      </w:tblGrid>
      <w:tr w:rsidR="00600DEE" w14:paraId="65885AFE" w14:textId="77777777">
        <w:tc>
          <w:tcPr>
            <w:tcW w:w="7370" w:type="dxa"/>
            <w:tcBorders>
              <w:right w:val="single" w:sz="4" w:space="0" w:color="000000"/>
            </w:tcBorders>
            <w:tcMar>
              <w:left w:w="284" w:type="dxa"/>
              <w:right w:w="284" w:type="dxa"/>
            </w:tcMar>
          </w:tcPr>
          <w:p w14:paraId="45223960" w14:textId="4420F2A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Dla celów analizy finansowej, ceny rynkowe stanowią odpowiednie odniesienie przy ocenie wyników finansowych projektu zarówno dla inwestora prywatnego jak i publicznego. Jednak nie są odpowiednie, gdy celem jest ocena wkładu projektu do korzyści społecznych. </w:t>
            </w:r>
            <w:r w:rsidR="00880D09">
              <w:rPr>
                <w:rFonts w:ascii="Calibri" w:eastAsia="Calibri" w:hAnsi="Calibri" w:cs="Calibri"/>
                <w:color w:val="000000"/>
                <w:sz w:val="20"/>
                <w:szCs w:val="20"/>
              </w:rPr>
              <w:t>W</w:t>
            </w:r>
            <w:r>
              <w:rPr>
                <w:rFonts w:ascii="Calibri" w:eastAsia="Calibri" w:hAnsi="Calibri" w:cs="Calibri"/>
                <w:color w:val="000000"/>
                <w:sz w:val="20"/>
                <w:szCs w:val="20"/>
              </w:rPr>
              <w:t> tym celu, wszystkie ceny rynkowe należy przekształcić na ceny ukryte (z ang. ‘’</w:t>
            </w:r>
            <w:proofErr w:type="spellStart"/>
            <w:r>
              <w:rPr>
                <w:rFonts w:ascii="Calibri" w:eastAsia="Calibri" w:hAnsi="Calibri" w:cs="Calibri"/>
                <w:color w:val="000000"/>
                <w:sz w:val="20"/>
                <w:szCs w:val="20"/>
              </w:rPr>
              <w:t>shadow</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prices</w:t>
            </w:r>
            <w:proofErr w:type="spellEnd"/>
            <w:r>
              <w:rPr>
                <w:rFonts w:ascii="Calibri" w:eastAsia="Calibri" w:hAnsi="Calibri" w:cs="Calibri"/>
                <w:color w:val="000000"/>
                <w:sz w:val="20"/>
                <w:szCs w:val="20"/>
              </w:rPr>
              <w:t>’’), które lepiej odwzorowują korzyści społeczne.</w:t>
            </w:r>
          </w:p>
          <w:p w14:paraId="4CFFE5B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Przekształcanie cen rynkowych na ceny ukryte odbywa się poprzez zastosowanie współczynników przeliczeniowych (CF). </w:t>
            </w:r>
          </w:p>
          <w:p w14:paraId="101CDFD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CF zastosowanie do projektów inwestycyjnych w zakresie infrastruktury drogowej w Polsce, zostały obliczone metodą średniej ważonej:</w:t>
            </w:r>
          </w:p>
          <w:p w14:paraId="3EC4420D" w14:textId="77777777" w:rsidR="00600DEE" w:rsidRDefault="00641FB5" w:rsidP="00D5736B">
            <w:pPr>
              <w:numPr>
                <w:ilvl w:val="0"/>
                <w:numId w:val="22"/>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Określenie pierwotnych współczynników przeliczeniowych:</w:t>
            </w:r>
          </w:p>
          <w:p w14:paraId="0A26CBBC" w14:textId="39D00F65" w:rsidR="00600DEE" w:rsidRDefault="00641FB5" w:rsidP="00D5736B">
            <w:pPr>
              <w:numPr>
                <w:ilvl w:val="1"/>
                <w:numId w:val="22"/>
              </w:numPr>
              <w:pBdr>
                <w:top w:val="nil"/>
                <w:left w:val="nil"/>
                <w:bottom w:val="nil"/>
                <w:right w:val="nil"/>
                <w:between w:val="nil"/>
              </w:pBdr>
              <w:spacing w:before="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Koszty pracy: na podstawie załącznika IV wytycznych AKK KE szacuje się, że średnia</w:t>
            </w:r>
            <w:r w:rsidR="00880D09">
              <w:rPr>
                <w:rFonts w:ascii="Calibri" w:eastAsia="Calibri" w:hAnsi="Calibri" w:cs="Calibri"/>
                <w:color w:val="000000"/>
                <w:sz w:val="20"/>
                <w:szCs w:val="20"/>
              </w:rPr>
              <w:t xml:space="preserve"> wartość dla Polski odpowiada 0,</w:t>
            </w:r>
            <w:r>
              <w:rPr>
                <w:rFonts w:ascii="Calibri" w:eastAsia="Calibri" w:hAnsi="Calibri" w:cs="Calibri"/>
                <w:color w:val="000000"/>
                <w:sz w:val="20"/>
                <w:szCs w:val="20"/>
              </w:rPr>
              <w:t>5</w:t>
            </w:r>
            <w:r w:rsidR="00DD0E5A">
              <w:rPr>
                <w:rFonts w:ascii="Calibri" w:eastAsia="Calibri" w:hAnsi="Calibri" w:cs="Calibri"/>
                <w:color w:val="000000"/>
                <w:sz w:val="20"/>
                <w:szCs w:val="20"/>
              </w:rPr>
              <w:t>8</w:t>
            </w:r>
            <w:r w:rsidR="00DD0E5A" w:rsidRPr="00DD0E5A">
              <w:rPr>
                <w:rFonts w:ascii="Calibri" w:eastAsia="Calibri" w:hAnsi="Calibri" w:cs="Calibri"/>
                <w:color w:val="000000"/>
                <w:sz w:val="20"/>
                <w:szCs w:val="20"/>
                <w:vertAlign w:val="superscript"/>
              </w:rPr>
              <w:t>26</w:t>
            </w:r>
            <w:r w:rsidR="00DD0E5A">
              <w:rPr>
                <w:rFonts w:ascii="Calibri" w:eastAsia="Calibri" w:hAnsi="Calibri" w:cs="Calibri"/>
                <w:color w:val="000000"/>
                <w:sz w:val="20"/>
                <w:szCs w:val="20"/>
              </w:rPr>
              <w:t>.</w:t>
            </w:r>
            <w:r w:rsidR="00173EC8">
              <w:rPr>
                <w:rFonts w:ascii="Calibri" w:eastAsia="Calibri" w:hAnsi="Calibri" w:cs="Calibri"/>
                <w:color w:val="000000"/>
                <w:sz w:val="20"/>
                <w:szCs w:val="20"/>
                <w:vertAlign w:val="superscript"/>
              </w:rPr>
              <w:fldChar w:fldCharType="begin"/>
            </w:r>
            <w:r w:rsidR="00173EC8">
              <w:rPr>
                <w:rFonts w:ascii="Calibri" w:eastAsia="Calibri" w:hAnsi="Calibri" w:cs="Calibri"/>
                <w:color w:val="000000"/>
                <w:sz w:val="20"/>
                <w:szCs w:val="20"/>
              </w:rPr>
              <w:instrText xml:space="preserve"> NOTEREF _Ref91588878 \f </w:instrText>
            </w:r>
            <w:r w:rsidR="00173EC8">
              <w:rPr>
                <w:rFonts w:ascii="Calibri" w:eastAsia="Calibri" w:hAnsi="Calibri" w:cs="Calibri"/>
                <w:color w:val="000000"/>
                <w:sz w:val="20"/>
                <w:szCs w:val="20"/>
                <w:vertAlign w:val="superscript"/>
              </w:rPr>
              <w:fldChar w:fldCharType="separate"/>
            </w:r>
            <w:r w:rsidR="00173EC8" w:rsidRPr="00DD0E5A">
              <w:rPr>
                <w:rStyle w:val="Odwoanieprzypisudolnego"/>
                <w:rFonts w:eastAsia="Calibri"/>
                <w:color w:val="FFFFFF" w:themeColor="background1"/>
              </w:rPr>
              <w:t>25</w:t>
            </w:r>
            <w:r w:rsidR="00173EC8">
              <w:rPr>
                <w:rFonts w:ascii="Calibri" w:eastAsia="Calibri" w:hAnsi="Calibri" w:cs="Calibri"/>
                <w:color w:val="000000"/>
                <w:sz w:val="20"/>
                <w:szCs w:val="20"/>
                <w:vertAlign w:val="superscript"/>
              </w:rPr>
              <w:fldChar w:fldCharType="end"/>
            </w:r>
            <w:r w:rsidRPr="00DD0E5A">
              <w:rPr>
                <w:rFonts w:ascii="Calibri" w:eastAsia="Calibri" w:hAnsi="Calibri" w:cs="Calibri"/>
                <w:color w:val="FFFFFF" w:themeColor="background1"/>
                <w:sz w:val="20"/>
                <w:szCs w:val="20"/>
              </w:rPr>
              <w:t>.</w:t>
            </w:r>
          </w:p>
          <w:p w14:paraId="0D62AB10" w14:textId="77777777" w:rsidR="00600DEE" w:rsidRDefault="00641FB5" w:rsidP="00D5736B">
            <w:pPr>
              <w:numPr>
                <w:ilvl w:val="1"/>
                <w:numId w:val="22"/>
              </w:numPr>
              <w:pBdr>
                <w:top w:val="nil"/>
                <w:left w:val="nil"/>
                <w:bottom w:val="nil"/>
                <w:right w:val="nil"/>
                <w:between w:val="nil"/>
              </w:pBdr>
              <w:spacing w:before="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Paliwo: na podstawie danych Komisji Europejskiej Tygodniowy biuletyn produktów naftowych, rok 2019), CF dotyczące polskich cen paliwa bez podatków i opłat (z wyłączeniem podatku VAT, ponieważ został on już uwzględniony w pierwszym kroku) oraz ceny na stacjach paliw oszacowano na 0,65 dla transportowych projektów.</w:t>
            </w:r>
          </w:p>
          <w:p w14:paraId="1D494E65" w14:textId="77777777" w:rsidR="00600DEE" w:rsidRDefault="00641FB5" w:rsidP="00D5736B">
            <w:pPr>
              <w:numPr>
                <w:ilvl w:val="0"/>
                <w:numId w:val="22"/>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Określenie wag dla pierwotnych współczynników w pozycjach pochodnych: dokonano tego na podstawie średniej struktury kosztów polskich firm budowlanych, produkcyjnych i transportowych (dane z „GUS: Koszty w podmiotach gospodarczych według rodzaju, 2019”</w:t>
            </w: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sektory Budownictwo, Produkcja i Transport, w wynikach finansowych podmiotów gospodarczych w I-IV 2019 r., GUS, Warszawa 2020). </w:t>
            </w:r>
          </w:p>
          <w:p w14:paraId="20513A68" w14:textId="77777777" w:rsidR="00600DEE" w:rsidRDefault="00641FB5" w:rsidP="00D5736B">
            <w:pPr>
              <w:numPr>
                <w:ilvl w:val="0"/>
                <w:numId w:val="22"/>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Obliczanie CF: średnia ważona z pierwotnych współczynników przeliczeniowych, jak w tabelach poniżej:</w:t>
            </w:r>
          </w:p>
          <w:p w14:paraId="673A66B8"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68390DD"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Obliczanie CF dla kosztów inwestycyjnych (CAPEX)</w:t>
            </w:r>
          </w:p>
          <w:tbl>
            <w:tblPr>
              <w:tblStyle w:val="affffffffffffff"/>
              <w:tblW w:w="4531" w:type="dxa"/>
              <w:tblLayout w:type="fixed"/>
              <w:tblLook w:val="0000" w:firstRow="0" w:lastRow="0" w:firstColumn="0" w:lastColumn="0" w:noHBand="0" w:noVBand="0"/>
            </w:tblPr>
            <w:tblGrid>
              <w:gridCol w:w="1440"/>
              <w:gridCol w:w="1600"/>
              <w:gridCol w:w="1491"/>
            </w:tblGrid>
            <w:tr w:rsidR="00600DEE" w14:paraId="5760E5CA" w14:textId="77777777" w:rsidTr="00173EC8">
              <w:trPr>
                <w:trHeight w:hRule="exact" w:val="567"/>
              </w:trPr>
              <w:tc>
                <w:tcPr>
                  <w:tcW w:w="1440" w:type="dxa"/>
                  <w:tcBorders>
                    <w:top w:val="single" w:sz="4" w:space="0" w:color="FFFFFF"/>
                    <w:left w:val="single" w:sz="4" w:space="0" w:color="FFFFFF"/>
                    <w:bottom w:val="single" w:sz="4" w:space="0" w:color="FFFFFF"/>
                  </w:tcBorders>
                  <w:shd w:val="clear" w:color="auto" w:fill="A6A6A6"/>
                  <w:vAlign w:val="center"/>
                </w:tcPr>
                <w:p w14:paraId="405936F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Elementy </w:t>
                  </w:r>
                </w:p>
              </w:tc>
              <w:tc>
                <w:tcPr>
                  <w:tcW w:w="1600" w:type="dxa"/>
                  <w:tcBorders>
                    <w:top w:val="single" w:sz="4" w:space="0" w:color="FFFFFF"/>
                    <w:left w:val="single" w:sz="4" w:space="0" w:color="FFFFFF"/>
                    <w:bottom w:val="single" w:sz="4" w:space="0" w:color="FFFFFF"/>
                  </w:tcBorders>
                  <w:shd w:val="clear" w:color="auto" w:fill="A6A6A6"/>
                  <w:vAlign w:val="center"/>
                </w:tcPr>
                <w:p w14:paraId="399E82E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Waga (*)</w:t>
                  </w:r>
                </w:p>
              </w:tc>
              <w:tc>
                <w:tcPr>
                  <w:tcW w:w="1491" w:type="dxa"/>
                  <w:tcBorders>
                    <w:top w:val="single" w:sz="4" w:space="0" w:color="FFFFFF"/>
                    <w:left w:val="single" w:sz="4" w:space="0" w:color="FFFFFF"/>
                    <w:bottom w:val="single" w:sz="4" w:space="0" w:color="FFFFFF"/>
                  </w:tcBorders>
                  <w:shd w:val="clear" w:color="auto" w:fill="A6A6A6"/>
                  <w:vAlign w:val="center"/>
                </w:tcPr>
                <w:p w14:paraId="1111150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Współczynnik konwersji </w:t>
                  </w:r>
                </w:p>
              </w:tc>
            </w:tr>
            <w:tr w:rsidR="00600DEE" w14:paraId="397F48A4"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3B5C6953"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Materiały</w:t>
                  </w:r>
                </w:p>
              </w:tc>
              <w:tc>
                <w:tcPr>
                  <w:tcW w:w="1600" w:type="dxa"/>
                  <w:tcBorders>
                    <w:top w:val="single" w:sz="4" w:space="0" w:color="FFFFFF"/>
                    <w:left w:val="single" w:sz="4" w:space="0" w:color="FFFFFF"/>
                    <w:bottom w:val="single" w:sz="4" w:space="0" w:color="FFFFFF"/>
                  </w:tcBorders>
                  <w:shd w:val="clear" w:color="auto" w:fill="DBE5F1"/>
                  <w:vAlign w:val="center"/>
                </w:tcPr>
                <w:p w14:paraId="6341610E"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39%</w:t>
                  </w:r>
                </w:p>
              </w:tc>
              <w:tc>
                <w:tcPr>
                  <w:tcW w:w="1491" w:type="dxa"/>
                  <w:tcBorders>
                    <w:top w:val="single" w:sz="4" w:space="0" w:color="FFFFFF"/>
                    <w:left w:val="single" w:sz="4" w:space="0" w:color="FFFFFF"/>
                    <w:bottom w:val="single" w:sz="4" w:space="0" w:color="FFFFFF"/>
                  </w:tcBorders>
                  <w:shd w:val="clear" w:color="auto" w:fill="DBE5F1"/>
                  <w:vAlign w:val="center"/>
                </w:tcPr>
                <w:p w14:paraId="5E353000"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2C47A253"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631290D8"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Robocizna </w:t>
                  </w:r>
                </w:p>
              </w:tc>
              <w:tc>
                <w:tcPr>
                  <w:tcW w:w="1600" w:type="dxa"/>
                  <w:tcBorders>
                    <w:top w:val="single" w:sz="4" w:space="0" w:color="FFFFFF"/>
                    <w:left w:val="single" w:sz="4" w:space="0" w:color="FFFFFF"/>
                    <w:bottom w:val="single" w:sz="4" w:space="0" w:color="FFFFFF"/>
                  </w:tcBorders>
                  <w:shd w:val="clear" w:color="auto" w:fill="DBE5F1"/>
                  <w:vAlign w:val="center"/>
                </w:tcPr>
                <w:p w14:paraId="5A4BA36E"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25%</w:t>
                  </w:r>
                </w:p>
              </w:tc>
              <w:tc>
                <w:tcPr>
                  <w:tcW w:w="1491" w:type="dxa"/>
                  <w:tcBorders>
                    <w:top w:val="single" w:sz="4" w:space="0" w:color="FFFFFF"/>
                    <w:left w:val="single" w:sz="4" w:space="0" w:color="FFFFFF"/>
                    <w:bottom w:val="single" w:sz="4" w:space="0" w:color="FFFFFF"/>
                  </w:tcBorders>
                  <w:shd w:val="clear" w:color="auto" w:fill="DBE5F1"/>
                  <w:vAlign w:val="center"/>
                </w:tcPr>
                <w:p w14:paraId="22C9A18F"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0,58</w:t>
                  </w:r>
                </w:p>
              </w:tc>
            </w:tr>
            <w:tr w:rsidR="00600DEE" w14:paraId="2C563FE0"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532B068B"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Energia</w:t>
                  </w:r>
                </w:p>
              </w:tc>
              <w:tc>
                <w:tcPr>
                  <w:tcW w:w="1600" w:type="dxa"/>
                  <w:tcBorders>
                    <w:top w:val="single" w:sz="4" w:space="0" w:color="FFFFFF"/>
                    <w:left w:val="single" w:sz="4" w:space="0" w:color="FFFFFF"/>
                    <w:bottom w:val="single" w:sz="4" w:space="0" w:color="FFFFFF"/>
                  </w:tcBorders>
                  <w:shd w:val="clear" w:color="auto" w:fill="DBE5F1"/>
                  <w:vAlign w:val="center"/>
                </w:tcPr>
                <w:p w14:paraId="34A6EBC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1491" w:type="dxa"/>
                  <w:tcBorders>
                    <w:top w:val="single" w:sz="4" w:space="0" w:color="FFFFFF"/>
                    <w:left w:val="single" w:sz="4" w:space="0" w:color="FFFFFF"/>
                    <w:bottom w:val="single" w:sz="4" w:space="0" w:color="FFFFFF"/>
                  </w:tcBorders>
                  <w:shd w:val="clear" w:color="auto" w:fill="DBE5F1"/>
                  <w:vAlign w:val="center"/>
                </w:tcPr>
                <w:p w14:paraId="02AFC647"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0,65</w:t>
                  </w:r>
                </w:p>
              </w:tc>
            </w:tr>
            <w:tr w:rsidR="00600DEE" w14:paraId="2CF608E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03DD430E"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Inne</w:t>
                  </w:r>
                </w:p>
              </w:tc>
              <w:tc>
                <w:tcPr>
                  <w:tcW w:w="1600" w:type="dxa"/>
                  <w:tcBorders>
                    <w:top w:val="single" w:sz="4" w:space="0" w:color="FFFFFF"/>
                    <w:left w:val="single" w:sz="4" w:space="0" w:color="FFFFFF"/>
                    <w:bottom w:val="single" w:sz="4" w:space="0" w:color="FFFFFF"/>
                  </w:tcBorders>
                  <w:shd w:val="clear" w:color="auto" w:fill="DBE5F1"/>
                  <w:vAlign w:val="center"/>
                </w:tcPr>
                <w:p w14:paraId="5A622FEC"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16%</w:t>
                  </w:r>
                </w:p>
              </w:tc>
              <w:tc>
                <w:tcPr>
                  <w:tcW w:w="1491" w:type="dxa"/>
                  <w:tcBorders>
                    <w:top w:val="single" w:sz="4" w:space="0" w:color="FFFFFF"/>
                    <w:left w:val="single" w:sz="4" w:space="0" w:color="FFFFFF"/>
                    <w:bottom w:val="single" w:sz="4" w:space="0" w:color="FFFFFF"/>
                  </w:tcBorders>
                  <w:shd w:val="clear" w:color="auto" w:fill="DBE5F1"/>
                  <w:vAlign w:val="center"/>
                </w:tcPr>
                <w:p w14:paraId="03D567A6"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4A7D5ACB"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5C01EDE"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Ostateczny</w:t>
                  </w:r>
                </w:p>
              </w:tc>
              <w:tc>
                <w:tcPr>
                  <w:tcW w:w="1600" w:type="dxa"/>
                  <w:tcBorders>
                    <w:top w:val="single" w:sz="4" w:space="0" w:color="FFFFFF"/>
                    <w:left w:val="single" w:sz="4" w:space="0" w:color="FFFFFF"/>
                    <w:bottom w:val="single" w:sz="4" w:space="0" w:color="FFFFFF"/>
                  </w:tcBorders>
                  <w:shd w:val="clear" w:color="auto" w:fill="DBE5F1"/>
                  <w:vAlign w:val="center"/>
                </w:tcPr>
                <w:p w14:paraId="666D1725"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 </w:t>
                  </w:r>
                </w:p>
              </w:tc>
              <w:tc>
                <w:tcPr>
                  <w:tcW w:w="1491" w:type="dxa"/>
                  <w:tcBorders>
                    <w:top w:val="single" w:sz="4" w:space="0" w:color="FFFFFF"/>
                    <w:left w:val="single" w:sz="4" w:space="0" w:color="FFFFFF"/>
                    <w:bottom w:val="single" w:sz="4" w:space="0" w:color="FFFFFF"/>
                  </w:tcBorders>
                  <w:shd w:val="clear" w:color="auto" w:fill="DBE5F1"/>
                  <w:vAlign w:val="center"/>
                </w:tcPr>
                <w:p w14:paraId="021DC0E2"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0,83</w:t>
                  </w:r>
                </w:p>
              </w:tc>
            </w:tr>
          </w:tbl>
          <w:p w14:paraId="4610FC88" w14:textId="77777777" w:rsidR="00600DEE" w:rsidRDefault="00641FB5">
            <w:pPr>
              <w:spacing w:before="120"/>
              <w:ind w:right="170"/>
              <w:rPr>
                <w:rFonts w:ascii="Calibri" w:eastAsia="Calibri" w:hAnsi="Calibri" w:cs="Calibri"/>
                <w:sz w:val="16"/>
                <w:szCs w:val="16"/>
              </w:rPr>
            </w:pPr>
            <w:r>
              <w:rPr>
                <w:rFonts w:ascii="Calibri" w:eastAsia="Calibri" w:hAnsi="Calibri" w:cs="Calibri"/>
                <w:color w:val="222222"/>
                <w:sz w:val="16"/>
                <w:szCs w:val="16"/>
              </w:rPr>
              <w:t xml:space="preserve">( * ) </w:t>
            </w:r>
            <w:r>
              <w:rPr>
                <w:rFonts w:ascii="Calibri" w:eastAsia="Calibri" w:hAnsi="Calibri" w:cs="Calibri"/>
                <w:color w:val="000000"/>
                <w:sz w:val="16"/>
                <w:szCs w:val="16"/>
              </w:rPr>
              <w:t>Wyniki finansowe podmiotów gospodarczych w I-IV 2019 r. (Produkcja i Transport), GUS, Warszawa 2020</w:t>
            </w:r>
            <w:r>
              <w:rPr>
                <w:rFonts w:ascii="Calibri" w:eastAsia="Calibri" w:hAnsi="Calibri" w:cs="Calibri"/>
                <w:color w:val="222222"/>
                <w:sz w:val="16"/>
                <w:szCs w:val="16"/>
              </w:rPr>
              <w:br/>
              <w:t>( ** ) wytyczne AKK, KE, załącznik IV.</w:t>
            </w:r>
            <w:r>
              <w:rPr>
                <w:rFonts w:ascii="Calibri" w:eastAsia="Calibri" w:hAnsi="Calibri" w:cs="Calibri"/>
                <w:color w:val="222222"/>
                <w:sz w:val="16"/>
                <w:szCs w:val="16"/>
              </w:rPr>
              <w:br/>
              <w:t xml:space="preserve">( *** ) </w:t>
            </w:r>
            <w:r>
              <w:rPr>
                <w:rFonts w:ascii="Calibri" w:eastAsia="Calibri" w:hAnsi="Calibri" w:cs="Calibri"/>
                <w:sz w:val="16"/>
                <w:szCs w:val="16"/>
              </w:rPr>
              <w:t>Tygodniowy biuletyn produktów naftowych, rok 2019, KE</w:t>
            </w:r>
            <w:r>
              <w:rPr>
                <w:rFonts w:ascii="Calibri" w:eastAsia="Calibri" w:hAnsi="Calibri" w:cs="Calibri"/>
                <w:color w:val="222222"/>
                <w:sz w:val="16"/>
                <w:szCs w:val="16"/>
              </w:rPr>
              <w:t>.</w:t>
            </w:r>
            <w:r>
              <w:rPr>
                <w:rFonts w:ascii="Calibri" w:eastAsia="Calibri" w:hAnsi="Calibri" w:cs="Calibri"/>
                <w:color w:val="000000"/>
                <w:sz w:val="16"/>
                <w:szCs w:val="16"/>
              </w:rPr>
              <w:t xml:space="preserve"> </w:t>
            </w:r>
          </w:p>
          <w:p w14:paraId="14B4D5A2"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323299"/>
                <w:sz w:val="20"/>
                <w:szCs w:val="20"/>
              </w:rPr>
              <w:t xml:space="preserve"> </w:t>
            </w:r>
            <w:r>
              <w:rPr>
                <w:rFonts w:ascii="Calibri" w:eastAsia="Calibri" w:hAnsi="Calibri" w:cs="Calibri"/>
                <w:b/>
                <w:color w:val="4F81BD"/>
                <w:sz w:val="20"/>
                <w:szCs w:val="20"/>
              </w:rPr>
              <w:t>Obliczanie CF dla kosztów operacyjnych (OPEX)</w:t>
            </w:r>
          </w:p>
          <w:p w14:paraId="787474BA"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18"/>
                <w:szCs w:val="18"/>
              </w:rPr>
            </w:pPr>
            <w:r>
              <w:rPr>
                <w:rFonts w:ascii="Calibri" w:eastAsia="Calibri" w:hAnsi="Calibri" w:cs="Calibri"/>
                <w:color w:val="000000"/>
                <w:sz w:val="18"/>
                <w:szCs w:val="18"/>
              </w:rPr>
              <w:t>(Wartości z poprzedniej edycji Niebieskiej Księgi 2015 są uważane za obowiązujące)</w:t>
            </w:r>
          </w:p>
          <w:tbl>
            <w:tblPr>
              <w:tblStyle w:val="affffffffffffff0"/>
              <w:tblW w:w="4582" w:type="dxa"/>
              <w:tblLayout w:type="fixed"/>
              <w:tblLook w:val="0000" w:firstRow="0" w:lastRow="0" w:firstColumn="0" w:lastColumn="0" w:noHBand="0" w:noVBand="0"/>
            </w:tblPr>
            <w:tblGrid>
              <w:gridCol w:w="1440"/>
              <w:gridCol w:w="1600"/>
              <w:gridCol w:w="1542"/>
            </w:tblGrid>
            <w:tr w:rsidR="00600DEE" w14:paraId="71D54641" w14:textId="77777777">
              <w:trPr>
                <w:trHeight w:val="574"/>
              </w:trPr>
              <w:tc>
                <w:tcPr>
                  <w:tcW w:w="1440" w:type="dxa"/>
                  <w:tcBorders>
                    <w:top w:val="single" w:sz="4" w:space="0" w:color="FFFFFF"/>
                    <w:left w:val="single" w:sz="4" w:space="0" w:color="FFFFFF"/>
                    <w:bottom w:val="single" w:sz="4" w:space="0" w:color="FFFFFF"/>
                  </w:tcBorders>
                  <w:shd w:val="clear" w:color="auto" w:fill="A6A6A6"/>
                  <w:vAlign w:val="center"/>
                </w:tcPr>
                <w:p w14:paraId="26AEEB59"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Elementy </w:t>
                  </w:r>
                </w:p>
              </w:tc>
              <w:tc>
                <w:tcPr>
                  <w:tcW w:w="1600" w:type="dxa"/>
                  <w:tcBorders>
                    <w:top w:val="single" w:sz="4" w:space="0" w:color="FFFFFF"/>
                    <w:left w:val="single" w:sz="4" w:space="0" w:color="FFFFFF"/>
                    <w:bottom w:val="single" w:sz="4" w:space="0" w:color="FFFFFF"/>
                  </w:tcBorders>
                  <w:shd w:val="clear" w:color="auto" w:fill="A6A6A6"/>
                  <w:vAlign w:val="center"/>
                </w:tcPr>
                <w:p w14:paraId="1F877ED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Waga (*)</w:t>
                  </w:r>
                </w:p>
              </w:tc>
              <w:tc>
                <w:tcPr>
                  <w:tcW w:w="1542" w:type="dxa"/>
                  <w:tcBorders>
                    <w:top w:val="single" w:sz="4" w:space="0" w:color="FFFFFF"/>
                    <w:left w:val="single" w:sz="4" w:space="0" w:color="FFFFFF"/>
                    <w:bottom w:val="single" w:sz="4" w:space="0" w:color="FFFFFF"/>
                  </w:tcBorders>
                  <w:shd w:val="clear" w:color="auto" w:fill="A6A6A6"/>
                  <w:vAlign w:val="center"/>
                </w:tcPr>
                <w:p w14:paraId="2C19B8D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Współczynnik konwersji </w:t>
                  </w:r>
                </w:p>
              </w:tc>
            </w:tr>
            <w:tr w:rsidR="00600DEE" w14:paraId="6320F5A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1DF51B42"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Materiały</w:t>
                  </w:r>
                </w:p>
              </w:tc>
              <w:tc>
                <w:tcPr>
                  <w:tcW w:w="1600" w:type="dxa"/>
                  <w:tcBorders>
                    <w:top w:val="single" w:sz="4" w:space="0" w:color="FFFFFF"/>
                    <w:left w:val="single" w:sz="4" w:space="0" w:color="FFFFFF"/>
                    <w:bottom w:val="single" w:sz="4" w:space="0" w:color="FFFFFF"/>
                  </w:tcBorders>
                  <w:shd w:val="clear" w:color="auto" w:fill="DBE5F1"/>
                  <w:vAlign w:val="center"/>
                </w:tcPr>
                <w:p w14:paraId="5F237F54"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31%</w:t>
                  </w:r>
                </w:p>
              </w:tc>
              <w:tc>
                <w:tcPr>
                  <w:tcW w:w="1542" w:type="dxa"/>
                  <w:tcBorders>
                    <w:top w:val="single" w:sz="4" w:space="0" w:color="FFFFFF"/>
                    <w:left w:val="single" w:sz="4" w:space="0" w:color="FFFFFF"/>
                    <w:bottom w:val="single" w:sz="4" w:space="0" w:color="FFFFFF"/>
                  </w:tcBorders>
                  <w:shd w:val="clear" w:color="auto" w:fill="DBE5F1"/>
                  <w:vAlign w:val="center"/>
                </w:tcPr>
                <w:p w14:paraId="6FD896E0"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05FFE40E"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027CDF43"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Robocizna </w:t>
                  </w:r>
                </w:p>
              </w:tc>
              <w:tc>
                <w:tcPr>
                  <w:tcW w:w="1600" w:type="dxa"/>
                  <w:tcBorders>
                    <w:top w:val="single" w:sz="4" w:space="0" w:color="FFFFFF"/>
                    <w:left w:val="single" w:sz="4" w:space="0" w:color="FFFFFF"/>
                    <w:bottom w:val="single" w:sz="4" w:space="0" w:color="FFFFFF"/>
                  </w:tcBorders>
                  <w:shd w:val="clear" w:color="auto" w:fill="DBE5F1"/>
                  <w:vAlign w:val="center"/>
                </w:tcPr>
                <w:p w14:paraId="0B8DCDC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542" w:type="dxa"/>
                  <w:tcBorders>
                    <w:top w:val="single" w:sz="4" w:space="0" w:color="FFFFFF"/>
                    <w:left w:val="single" w:sz="4" w:space="0" w:color="FFFFFF"/>
                    <w:bottom w:val="single" w:sz="4" w:space="0" w:color="FFFFFF"/>
                  </w:tcBorders>
                  <w:shd w:val="clear" w:color="auto" w:fill="DBE5F1"/>
                  <w:vAlign w:val="center"/>
                </w:tcPr>
                <w:p w14:paraId="5A1C2D3A"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0,58</w:t>
                  </w:r>
                </w:p>
              </w:tc>
            </w:tr>
            <w:tr w:rsidR="00600DEE" w14:paraId="7FC114A8"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4DC970C"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Energia</w:t>
                  </w:r>
                </w:p>
              </w:tc>
              <w:tc>
                <w:tcPr>
                  <w:tcW w:w="1600" w:type="dxa"/>
                  <w:tcBorders>
                    <w:top w:val="single" w:sz="4" w:space="0" w:color="FFFFFF"/>
                    <w:left w:val="single" w:sz="4" w:space="0" w:color="FFFFFF"/>
                    <w:bottom w:val="single" w:sz="4" w:space="0" w:color="FFFFFF"/>
                  </w:tcBorders>
                  <w:shd w:val="clear" w:color="auto" w:fill="DBE5F1"/>
                  <w:vAlign w:val="center"/>
                </w:tcPr>
                <w:p w14:paraId="5D9B766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1542" w:type="dxa"/>
                  <w:tcBorders>
                    <w:top w:val="single" w:sz="4" w:space="0" w:color="FFFFFF"/>
                    <w:left w:val="single" w:sz="4" w:space="0" w:color="FFFFFF"/>
                    <w:bottom w:val="single" w:sz="4" w:space="0" w:color="FFFFFF"/>
                  </w:tcBorders>
                  <w:shd w:val="clear" w:color="auto" w:fill="DBE5F1"/>
                  <w:vAlign w:val="center"/>
                </w:tcPr>
                <w:p w14:paraId="301A65D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0,66</w:t>
                  </w:r>
                </w:p>
              </w:tc>
            </w:tr>
            <w:tr w:rsidR="00600DEE" w14:paraId="30CEFFFC"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2D427C66"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Inne</w:t>
                  </w:r>
                </w:p>
              </w:tc>
              <w:tc>
                <w:tcPr>
                  <w:tcW w:w="1600" w:type="dxa"/>
                  <w:tcBorders>
                    <w:top w:val="single" w:sz="4" w:space="0" w:color="FFFFFF"/>
                    <w:left w:val="single" w:sz="4" w:space="0" w:color="FFFFFF"/>
                    <w:bottom w:val="single" w:sz="4" w:space="0" w:color="FFFFFF"/>
                  </w:tcBorders>
                  <w:shd w:val="clear" w:color="auto" w:fill="DBE5F1"/>
                  <w:vAlign w:val="center"/>
                </w:tcPr>
                <w:p w14:paraId="6AAB2932"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14%</w:t>
                  </w:r>
                </w:p>
              </w:tc>
              <w:tc>
                <w:tcPr>
                  <w:tcW w:w="1542" w:type="dxa"/>
                  <w:tcBorders>
                    <w:top w:val="single" w:sz="4" w:space="0" w:color="FFFFFF"/>
                    <w:left w:val="single" w:sz="4" w:space="0" w:color="FFFFFF"/>
                    <w:bottom w:val="single" w:sz="4" w:space="0" w:color="FFFFFF"/>
                  </w:tcBorders>
                  <w:shd w:val="clear" w:color="auto" w:fill="DBE5F1"/>
                  <w:vAlign w:val="center"/>
                </w:tcPr>
                <w:p w14:paraId="435862B1"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7B74A0DE"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103F3EAA"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Ostateczny</w:t>
                  </w:r>
                </w:p>
              </w:tc>
              <w:tc>
                <w:tcPr>
                  <w:tcW w:w="1600" w:type="dxa"/>
                  <w:tcBorders>
                    <w:top w:val="single" w:sz="4" w:space="0" w:color="FFFFFF"/>
                    <w:left w:val="single" w:sz="4" w:space="0" w:color="FFFFFF"/>
                    <w:bottom w:val="single" w:sz="4" w:space="0" w:color="FFFFFF"/>
                  </w:tcBorders>
                  <w:shd w:val="clear" w:color="auto" w:fill="DBE5F1"/>
                  <w:vAlign w:val="center"/>
                </w:tcPr>
                <w:p w14:paraId="6553CA9C"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 </w:t>
                  </w:r>
                </w:p>
              </w:tc>
              <w:tc>
                <w:tcPr>
                  <w:tcW w:w="1542" w:type="dxa"/>
                  <w:tcBorders>
                    <w:top w:val="single" w:sz="4" w:space="0" w:color="FFFFFF"/>
                    <w:left w:val="single" w:sz="4" w:space="0" w:color="FFFFFF"/>
                    <w:bottom w:val="single" w:sz="4" w:space="0" w:color="FFFFFF"/>
                  </w:tcBorders>
                  <w:shd w:val="clear" w:color="auto" w:fill="DBE5F1"/>
                  <w:vAlign w:val="center"/>
                </w:tcPr>
                <w:p w14:paraId="5A90AE1E"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0,78</w:t>
                  </w:r>
                </w:p>
              </w:tc>
            </w:tr>
          </w:tbl>
          <w:p w14:paraId="444C5B09"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404D41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For the purpose of the financial analysis, market prices represent a relevant reference for both the private and public investor when assessing the project’s financial performance. However, they are no longer relevant when the aim is to assess the project’s contribution to economic welfare.  For this purpose, all market prices have to be converted to the so-called ‘shadow prices’ which are more effective in conveying social benefits.</w:t>
            </w:r>
          </w:p>
          <w:p w14:paraId="6EE27E5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Input market prices are transformed into shadow prices by the application of Conversion Factors (CF).</w:t>
            </w:r>
          </w:p>
          <w:p w14:paraId="0216794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CF applicable to road infrastructure investment projects in Poland were calculated based on the weighted CF method:</w:t>
            </w:r>
          </w:p>
          <w:p w14:paraId="33382569" w14:textId="77777777" w:rsidR="00600DEE" w:rsidRPr="0045151D" w:rsidRDefault="00641FB5" w:rsidP="00D5736B">
            <w:pPr>
              <w:numPr>
                <w:ilvl w:val="0"/>
                <w:numId w:val="2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Determination of Primary Conversion Factors:</w:t>
            </w:r>
          </w:p>
          <w:p w14:paraId="0C000DF5" w14:textId="77777777" w:rsidR="00600DEE" w:rsidRPr="0045151D" w:rsidRDefault="00641FB5" w:rsidP="00D5736B">
            <w:pPr>
              <w:numPr>
                <w:ilvl w:val="1"/>
                <w:numId w:val="20"/>
              </w:numPr>
              <w:pBdr>
                <w:top w:val="nil"/>
                <w:left w:val="nil"/>
                <w:bottom w:val="nil"/>
                <w:right w:val="nil"/>
                <w:between w:val="nil"/>
              </w:pBdr>
              <w:spacing w:before="120"/>
              <w:ind w:left="707" w:hanging="4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Labour costs: based on the EU CBA guide Annex IV, it is estimated that the average value for Poland corresponds to 0.58</w:t>
            </w:r>
            <w:bookmarkStart w:id="129" w:name="_Ref91588878"/>
            <w:r>
              <w:rPr>
                <w:rFonts w:ascii="Calibri" w:eastAsia="Calibri" w:hAnsi="Calibri" w:cs="Calibri"/>
                <w:color w:val="000000"/>
                <w:sz w:val="20"/>
                <w:szCs w:val="20"/>
                <w:vertAlign w:val="superscript"/>
              </w:rPr>
              <w:footnoteReference w:id="26"/>
            </w:r>
            <w:bookmarkEnd w:id="129"/>
            <w:r w:rsidRPr="0045151D">
              <w:rPr>
                <w:rFonts w:ascii="Calibri" w:eastAsia="Calibri" w:hAnsi="Calibri" w:cs="Calibri"/>
                <w:color w:val="000000"/>
                <w:sz w:val="20"/>
                <w:szCs w:val="20"/>
                <w:lang w:val="en-GB"/>
              </w:rPr>
              <w:t>.</w:t>
            </w:r>
          </w:p>
          <w:p w14:paraId="79242E31" w14:textId="77777777" w:rsidR="00600DEE" w:rsidRPr="0045151D" w:rsidRDefault="00641FB5" w:rsidP="00D5736B">
            <w:pPr>
              <w:numPr>
                <w:ilvl w:val="1"/>
                <w:numId w:val="20"/>
              </w:numPr>
              <w:pBdr>
                <w:top w:val="nil"/>
                <w:left w:val="nil"/>
                <w:bottom w:val="nil"/>
                <w:right w:val="nil"/>
                <w:between w:val="nil"/>
              </w:pBdr>
              <w:spacing w:before="120"/>
              <w:ind w:left="707" w:hanging="4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based on European Commission data (Weekly Oil Bulletin, year 2019), the CF related to the fuel prices in Poland without taxes and duties (VAT being excluded from the calculation as it was already corrected in a first stage) and price at pump considered in transport construction projects has been estimated at 0.65.</w:t>
            </w:r>
          </w:p>
          <w:p w14:paraId="7C0D04DC" w14:textId="77777777" w:rsidR="00600DEE" w:rsidRPr="0045151D" w:rsidRDefault="00641FB5" w:rsidP="00D5736B">
            <w:pPr>
              <w:numPr>
                <w:ilvl w:val="0"/>
                <w:numId w:val="2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Identification of weights of the primary inputs in derived items: this has been done based on the average cost composition of Polish construction, manufacturing and transport companies (data from “GUS: Costs of economic entities by type, 2019”, sectors Construction, Manufacturing and Transport, in </w:t>
            </w:r>
            <w:r w:rsidRPr="0045151D">
              <w:rPr>
                <w:rFonts w:ascii="Calibri" w:eastAsia="Calibri" w:hAnsi="Calibri" w:cs="Calibri"/>
                <w:i/>
                <w:color w:val="000000"/>
                <w:sz w:val="20"/>
                <w:szCs w:val="20"/>
                <w:lang w:val="en-GB"/>
              </w:rPr>
              <w:t>Financial Results of Economic Entities in I-IV 2019</w:t>
            </w:r>
            <w:r w:rsidRPr="0045151D">
              <w:rPr>
                <w:rFonts w:ascii="Calibri" w:eastAsia="Calibri" w:hAnsi="Calibri" w:cs="Calibri"/>
                <w:color w:val="000000"/>
                <w:sz w:val="20"/>
                <w:szCs w:val="20"/>
                <w:lang w:val="en-GB"/>
              </w:rPr>
              <w:t>, GUS, Warsaw 2020).</w:t>
            </w:r>
          </w:p>
          <w:p w14:paraId="1A805DE4" w14:textId="0388E264" w:rsidR="00600DEE" w:rsidRPr="0045151D" w:rsidRDefault="00641FB5" w:rsidP="00D5736B">
            <w:pPr>
              <w:numPr>
                <w:ilvl w:val="0"/>
                <w:numId w:val="2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Computation of CF: a weighted average of primary input factor CFs, as presented in tables below:</w:t>
            </w:r>
          </w:p>
          <w:p w14:paraId="3561DA97" w14:textId="77777777" w:rsidR="00173EC8" w:rsidRPr="0045151D" w:rsidRDefault="00173EC8" w:rsidP="00173EC8">
            <w:pPr>
              <w:pBdr>
                <w:top w:val="nil"/>
                <w:left w:val="nil"/>
                <w:bottom w:val="nil"/>
                <w:right w:val="nil"/>
                <w:between w:val="nil"/>
              </w:pBdr>
              <w:spacing w:before="120"/>
              <w:ind w:left="707"/>
              <w:jc w:val="both"/>
              <w:rPr>
                <w:rFonts w:ascii="Calibri" w:eastAsia="Calibri" w:hAnsi="Calibri" w:cs="Calibri"/>
                <w:color w:val="000000"/>
                <w:sz w:val="20"/>
                <w:szCs w:val="20"/>
                <w:lang w:val="en-GB"/>
              </w:rPr>
            </w:pPr>
          </w:p>
          <w:p w14:paraId="499EB1F2"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Calculation of CF for constructions costs (CAPEX)</w:t>
            </w:r>
          </w:p>
          <w:tbl>
            <w:tblPr>
              <w:tblStyle w:val="affffffffffffff1"/>
              <w:tblW w:w="4582" w:type="dxa"/>
              <w:tblLayout w:type="fixed"/>
              <w:tblLook w:val="0000" w:firstRow="0" w:lastRow="0" w:firstColumn="0" w:lastColumn="0" w:noHBand="0" w:noVBand="0"/>
            </w:tblPr>
            <w:tblGrid>
              <w:gridCol w:w="1440"/>
              <w:gridCol w:w="1600"/>
              <w:gridCol w:w="1542"/>
            </w:tblGrid>
            <w:tr w:rsidR="00600DEE" w:rsidRPr="007463B9" w14:paraId="1E22BDC7" w14:textId="77777777" w:rsidTr="00173EC8">
              <w:trPr>
                <w:trHeight w:hRule="exact" w:val="567"/>
              </w:trPr>
              <w:tc>
                <w:tcPr>
                  <w:tcW w:w="1440" w:type="dxa"/>
                  <w:tcBorders>
                    <w:top w:val="single" w:sz="4" w:space="0" w:color="FFFFFF"/>
                    <w:left w:val="single" w:sz="4" w:space="0" w:color="FFFFFF"/>
                    <w:bottom w:val="single" w:sz="4" w:space="0" w:color="FFFFFF"/>
                  </w:tcBorders>
                  <w:shd w:val="clear" w:color="auto" w:fill="A6A6A6"/>
                  <w:vAlign w:val="center"/>
                </w:tcPr>
                <w:p w14:paraId="681D5AA4"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Components </w:t>
                  </w:r>
                </w:p>
              </w:tc>
              <w:tc>
                <w:tcPr>
                  <w:tcW w:w="1600" w:type="dxa"/>
                  <w:tcBorders>
                    <w:top w:val="single" w:sz="4" w:space="0" w:color="FFFFFF"/>
                    <w:left w:val="single" w:sz="4" w:space="0" w:color="FFFFFF"/>
                    <w:bottom w:val="single" w:sz="4" w:space="0" w:color="FFFFFF"/>
                  </w:tcBorders>
                  <w:shd w:val="clear" w:color="auto" w:fill="A6A6A6"/>
                  <w:vAlign w:val="center"/>
                </w:tcPr>
                <w:p w14:paraId="492B3B97"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Weight (*)</w:t>
                  </w:r>
                </w:p>
              </w:tc>
              <w:tc>
                <w:tcPr>
                  <w:tcW w:w="1542" w:type="dxa"/>
                  <w:tcBorders>
                    <w:top w:val="single" w:sz="4" w:space="0" w:color="FFFFFF"/>
                    <w:left w:val="single" w:sz="4" w:space="0" w:color="FFFFFF"/>
                    <w:bottom w:val="single" w:sz="4" w:space="0" w:color="FFFFFF"/>
                  </w:tcBorders>
                  <w:shd w:val="clear" w:color="auto" w:fill="A6A6A6"/>
                  <w:vAlign w:val="center"/>
                </w:tcPr>
                <w:p w14:paraId="1A99ECEB"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Conversion Factor </w:t>
                  </w:r>
                </w:p>
              </w:tc>
            </w:tr>
            <w:tr w:rsidR="00600DEE" w:rsidRPr="007463B9" w14:paraId="37A143C5"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35D73CEE"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Materials</w:t>
                  </w:r>
                </w:p>
              </w:tc>
              <w:tc>
                <w:tcPr>
                  <w:tcW w:w="1600" w:type="dxa"/>
                  <w:tcBorders>
                    <w:top w:val="single" w:sz="4" w:space="0" w:color="FFFFFF"/>
                    <w:left w:val="single" w:sz="4" w:space="0" w:color="FFFFFF"/>
                    <w:bottom w:val="single" w:sz="4" w:space="0" w:color="FFFFFF"/>
                  </w:tcBorders>
                  <w:shd w:val="clear" w:color="auto" w:fill="DBE5F1"/>
                  <w:vAlign w:val="center"/>
                </w:tcPr>
                <w:p w14:paraId="1D4954CC"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39%</w:t>
                  </w:r>
                </w:p>
              </w:tc>
              <w:tc>
                <w:tcPr>
                  <w:tcW w:w="1542" w:type="dxa"/>
                  <w:tcBorders>
                    <w:top w:val="single" w:sz="4" w:space="0" w:color="FFFFFF"/>
                    <w:left w:val="single" w:sz="4" w:space="0" w:color="FFFFFF"/>
                    <w:bottom w:val="single" w:sz="4" w:space="0" w:color="FFFFFF"/>
                  </w:tcBorders>
                  <w:shd w:val="clear" w:color="auto" w:fill="DBE5F1"/>
                  <w:vAlign w:val="center"/>
                </w:tcPr>
                <w:p w14:paraId="2146E3E3"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r>
            <w:tr w:rsidR="00600DEE" w:rsidRPr="007463B9" w14:paraId="06187930"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0B1C145"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Labour </w:t>
                  </w:r>
                </w:p>
              </w:tc>
              <w:tc>
                <w:tcPr>
                  <w:tcW w:w="1600" w:type="dxa"/>
                  <w:tcBorders>
                    <w:top w:val="single" w:sz="4" w:space="0" w:color="FFFFFF"/>
                    <w:left w:val="single" w:sz="4" w:space="0" w:color="FFFFFF"/>
                    <w:bottom w:val="single" w:sz="4" w:space="0" w:color="FFFFFF"/>
                  </w:tcBorders>
                  <w:shd w:val="clear" w:color="auto" w:fill="DBE5F1"/>
                  <w:vAlign w:val="center"/>
                </w:tcPr>
                <w:p w14:paraId="7E5052B3"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25%</w:t>
                  </w:r>
                </w:p>
              </w:tc>
              <w:tc>
                <w:tcPr>
                  <w:tcW w:w="1542" w:type="dxa"/>
                  <w:tcBorders>
                    <w:top w:val="single" w:sz="4" w:space="0" w:color="FFFFFF"/>
                    <w:left w:val="single" w:sz="4" w:space="0" w:color="FFFFFF"/>
                    <w:bottom w:val="single" w:sz="4" w:space="0" w:color="FFFFFF"/>
                  </w:tcBorders>
                  <w:shd w:val="clear" w:color="auto" w:fill="DBE5F1"/>
                  <w:vAlign w:val="center"/>
                </w:tcPr>
                <w:p w14:paraId="6A8186AD"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0.58</w:t>
                  </w:r>
                </w:p>
              </w:tc>
            </w:tr>
            <w:tr w:rsidR="00600DEE" w:rsidRPr="007463B9" w14:paraId="6CF3BC65"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3EDCDD9"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Energy</w:t>
                  </w:r>
                </w:p>
              </w:tc>
              <w:tc>
                <w:tcPr>
                  <w:tcW w:w="1600" w:type="dxa"/>
                  <w:tcBorders>
                    <w:top w:val="single" w:sz="4" w:space="0" w:color="FFFFFF"/>
                    <w:left w:val="single" w:sz="4" w:space="0" w:color="FFFFFF"/>
                    <w:bottom w:val="single" w:sz="4" w:space="0" w:color="FFFFFF"/>
                  </w:tcBorders>
                  <w:shd w:val="clear" w:color="auto" w:fill="DBE5F1"/>
                  <w:vAlign w:val="center"/>
                </w:tcPr>
                <w:p w14:paraId="04FEEC81"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w:t>
                  </w:r>
                </w:p>
              </w:tc>
              <w:tc>
                <w:tcPr>
                  <w:tcW w:w="1542" w:type="dxa"/>
                  <w:tcBorders>
                    <w:top w:val="single" w:sz="4" w:space="0" w:color="FFFFFF"/>
                    <w:left w:val="single" w:sz="4" w:space="0" w:color="FFFFFF"/>
                    <w:bottom w:val="single" w:sz="4" w:space="0" w:color="FFFFFF"/>
                  </w:tcBorders>
                  <w:shd w:val="clear" w:color="auto" w:fill="DBE5F1"/>
                  <w:vAlign w:val="center"/>
                </w:tcPr>
                <w:p w14:paraId="42C3CF47"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0.656</w:t>
                  </w:r>
                </w:p>
              </w:tc>
            </w:tr>
            <w:tr w:rsidR="00600DEE" w:rsidRPr="007463B9" w14:paraId="33832FC8"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5D8F5438"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Others</w:t>
                  </w:r>
                </w:p>
              </w:tc>
              <w:tc>
                <w:tcPr>
                  <w:tcW w:w="1600" w:type="dxa"/>
                  <w:tcBorders>
                    <w:top w:val="single" w:sz="4" w:space="0" w:color="FFFFFF"/>
                    <w:left w:val="single" w:sz="4" w:space="0" w:color="FFFFFF"/>
                    <w:bottom w:val="single" w:sz="4" w:space="0" w:color="FFFFFF"/>
                  </w:tcBorders>
                  <w:shd w:val="clear" w:color="auto" w:fill="DBE5F1"/>
                  <w:vAlign w:val="center"/>
                </w:tcPr>
                <w:p w14:paraId="5E9EC6FA"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w:t>
                  </w:r>
                </w:p>
              </w:tc>
              <w:tc>
                <w:tcPr>
                  <w:tcW w:w="1542" w:type="dxa"/>
                  <w:tcBorders>
                    <w:top w:val="single" w:sz="4" w:space="0" w:color="FFFFFF"/>
                    <w:left w:val="single" w:sz="4" w:space="0" w:color="FFFFFF"/>
                    <w:bottom w:val="single" w:sz="4" w:space="0" w:color="FFFFFF"/>
                  </w:tcBorders>
                  <w:shd w:val="clear" w:color="auto" w:fill="DBE5F1"/>
                  <w:vAlign w:val="center"/>
                </w:tcPr>
                <w:p w14:paraId="0C444E79"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r>
            <w:tr w:rsidR="00600DEE" w:rsidRPr="007463B9" w14:paraId="02B538BA"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ACCCB7F" w14:textId="77777777" w:rsidR="00600DEE" w:rsidRPr="0045151D" w:rsidRDefault="00641FB5">
                  <w:pPr>
                    <w:spacing w:before="20" w:after="2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Final</w:t>
                  </w:r>
                </w:p>
              </w:tc>
              <w:tc>
                <w:tcPr>
                  <w:tcW w:w="1600" w:type="dxa"/>
                  <w:tcBorders>
                    <w:top w:val="single" w:sz="4" w:space="0" w:color="FFFFFF"/>
                    <w:left w:val="single" w:sz="4" w:space="0" w:color="FFFFFF"/>
                    <w:bottom w:val="single" w:sz="4" w:space="0" w:color="FFFFFF"/>
                  </w:tcBorders>
                  <w:shd w:val="clear" w:color="auto" w:fill="DBE5F1"/>
                  <w:vAlign w:val="center"/>
                </w:tcPr>
                <w:p w14:paraId="2DA797B0" w14:textId="77777777" w:rsidR="00600DEE" w:rsidRPr="0045151D" w:rsidRDefault="00641FB5">
                  <w:pPr>
                    <w:spacing w:before="20" w:after="20"/>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 </w:t>
                  </w:r>
                </w:p>
              </w:tc>
              <w:tc>
                <w:tcPr>
                  <w:tcW w:w="1542" w:type="dxa"/>
                  <w:tcBorders>
                    <w:top w:val="single" w:sz="4" w:space="0" w:color="FFFFFF"/>
                    <w:left w:val="single" w:sz="4" w:space="0" w:color="FFFFFF"/>
                    <w:bottom w:val="single" w:sz="4" w:space="0" w:color="FFFFFF"/>
                  </w:tcBorders>
                  <w:shd w:val="clear" w:color="auto" w:fill="DBE5F1"/>
                  <w:vAlign w:val="center"/>
                </w:tcPr>
                <w:p w14:paraId="1172F888" w14:textId="77777777" w:rsidR="00600DEE" w:rsidRPr="0045151D" w:rsidRDefault="00641FB5">
                  <w:pPr>
                    <w:spacing w:before="20" w:after="20"/>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0.83</w:t>
                  </w:r>
                </w:p>
              </w:tc>
            </w:tr>
          </w:tbl>
          <w:p w14:paraId="7D4DD756" w14:textId="77777777" w:rsidR="00600DEE" w:rsidRPr="0045151D" w:rsidRDefault="00641FB5">
            <w:pPr>
              <w:spacing w:before="120"/>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(*)Financial Results of Economic Entities in I-IV 2019 (Manufacturing and Transport), GUS, Warsaw 2020.</w:t>
            </w:r>
          </w:p>
          <w:p w14:paraId="2E4AFF0C" w14:textId="77777777" w:rsidR="00600DEE" w:rsidRPr="0045151D" w:rsidRDefault="00641FB5">
            <w:pPr>
              <w:ind w:right="170"/>
              <w:jc w:val="both"/>
              <w:rPr>
                <w:rFonts w:ascii="Calibri" w:eastAsia="Calibri" w:hAnsi="Calibri" w:cs="Calibri"/>
                <w:color w:val="000000"/>
                <w:sz w:val="16"/>
                <w:szCs w:val="16"/>
                <w:lang w:val="fr-BE"/>
              </w:rPr>
            </w:pPr>
            <w:r w:rsidRPr="0045151D">
              <w:rPr>
                <w:rFonts w:ascii="Calibri" w:eastAsia="Calibri" w:hAnsi="Calibri" w:cs="Calibri"/>
                <w:color w:val="000000"/>
                <w:sz w:val="16"/>
                <w:szCs w:val="16"/>
                <w:lang w:val="fr-BE"/>
              </w:rPr>
              <w:t>(**) EU CBA guide 2014, Annex IV.</w:t>
            </w:r>
          </w:p>
          <w:p w14:paraId="0E27430F" w14:textId="77777777" w:rsidR="00600DEE" w:rsidRPr="0045151D" w:rsidRDefault="00641FB5">
            <w:pPr>
              <w:ind w:right="170"/>
              <w:jc w:val="both"/>
              <w:rPr>
                <w:rFonts w:ascii="Calibri" w:eastAsia="Calibri" w:hAnsi="Calibri" w:cs="Calibri"/>
                <w:color w:val="000000"/>
                <w:sz w:val="16"/>
                <w:szCs w:val="16"/>
                <w:lang w:val="en-GB"/>
              </w:rPr>
            </w:pPr>
            <w:r w:rsidRPr="0045151D">
              <w:rPr>
                <w:rFonts w:ascii="Calibri" w:eastAsia="Calibri" w:hAnsi="Calibri" w:cs="Calibri"/>
                <w:color w:val="000000"/>
                <w:sz w:val="16"/>
                <w:szCs w:val="16"/>
                <w:lang w:val="en-GB"/>
              </w:rPr>
              <w:t>(***)</w:t>
            </w:r>
            <w:r w:rsidRPr="0045151D">
              <w:rPr>
                <w:rFonts w:ascii="Calibri" w:eastAsia="Calibri" w:hAnsi="Calibri" w:cs="Calibri"/>
                <w:sz w:val="16"/>
                <w:szCs w:val="16"/>
                <w:lang w:val="en-GB"/>
              </w:rPr>
              <w:t>“Weekly Oil Bulletin, year 2019”, European Commission</w:t>
            </w:r>
          </w:p>
          <w:p w14:paraId="134445CF"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Calculation of CF for operating costs (OPEX)</w:t>
            </w:r>
          </w:p>
          <w:p w14:paraId="3D36C1E2" w14:textId="77777777" w:rsidR="00600DEE" w:rsidRPr="0045151D" w:rsidRDefault="00641FB5">
            <w:pPr>
              <w:pBdr>
                <w:top w:val="nil"/>
                <w:left w:val="nil"/>
                <w:bottom w:val="nil"/>
                <w:right w:val="nil"/>
                <w:between w:val="nil"/>
              </w:pBdr>
              <w:spacing w:before="120" w:after="120"/>
              <w:jc w:val="both"/>
              <w:rPr>
                <w:rFonts w:ascii="Calibri" w:eastAsia="Calibri" w:hAnsi="Calibri" w:cs="Calibri"/>
                <w:sz w:val="18"/>
                <w:szCs w:val="18"/>
                <w:lang w:val="en-GB"/>
              </w:rPr>
            </w:pPr>
            <w:r w:rsidRPr="0045151D">
              <w:rPr>
                <w:rFonts w:ascii="Calibri" w:eastAsia="Calibri" w:hAnsi="Calibri" w:cs="Calibri"/>
                <w:sz w:val="18"/>
                <w:szCs w:val="18"/>
                <w:lang w:val="en-GB"/>
              </w:rPr>
              <w:t>(Values from previous Blue Book edition 2015 are considered applicable)</w:t>
            </w:r>
          </w:p>
          <w:tbl>
            <w:tblPr>
              <w:tblStyle w:val="affffffffffffff2"/>
              <w:tblW w:w="4582" w:type="dxa"/>
              <w:tblLayout w:type="fixed"/>
              <w:tblLook w:val="0000" w:firstRow="0" w:lastRow="0" w:firstColumn="0" w:lastColumn="0" w:noHBand="0" w:noVBand="0"/>
            </w:tblPr>
            <w:tblGrid>
              <w:gridCol w:w="1440"/>
              <w:gridCol w:w="1600"/>
              <w:gridCol w:w="1542"/>
            </w:tblGrid>
            <w:tr w:rsidR="00600DEE" w14:paraId="37FEF16F" w14:textId="77777777">
              <w:trPr>
                <w:trHeight w:val="574"/>
              </w:trPr>
              <w:tc>
                <w:tcPr>
                  <w:tcW w:w="1440" w:type="dxa"/>
                  <w:tcBorders>
                    <w:top w:val="single" w:sz="4" w:space="0" w:color="FFFFFF"/>
                    <w:left w:val="single" w:sz="4" w:space="0" w:color="FFFFFF"/>
                    <w:bottom w:val="single" w:sz="4" w:space="0" w:color="FFFFFF"/>
                  </w:tcBorders>
                  <w:shd w:val="clear" w:color="auto" w:fill="A6A6A6"/>
                  <w:vAlign w:val="center"/>
                </w:tcPr>
                <w:p w14:paraId="78B8D0F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Components </w:t>
                  </w:r>
                </w:p>
              </w:tc>
              <w:tc>
                <w:tcPr>
                  <w:tcW w:w="1600" w:type="dxa"/>
                  <w:tcBorders>
                    <w:top w:val="single" w:sz="4" w:space="0" w:color="FFFFFF"/>
                    <w:left w:val="single" w:sz="4" w:space="0" w:color="FFFFFF"/>
                    <w:bottom w:val="single" w:sz="4" w:space="0" w:color="FFFFFF"/>
                  </w:tcBorders>
                  <w:shd w:val="clear" w:color="auto" w:fill="A6A6A6"/>
                  <w:vAlign w:val="center"/>
                </w:tcPr>
                <w:p w14:paraId="65359A13"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Weight</w:t>
                  </w:r>
                  <w:proofErr w:type="spellEnd"/>
                  <w:r>
                    <w:rPr>
                      <w:rFonts w:ascii="Calibri" w:eastAsia="Calibri" w:hAnsi="Calibri" w:cs="Calibri"/>
                      <w:b/>
                      <w:color w:val="FFFFFF"/>
                      <w:sz w:val="18"/>
                      <w:szCs w:val="18"/>
                    </w:rPr>
                    <w:t xml:space="preserve"> </w:t>
                  </w:r>
                </w:p>
              </w:tc>
              <w:tc>
                <w:tcPr>
                  <w:tcW w:w="1542" w:type="dxa"/>
                  <w:tcBorders>
                    <w:top w:val="single" w:sz="4" w:space="0" w:color="FFFFFF"/>
                    <w:left w:val="single" w:sz="4" w:space="0" w:color="FFFFFF"/>
                    <w:bottom w:val="single" w:sz="4" w:space="0" w:color="FFFFFF"/>
                  </w:tcBorders>
                  <w:shd w:val="clear" w:color="auto" w:fill="A6A6A6"/>
                  <w:vAlign w:val="center"/>
                </w:tcPr>
                <w:p w14:paraId="5464BEF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Conversion </w:t>
                  </w:r>
                  <w:proofErr w:type="spellStart"/>
                  <w:r>
                    <w:rPr>
                      <w:rFonts w:ascii="Calibri" w:eastAsia="Calibri" w:hAnsi="Calibri" w:cs="Calibri"/>
                      <w:b/>
                      <w:color w:val="FFFFFF"/>
                      <w:sz w:val="18"/>
                      <w:szCs w:val="18"/>
                    </w:rPr>
                    <w:t>Factor</w:t>
                  </w:r>
                  <w:proofErr w:type="spellEnd"/>
                </w:p>
              </w:tc>
            </w:tr>
            <w:tr w:rsidR="00600DEE" w14:paraId="1A777A29"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A80F1C9"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Materials</w:t>
                  </w:r>
                </w:p>
              </w:tc>
              <w:tc>
                <w:tcPr>
                  <w:tcW w:w="1600" w:type="dxa"/>
                  <w:tcBorders>
                    <w:top w:val="single" w:sz="4" w:space="0" w:color="FFFFFF"/>
                    <w:left w:val="single" w:sz="4" w:space="0" w:color="FFFFFF"/>
                    <w:bottom w:val="single" w:sz="4" w:space="0" w:color="FFFFFF"/>
                  </w:tcBorders>
                  <w:shd w:val="clear" w:color="auto" w:fill="DBE5F1"/>
                  <w:vAlign w:val="center"/>
                </w:tcPr>
                <w:p w14:paraId="4FC88A47"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31%</w:t>
                  </w:r>
                </w:p>
              </w:tc>
              <w:tc>
                <w:tcPr>
                  <w:tcW w:w="1542" w:type="dxa"/>
                  <w:tcBorders>
                    <w:top w:val="single" w:sz="4" w:space="0" w:color="FFFFFF"/>
                    <w:left w:val="single" w:sz="4" w:space="0" w:color="FFFFFF"/>
                    <w:bottom w:val="single" w:sz="4" w:space="0" w:color="FFFFFF"/>
                  </w:tcBorders>
                  <w:shd w:val="clear" w:color="auto" w:fill="DBE5F1"/>
                  <w:vAlign w:val="center"/>
                </w:tcPr>
                <w:p w14:paraId="5B6DB2F6"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1C44E39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49634DB" w14:textId="77777777" w:rsidR="00600DEE" w:rsidRDefault="00641FB5">
                  <w:pPr>
                    <w:spacing w:before="20" w:after="20"/>
                    <w:rPr>
                      <w:rFonts w:ascii="Calibri" w:eastAsia="Calibri" w:hAnsi="Calibri" w:cs="Calibri"/>
                      <w:color w:val="4F81BD"/>
                      <w:sz w:val="18"/>
                      <w:szCs w:val="18"/>
                    </w:rPr>
                  </w:pPr>
                  <w:proofErr w:type="spellStart"/>
                  <w:r>
                    <w:rPr>
                      <w:rFonts w:ascii="Calibri" w:eastAsia="Calibri" w:hAnsi="Calibri" w:cs="Calibri"/>
                      <w:color w:val="4F81BD"/>
                      <w:sz w:val="18"/>
                      <w:szCs w:val="18"/>
                    </w:rPr>
                    <w:t>Labour</w:t>
                  </w:r>
                  <w:proofErr w:type="spellEnd"/>
                  <w:r>
                    <w:rPr>
                      <w:rFonts w:ascii="Calibri" w:eastAsia="Calibri" w:hAnsi="Calibri" w:cs="Calibri"/>
                      <w:color w:val="4F81BD"/>
                      <w:sz w:val="18"/>
                      <w:szCs w:val="18"/>
                    </w:rPr>
                    <w:t xml:space="preserve"> </w:t>
                  </w:r>
                </w:p>
              </w:tc>
              <w:tc>
                <w:tcPr>
                  <w:tcW w:w="1600" w:type="dxa"/>
                  <w:tcBorders>
                    <w:top w:val="single" w:sz="4" w:space="0" w:color="FFFFFF"/>
                    <w:left w:val="single" w:sz="4" w:space="0" w:color="FFFFFF"/>
                    <w:bottom w:val="single" w:sz="4" w:space="0" w:color="FFFFFF"/>
                  </w:tcBorders>
                  <w:shd w:val="clear" w:color="auto" w:fill="DBE5F1"/>
                  <w:vAlign w:val="center"/>
                </w:tcPr>
                <w:p w14:paraId="4176BE14"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542" w:type="dxa"/>
                  <w:tcBorders>
                    <w:top w:val="single" w:sz="4" w:space="0" w:color="FFFFFF"/>
                    <w:left w:val="single" w:sz="4" w:space="0" w:color="FFFFFF"/>
                    <w:bottom w:val="single" w:sz="4" w:space="0" w:color="FFFFFF"/>
                  </w:tcBorders>
                  <w:shd w:val="clear" w:color="auto" w:fill="DBE5F1"/>
                  <w:vAlign w:val="center"/>
                </w:tcPr>
                <w:p w14:paraId="0366DD4F"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0.58</w:t>
                  </w:r>
                </w:p>
              </w:tc>
            </w:tr>
            <w:tr w:rsidR="00600DEE" w14:paraId="45340F3F"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19DBBAB3"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Energy</w:t>
                  </w:r>
                </w:p>
              </w:tc>
              <w:tc>
                <w:tcPr>
                  <w:tcW w:w="1600" w:type="dxa"/>
                  <w:tcBorders>
                    <w:top w:val="single" w:sz="4" w:space="0" w:color="FFFFFF"/>
                    <w:left w:val="single" w:sz="4" w:space="0" w:color="FFFFFF"/>
                    <w:bottom w:val="single" w:sz="4" w:space="0" w:color="FFFFFF"/>
                  </w:tcBorders>
                  <w:shd w:val="clear" w:color="auto" w:fill="DBE5F1"/>
                  <w:vAlign w:val="center"/>
                </w:tcPr>
                <w:p w14:paraId="1D962A4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1542" w:type="dxa"/>
                  <w:tcBorders>
                    <w:top w:val="single" w:sz="4" w:space="0" w:color="FFFFFF"/>
                    <w:left w:val="single" w:sz="4" w:space="0" w:color="FFFFFF"/>
                    <w:bottom w:val="single" w:sz="4" w:space="0" w:color="FFFFFF"/>
                  </w:tcBorders>
                  <w:shd w:val="clear" w:color="auto" w:fill="DBE5F1"/>
                  <w:vAlign w:val="center"/>
                </w:tcPr>
                <w:p w14:paraId="24E01FE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0.65</w:t>
                  </w:r>
                </w:p>
              </w:tc>
            </w:tr>
            <w:tr w:rsidR="00600DEE" w14:paraId="7C9F2172"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939BE2C" w14:textId="77777777" w:rsidR="00600DEE" w:rsidRDefault="00641FB5">
                  <w:pPr>
                    <w:spacing w:before="20" w:after="20"/>
                    <w:rPr>
                      <w:rFonts w:ascii="Calibri" w:eastAsia="Calibri" w:hAnsi="Calibri" w:cs="Calibri"/>
                      <w:color w:val="4F81BD"/>
                      <w:sz w:val="18"/>
                      <w:szCs w:val="18"/>
                    </w:rPr>
                  </w:pPr>
                  <w:proofErr w:type="spellStart"/>
                  <w:r>
                    <w:rPr>
                      <w:rFonts w:ascii="Calibri" w:eastAsia="Calibri" w:hAnsi="Calibri" w:cs="Calibri"/>
                      <w:color w:val="4F81BD"/>
                      <w:sz w:val="18"/>
                      <w:szCs w:val="18"/>
                    </w:rPr>
                    <w:t>Others</w:t>
                  </w:r>
                  <w:proofErr w:type="spellEnd"/>
                </w:p>
              </w:tc>
              <w:tc>
                <w:tcPr>
                  <w:tcW w:w="1600" w:type="dxa"/>
                  <w:tcBorders>
                    <w:top w:val="single" w:sz="4" w:space="0" w:color="FFFFFF"/>
                    <w:left w:val="single" w:sz="4" w:space="0" w:color="FFFFFF"/>
                    <w:bottom w:val="single" w:sz="4" w:space="0" w:color="FFFFFF"/>
                  </w:tcBorders>
                  <w:shd w:val="clear" w:color="auto" w:fill="DBE5F1"/>
                  <w:vAlign w:val="center"/>
                </w:tcPr>
                <w:p w14:paraId="3741997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14%</w:t>
                  </w:r>
                </w:p>
              </w:tc>
              <w:tc>
                <w:tcPr>
                  <w:tcW w:w="1542" w:type="dxa"/>
                  <w:tcBorders>
                    <w:top w:val="single" w:sz="4" w:space="0" w:color="FFFFFF"/>
                    <w:left w:val="single" w:sz="4" w:space="0" w:color="FFFFFF"/>
                    <w:bottom w:val="single" w:sz="4" w:space="0" w:color="FFFFFF"/>
                  </w:tcBorders>
                  <w:shd w:val="clear" w:color="auto" w:fill="DBE5F1"/>
                  <w:vAlign w:val="center"/>
                </w:tcPr>
                <w:p w14:paraId="6AA95141"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74E07AF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FD315C3" w14:textId="77777777" w:rsidR="00600DEE" w:rsidRDefault="00641FB5">
                  <w:pPr>
                    <w:spacing w:before="20" w:after="20"/>
                    <w:rPr>
                      <w:rFonts w:ascii="Calibri" w:eastAsia="Calibri" w:hAnsi="Calibri" w:cs="Calibri"/>
                      <w:b/>
                      <w:color w:val="4F81BD"/>
                      <w:sz w:val="18"/>
                      <w:szCs w:val="18"/>
                    </w:rPr>
                  </w:pPr>
                  <w:proofErr w:type="spellStart"/>
                  <w:r>
                    <w:rPr>
                      <w:rFonts w:ascii="Calibri" w:eastAsia="Calibri" w:hAnsi="Calibri" w:cs="Calibri"/>
                      <w:b/>
                      <w:color w:val="4F81BD"/>
                      <w:sz w:val="18"/>
                      <w:szCs w:val="18"/>
                    </w:rPr>
                    <w:t>Final</w:t>
                  </w:r>
                  <w:proofErr w:type="spellEnd"/>
                </w:p>
              </w:tc>
              <w:tc>
                <w:tcPr>
                  <w:tcW w:w="1600" w:type="dxa"/>
                  <w:tcBorders>
                    <w:top w:val="single" w:sz="4" w:space="0" w:color="FFFFFF"/>
                    <w:left w:val="single" w:sz="4" w:space="0" w:color="FFFFFF"/>
                    <w:bottom w:val="single" w:sz="4" w:space="0" w:color="FFFFFF"/>
                  </w:tcBorders>
                  <w:shd w:val="clear" w:color="auto" w:fill="DBE5F1"/>
                  <w:vAlign w:val="center"/>
                </w:tcPr>
                <w:p w14:paraId="5FF6C3B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 </w:t>
                  </w:r>
                </w:p>
              </w:tc>
              <w:tc>
                <w:tcPr>
                  <w:tcW w:w="1542" w:type="dxa"/>
                  <w:tcBorders>
                    <w:top w:val="single" w:sz="4" w:space="0" w:color="FFFFFF"/>
                    <w:left w:val="single" w:sz="4" w:space="0" w:color="FFFFFF"/>
                    <w:bottom w:val="single" w:sz="4" w:space="0" w:color="FFFFFF"/>
                  </w:tcBorders>
                  <w:shd w:val="clear" w:color="auto" w:fill="DBE5F1"/>
                  <w:vAlign w:val="center"/>
                </w:tcPr>
                <w:p w14:paraId="18BF1049"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0.78</w:t>
                  </w:r>
                </w:p>
              </w:tc>
            </w:tr>
          </w:tbl>
          <w:p w14:paraId="62DA2348"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r>
    </w:tbl>
    <w:p w14:paraId="18534217" w14:textId="39566810" w:rsidR="00600DEE" w:rsidRDefault="00641FB5">
      <w:pPr>
        <w:rPr>
          <w:rFonts w:ascii="Calibri" w:eastAsia="Calibri" w:hAnsi="Calibri" w:cs="Calibri"/>
          <w:sz w:val="20"/>
          <w:szCs w:val="20"/>
        </w:rPr>
      </w:pPr>
      <w:r>
        <w:lastRenderedPageBreak/>
        <w:br w:type="page"/>
      </w:r>
    </w:p>
    <w:p w14:paraId="4D1B3A95" w14:textId="65D265AC" w:rsidR="00600DEE" w:rsidRPr="0045151D" w:rsidRDefault="00641FB5">
      <w:pPr>
        <w:pStyle w:val="Nagwek1"/>
        <w:rPr>
          <w:rFonts w:ascii="Calibri" w:eastAsia="Calibri" w:hAnsi="Calibri" w:cs="Calibri"/>
          <w:i/>
          <w:color w:val="0070C0"/>
          <w:lang w:val="pl-PL"/>
        </w:rPr>
      </w:pPr>
      <w:bookmarkStart w:id="130" w:name="_Toc95378019"/>
      <w:r w:rsidRPr="0045151D">
        <w:rPr>
          <w:rFonts w:ascii="Calibri" w:eastAsia="Calibri" w:hAnsi="Calibri" w:cs="Calibri"/>
          <w:color w:val="0070C0"/>
          <w:lang w:val="pl-PL"/>
        </w:rPr>
        <w:lastRenderedPageBreak/>
        <w:t>Załącznik D: Podstawy metodologiczne obliczania jednostkowych</w:t>
      </w:r>
      <w:r w:rsidRPr="0045151D">
        <w:rPr>
          <w:rFonts w:ascii="Calibri" w:eastAsia="Calibri" w:hAnsi="Calibri" w:cs="Calibri"/>
          <w:color w:val="0070C0"/>
          <w:lang w:val="pl-PL"/>
        </w:rPr>
        <w:br/>
        <w:t xml:space="preserve">                      </w:t>
      </w:r>
      <w:r w:rsidRPr="0045151D">
        <w:rPr>
          <w:rFonts w:ascii="Calibri" w:eastAsia="Calibri" w:hAnsi="Calibri" w:cs="Calibri"/>
          <w:color w:val="0070C0"/>
          <w:vertAlign w:val="superscript"/>
          <w:lang w:val="pl-PL"/>
        </w:rPr>
        <w:t xml:space="preserve"> </w:t>
      </w:r>
      <w:r w:rsidRPr="0045151D">
        <w:rPr>
          <w:rFonts w:ascii="Calibri" w:eastAsia="Calibri" w:hAnsi="Calibri" w:cs="Calibri"/>
          <w:color w:val="0070C0"/>
          <w:lang w:val="pl-PL"/>
        </w:rPr>
        <w:t>kosztów eksploatacji pojazdów (VOC)</w:t>
      </w:r>
      <w:r w:rsidRPr="0045151D">
        <w:rPr>
          <w:rFonts w:ascii="Calibri" w:eastAsia="Calibri" w:hAnsi="Calibri" w:cs="Calibri"/>
          <w:color w:val="0070C0"/>
          <w:lang w:val="pl-PL"/>
        </w:rPr>
        <w:br/>
      </w:r>
      <w:r w:rsidRPr="0045151D">
        <w:rPr>
          <w:rFonts w:ascii="Calibri" w:eastAsia="Calibri" w:hAnsi="Calibri" w:cs="Calibri"/>
          <w:i/>
          <w:color w:val="0070C0"/>
          <w:lang w:val="pl-PL"/>
        </w:rPr>
        <w:t xml:space="preserve">Appendix D: </w:t>
      </w:r>
      <w:proofErr w:type="spellStart"/>
      <w:r w:rsidRPr="0045151D">
        <w:rPr>
          <w:rFonts w:ascii="Calibri" w:eastAsia="Calibri" w:hAnsi="Calibri" w:cs="Calibri"/>
          <w:i/>
          <w:color w:val="0070C0"/>
          <w:lang w:val="pl-PL"/>
        </w:rPr>
        <w:t>Methodological</w:t>
      </w:r>
      <w:proofErr w:type="spellEnd"/>
      <w:r w:rsidRPr="0045151D">
        <w:rPr>
          <w:rFonts w:ascii="Calibri" w:eastAsia="Calibri" w:hAnsi="Calibri" w:cs="Calibri"/>
          <w:i/>
          <w:color w:val="0070C0"/>
          <w:lang w:val="pl-PL"/>
        </w:rPr>
        <w:t xml:space="preserve"> </w:t>
      </w:r>
      <w:proofErr w:type="spellStart"/>
      <w:r w:rsidRPr="0045151D">
        <w:rPr>
          <w:rFonts w:ascii="Calibri" w:eastAsia="Calibri" w:hAnsi="Calibri" w:cs="Calibri"/>
          <w:i/>
          <w:color w:val="0070C0"/>
          <w:lang w:val="pl-PL"/>
        </w:rPr>
        <w:t>background</w:t>
      </w:r>
      <w:proofErr w:type="spellEnd"/>
      <w:r w:rsidRPr="0045151D">
        <w:rPr>
          <w:rFonts w:ascii="Calibri" w:eastAsia="Calibri" w:hAnsi="Calibri" w:cs="Calibri"/>
          <w:i/>
          <w:color w:val="0070C0"/>
          <w:lang w:val="pl-PL"/>
        </w:rPr>
        <w:t xml:space="preserve"> to </w:t>
      </w:r>
      <w:proofErr w:type="spellStart"/>
      <w:r w:rsidRPr="0045151D">
        <w:rPr>
          <w:rFonts w:ascii="Calibri" w:eastAsia="Calibri" w:hAnsi="Calibri" w:cs="Calibri"/>
          <w:i/>
          <w:color w:val="0070C0"/>
          <w:lang w:val="pl-PL"/>
        </w:rPr>
        <w:t>calculate</w:t>
      </w:r>
      <w:proofErr w:type="spellEnd"/>
      <w:r w:rsidRPr="0045151D">
        <w:rPr>
          <w:rFonts w:ascii="Calibri" w:eastAsia="Calibri" w:hAnsi="Calibri" w:cs="Calibri"/>
          <w:i/>
          <w:color w:val="0070C0"/>
          <w:lang w:val="pl-PL"/>
        </w:rPr>
        <w:t xml:space="preserve"> unit </w:t>
      </w:r>
      <w:proofErr w:type="spellStart"/>
      <w:r w:rsidRPr="0045151D">
        <w:rPr>
          <w:rFonts w:ascii="Calibri" w:eastAsia="Calibri" w:hAnsi="Calibri" w:cs="Calibri"/>
          <w:i/>
          <w:color w:val="0070C0"/>
          <w:lang w:val="pl-PL"/>
        </w:rPr>
        <w:t>Vehicle</w:t>
      </w:r>
      <w:proofErr w:type="spellEnd"/>
      <w:r w:rsidRPr="0045151D">
        <w:rPr>
          <w:rFonts w:ascii="Calibri" w:eastAsia="Calibri" w:hAnsi="Calibri" w:cs="Calibri"/>
          <w:i/>
          <w:color w:val="0070C0"/>
          <w:lang w:val="pl-PL"/>
        </w:rPr>
        <w:br/>
        <w:t xml:space="preserve">                       Operating </w:t>
      </w:r>
      <w:proofErr w:type="spellStart"/>
      <w:r w:rsidRPr="0045151D">
        <w:rPr>
          <w:rFonts w:ascii="Calibri" w:eastAsia="Calibri" w:hAnsi="Calibri" w:cs="Calibri"/>
          <w:i/>
          <w:color w:val="0070C0"/>
          <w:lang w:val="pl-PL"/>
        </w:rPr>
        <w:t>Costs</w:t>
      </w:r>
      <w:proofErr w:type="spellEnd"/>
      <w:r w:rsidRPr="0045151D">
        <w:rPr>
          <w:rFonts w:ascii="Calibri" w:eastAsia="Calibri" w:hAnsi="Calibri" w:cs="Calibri"/>
          <w:i/>
          <w:color w:val="0070C0"/>
          <w:lang w:val="pl-PL"/>
        </w:rPr>
        <w:t xml:space="preserve"> (VOC)</w:t>
      </w:r>
      <w:bookmarkEnd w:id="130"/>
      <w:r w:rsidRPr="0045151D">
        <w:rPr>
          <w:rFonts w:ascii="Calibri" w:eastAsia="Calibri" w:hAnsi="Calibri" w:cs="Calibri"/>
          <w:i/>
          <w:color w:val="0070C0"/>
          <w:lang w:val="pl-PL"/>
        </w:rPr>
        <w:t xml:space="preserve"> </w:t>
      </w:r>
    </w:p>
    <w:tbl>
      <w:tblPr>
        <w:tblStyle w:val="affffffffffffff3"/>
        <w:tblW w:w="14571" w:type="dxa"/>
        <w:tblLayout w:type="fixed"/>
        <w:tblLook w:val="0400" w:firstRow="0" w:lastRow="0" w:firstColumn="0" w:lastColumn="0" w:noHBand="0" w:noVBand="1"/>
      </w:tblPr>
      <w:tblGrid>
        <w:gridCol w:w="7031"/>
        <w:gridCol w:w="7540"/>
      </w:tblGrid>
      <w:tr w:rsidR="00600DEE" w14:paraId="40087DE5" w14:textId="77777777">
        <w:tc>
          <w:tcPr>
            <w:tcW w:w="7031" w:type="dxa"/>
            <w:tcBorders>
              <w:right w:val="single" w:sz="4" w:space="0" w:color="000000"/>
            </w:tcBorders>
            <w:tcMar>
              <w:left w:w="284" w:type="dxa"/>
              <w:right w:w="284" w:type="dxa"/>
            </w:tcMar>
          </w:tcPr>
          <w:p w14:paraId="28A331E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Niniejszy załącznik przedstawia podstawowe zasady i podsumowanie obliczeń służących określeniu jednostkowych kosztów eksploatacji pojazdów (VOC) przedstawionych w załączniku A. Zawiera on również odniesienie do odpowiednich materiałów źródłowych wykorzystanych do tych obliczeń.</w:t>
            </w:r>
          </w:p>
          <w:p w14:paraId="17BD771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VOC są zdefiniowane, jako koszty ponoszone przez właścicieli pojazdów samochodowych niezbędne do ich wykorzystywania i obsługi, w tym zużycia paliwa, smarów, opon, koszty napraw i konserwacji, ubezpieczenia, koszty ogólne, administracji, itp. Wysokość VOC jest skorelowana z typem pojazdu i średnią prędkością jazdy, ale również jest zróżnicowana w zależności od elementów charakterystyki dróg takich jak ich parametry i stan nawierzchni.</w:t>
            </w:r>
          </w:p>
          <w:p w14:paraId="5A8E1B2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oszacowania VOC dla polskiej floty pojazdów, wyróżniono następujące grupy kosztów:</w:t>
            </w:r>
          </w:p>
          <w:p w14:paraId="18B45554" w14:textId="77777777" w:rsidR="00600DEE" w:rsidRDefault="00641FB5" w:rsidP="00D5736B">
            <w:pPr>
              <w:numPr>
                <w:ilvl w:val="0"/>
                <w:numId w:val="2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zużycia paliwa: będące funkcją przebiegu drogi i warunków ruchu.</w:t>
            </w:r>
          </w:p>
          <w:p w14:paraId="593A26CB" w14:textId="77777777" w:rsidR="00600DEE" w:rsidRDefault="00641FB5" w:rsidP="00D5736B">
            <w:pPr>
              <w:numPr>
                <w:ilvl w:val="0"/>
                <w:numId w:val="2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Inne koszty: związane, z jakością drogi, która wpływa na zużycie pojazdów, w tym koszty oleju, opon, konserwacji pojazdu, jak również jego amortyzacji.</w:t>
            </w:r>
          </w:p>
          <w:p w14:paraId="26EF2B3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31" w:name="_heading=h.36ei31r" w:colFirst="0" w:colLast="0"/>
            <w:bookmarkEnd w:id="131"/>
            <w:r>
              <w:rPr>
                <w:rFonts w:ascii="Calibri" w:eastAsia="Calibri" w:hAnsi="Calibri" w:cs="Calibri"/>
                <w:color w:val="000000"/>
                <w:sz w:val="20"/>
                <w:szCs w:val="20"/>
              </w:rPr>
              <w:t>Powyższe koszty opracowano na podstawie najnowszych dostępnych badań oraz odpowiednich materiałów źródłowych. Poniżej przedstawiono szczegółowe informacje dotyczące tych obliczeń.</w:t>
            </w:r>
          </w:p>
          <w:p w14:paraId="4058AA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Koszty zużycia paliwa:</w:t>
            </w:r>
          </w:p>
          <w:p w14:paraId="248EF73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Koszty zużycia paliwa określa się generalnie jako funkcję typu pojazdu i warunków ruchowych (w szczególności, jako funkcję prędkości).</w:t>
            </w:r>
          </w:p>
          <w:p w14:paraId="1BAE7D67" w14:textId="77777777" w:rsidR="00600DEE" w:rsidRDefault="00600DEE">
            <w:pPr>
              <w:jc w:val="both"/>
              <w:rPr>
                <w:rFonts w:ascii="Calibri" w:eastAsia="Calibri" w:hAnsi="Calibri" w:cs="Calibri"/>
                <w:sz w:val="20"/>
                <w:szCs w:val="20"/>
              </w:rPr>
            </w:pPr>
          </w:p>
          <w:p w14:paraId="100DA765" w14:textId="77777777" w:rsidR="00600DEE" w:rsidRDefault="00641FB5">
            <w:pPr>
              <w:jc w:val="both"/>
              <w:rPr>
                <w:rFonts w:ascii="Calibri" w:eastAsia="Calibri" w:hAnsi="Calibri" w:cs="Calibri"/>
                <w:b/>
                <w:sz w:val="20"/>
                <w:szCs w:val="20"/>
              </w:rPr>
            </w:pPr>
            <w:r>
              <w:rPr>
                <w:rFonts w:ascii="Calibri" w:eastAsia="Calibri" w:hAnsi="Calibri" w:cs="Calibri"/>
                <w:b/>
                <w:sz w:val="20"/>
                <w:szCs w:val="20"/>
              </w:rPr>
              <w:lastRenderedPageBreak/>
              <w:t>Pojazdy lekkie spalinowe (LV)</w:t>
            </w:r>
          </w:p>
          <w:p w14:paraId="76DB9266" w14:textId="77777777" w:rsidR="00600DEE" w:rsidRDefault="00600DEE">
            <w:pPr>
              <w:jc w:val="both"/>
              <w:rPr>
                <w:rFonts w:ascii="Calibri" w:eastAsia="Calibri" w:hAnsi="Calibri" w:cs="Calibri"/>
                <w:b/>
                <w:sz w:val="20"/>
                <w:szCs w:val="20"/>
                <w:u w:val="single"/>
              </w:rPr>
            </w:pPr>
          </w:p>
          <w:p w14:paraId="608C428C"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Koszty te są oparte na wzorze zawartym w opracowaniu p.t. „</w:t>
            </w:r>
            <w:proofErr w:type="spellStart"/>
            <w:r>
              <w:rPr>
                <w:rFonts w:ascii="Calibri" w:eastAsia="Calibri" w:hAnsi="Calibri" w:cs="Calibri"/>
                <w:sz w:val="20"/>
                <w:szCs w:val="20"/>
              </w:rPr>
              <w:t>Parameterisation</w:t>
            </w:r>
            <w:proofErr w:type="spellEnd"/>
            <w:r>
              <w:rPr>
                <w:rFonts w:ascii="Calibri" w:eastAsia="Calibri" w:hAnsi="Calibri" w:cs="Calibri"/>
                <w:sz w:val="20"/>
                <w:szCs w:val="20"/>
              </w:rPr>
              <w:t xml:space="preserve"> of </w:t>
            </w:r>
            <w:proofErr w:type="spellStart"/>
            <w:r>
              <w:rPr>
                <w:rFonts w:ascii="Calibri" w:eastAsia="Calibri" w:hAnsi="Calibri" w:cs="Calibri"/>
                <w:sz w:val="20"/>
                <w:szCs w:val="20"/>
              </w:rPr>
              <w:t>fuel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consumption</w:t>
            </w:r>
            <w:proofErr w:type="spellEnd"/>
            <w:r>
              <w:rPr>
                <w:rFonts w:ascii="Calibri" w:eastAsia="Calibri" w:hAnsi="Calibri" w:cs="Calibri"/>
                <w:sz w:val="20"/>
                <w:szCs w:val="20"/>
              </w:rPr>
              <w:t xml:space="preserve"> and CO2 </w:t>
            </w:r>
            <w:proofErr w:type="spellStart"/>
            <w:r>
              <w:rPr>
                <w:rFonts w:ascii="Calibri" w:eastAsia="Calibri" w:hAnsi="Calibri" w:cs="Calibri"/>
                <w:sz w:val="20"/>
                <w:szCs w:val="20"/>
              </w:rPr>
              <w:t>emissions</w:t>
            </w:r>
            <w:proofErr w:type="spellEnd"/>
            <w:r>
              <w:rPr>
                <w:rFonts w:ascii="Calibri" w:eastAsia="Calibri" w:hAnsi="Calibri" w:cs="Calibri"/>
                <w:sz w:val="20"/>
                <w:szCs w:val="20"/>
              </w:rPr>
              <w:t xml:space="preserve"> of </w:t>
            </w:r>
            <w:proofErr w:type="spellStart"/>
            <w:r>
              <w:rPr>
                <w:rFonts w:ascii="Calibri" w:eastAsia="Calibri" w:hAnsi="Calibri" w:cs="Calibri"/>
                <w:sz w:val="20"/>
                <w:szCs w:val="20"/>
              </w:rPr>
              <w:t>passenger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cars</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light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commercial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vehicles</w:t>
            </w:r>
            <w:proofErr w:type="spellEnd"/>
            <w:r>
              <w:rPr>
                <w:rFonts w:ascii="Calibri" w:eastAsia="Calibri" w:hAnsi="Calibri" w:cs="Calibri"/>
                <w:sz w:val="20"/>
                <w:szCs w:val="20"/>
              </w:rPr>
              <w:t xml:space="preserve"> for </w:t>
            </w:r>
            <w:proofErr w:type="spellStart"/>
            <w:r>
              <w:rPr>
                <w:rFonts w:ascii="Calibri" w:eastAsia="Calibri" w:hAnsi="Calibri" w:cs="Calibri"/>
                <w:sz w:val="20"/>
                <w:szCs w:val="20"/>
              </w:rPr>
              <w:t>modelling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purposes</w:t>
            </w:r>
            <w:proofErr w:type="spellEnd"/>
            <w:r>
              <w:rPr>
                <w:rFonts w:ascii="Calibri" w:eastAsia="Calibri" w:hAnsi="Calibri" w:cs="Calibri"/>
                <w:sz w:val="20"/>
                <w:szCs w:val="20"/>
              </w:rPr>
              <w:t>", JRC 2011:</w:t>
            </w:r>
          </w:p>
          <w:p w14:paraId="7FE1D97C" w14:textId="77777777" w:rsidR="00600DEE" w:rsidRDefault="00600DEE">
            <w:pPr>
              <w:jc w:val="both"/>
              <w:rPr>
                <w:rFonts w:ascii="Calibri" w:eastAsia="Calibri" w:hAnsi="Calibri" w:cs="Calibri"/>
                <w:sz w:val="20"/>
                <w:szCs w:val="20"/>
              </w:rPr>
            </w:pPr>
          </w:p>
          <w:p w14:paraId="16616814" w14:textId="77777777" w:rsidR="00600DEE" w:rsidRDefault="00641FB5">
            <w:pPr>
              <w:jc w:val="both"/>
              <w:rPr>
                <w:rFonts w:ascii="Calibri" w:eastAsia="Calibri" w:hAnsi="Calibri" w:cs="Calibri"/>
                <w:sz w:val="20"/>
                <w:szCs w:val="20"/>
              </w:rPr>
            </w:pPr>
            <w:r>
              <w:rPr>
                <w:noProof/>
                <w:lang w:val="en-GB" w:eastAsia="en-GB"/>
              </w:rPr>
              <w:drawing>
                <wp:inline distT="0" distB="0" distL="0" distR="0" wp14:anchorId="6345CB69" wp14:editId="78D2CC66">
                  <wp:extent cx="4215130" cy="1284288"/>
                  <wp:effectExtent l="0" t="0" r="0" b="0"/>
                  <wp:docPr id="5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50"/>
                          <a:srcRect l="10904" t="31458" r="41698" b="47539"/>
                          <a:stretch>
                            <a:fillRect/>
                          </a:stretch>
                        </pic:blipFill>
                        <pic:spPr>
                          <a:xfrm>
                            <a:off x="0" y="0"/>
                            <a:ext cx="4226794" cy="1287842"/>
                          </a:xfrm>
                          <a:prstGeom prst="rect">
                            <a:avLst/>
                          </a:prstGeom>
                          <a:ln/>
                        </pic:spPr>
                      </pic:pic>
                    </a:graphicData>
                  </a:graphic>
                </wp:inline>
              </w:drawing>
            </w:r>
          </w:p>
          <w:p w14:paraId="31E28ED3" w14:textId="77777777" w:rsidR="00600DEE" w:rsidRDefault="00600DEE">
            <w:pPr>
              <w:jc w:val="both"/>
              <w:rPr>
                <w:rFonts w:ascii="Calibri" w:eastAsia="Calibri" w:hAnsi="Calibri" w:cs="Calibri"/>
                <w:sz w:val="20"/>
                <w:szCs w:val="20"/>
              </w:rPr>
            </w:pPr>
          </w:p>
          <w:p w14:paraId="5B8DFA09" w14:textId="77777777" w:rsidR="00600DEE" w:rsidRDefault="00641FB5" w:rsidP="00173EC8">
            <w:pPr>
              <w:pBdr>
                <w:top w:val="nil"/>
                <w:left w:val="nil"/>
                <w:bottom w:val="nil"/>
                <w:right w:val="nil"/>
                <w:between w:val="nil"/>
              </w:pBdr>
              <w:spacing w:before="120" w:after="240"/>
              <w:jc w:val="both"/>
              <w:rPr>
                <w:rFonts w:ascii="Calibri" w:eastAsia="Calibri" w:hAnsi="Calibri" w:cs="Calibri"/>
                <w:color w:val="000000"/>
                <w:sz w:val="20"/>
                <w:szCs w:val="20"/>
              </w:rPr>
            </w:pPr>
            <w:r>
              <w:rPr>
                <w:rFonts w:ascii="Calibri" w:eastAsia="Calibri" w:hAnsi="Calibri" w:cs="Calibri"/>
                <w:color w:val="000000"/>
                <w:sz w:val="20"/>
                <w:szCs w:val="20"/>
              </w:rPr>
              <w:t>gdzie:</w:t>
            </w:r>
          </w:p>
          <w:p w14:paraId="70BE0CC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val="en-GB" w:eastAsia="en-GB"/>
              </w:rPr>
              <w:drawing>
                <wp:inline distT="0" distB="0" distL="0" distR="0" wp14:anchorId="24A547F3" wp14:editId="73C5EB13">
                  <wp:extent cx="4215590" cy="871163"/>
                  <wp:effectExtent l="0" t="0" r="0" b="0"/>
                  <wp:docPr id="53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51"/>
                          <a:srcRect l="7587" t="47812" r="28202" b="32099"/>
                          <a:stretch>
                            <a:fillRect/>
                          </a:stretch>
                        </pic:blipFill>
                        <pic:spPr>
                          <a:xfrm>
                            <a:off x="0" y="0"/>
                            <a:ext cx="4215590" cy="871163"/>
                          </a:xfrm>
                          <a:prstGeom prst="rect">
                            <a:avLst/>
                          </a:prstGeom>
                          <a:ln/>
                        </pic:spPr>
                      </pic:pic>
                    </a:graphicData>
                  </a:graphic>
                </wp:inline>
              </w:drawing>
            </w:r>
          </w:p>
          <w:p w14:paraId="45FC07A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m = masa pojazdu (masa własna + 75kg kierowca oraz 20kg paliwo), odpowiadająca masie homologacyjnej;</w:t>
            </w:r>
          </w:p>
          <w:p w14:paraId="70BE6CB4" w14:textId="0340421C" w:rsidR="00600DEE" w:rsidRDefault="00880D09">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g = przyspieszenie ziemskie (9,</w:t>
            </w:r>
            <w:r w:rsidR="00641FB5">
              <w:rPr>
                <w:rFonts w:ascii="Calibri" w:eastAsia="Calibri" w:hAnsi="Calibri" w:cs="Calibri"/>
                <w:color w:val="000000"/>
                <w:sz w:val="20"/>
                <w:szCs w:val="20"/>
              </w:rPr>
              <w:t>81 m/s</w:t>
            </w:r>
            <w:r w:rsidR="00641FB5">
              <w:rPr>
                <w:rFonts w:ascii="Calibri" w:eastAsia="Calibri" w:hAnsi="Calibri" w:cs="Calibri"/>
                <w:color w:val="000000"/>
                <w:sz w:val="20"/>
                <w:szCs w:val="20"/>
                <w:vertAlign w:val="superscript"/>
              </w:rPr>
              <w:t>2</w:t>
            </w:r>
            <w:r w:rsidR="00641FB5">
              <w:rPr>
                <w:rFonts w:ascii="Calibri" w:eastAsia="Calibri" w:hAnsi="Calibri" w:cs="Calibri"/>
                <w:color w:val="000000"/>
                <w:sz w:val="20"/>
                <w:szCs w:val="20"/>
              </w:rPr>
              <w:t>)</w:t>
            </w:r>
          </w:p>
          <w:p w14:paraId="545D29D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w:t>
            </w:r>
            <w:r>
              <w:rPr>
                <w:rFonts w:ascii="Calibri" w:eastAsia="Calibri" w:hAnsi="Calibri" w:cs="Calibri"/>
                <w:color w:val="000000"/>
                <w:sz w:val="20"/>
                <w:szCs w:val="20"/>
                <w:vertAlign w:val="subscript"/>
              </w:rPr>
              <w:t>0</w:t>
            </w:r>
            <w:r>
              <w:rPr>
                <w:rFonts w:ascii="Calibri" w:eastAsia="Calibri" w:hAnsi="Calibri" w:cs="Calibri"/>
                <w:color w:val="000000"/>
                <w:sz w:val="20"/>
                <w:szCs w:val="20"/>
              </w:rPr>
              <w:t>,r</w:t>
            </w:r>
            <w:r>
              <w:rPr>
                <w:rFonts w:ascii="Calibri" w:eastAsia="Calibri" w:hAnsi="Calibri" w:cs="Calibri"/>
                <w:color w:val="000000"/>
                <w:sz w:val="20"/>
                <w:szCs w:val="20"/>
                <w:vertAlign w:val="subscript"/>
              </w:rPr>
              <w:t>1</w:t>
            </w:r>
            <w:r>
              <w:rPr>
                <w:rFonts w:ascii="Calibri" w:eastAsia="Calibri" w:hAnsi="Calibri" w:cs="Calibri"/>
                <w:color w:val="000000"/>
                <w:sz w:val="20"/>
                <w:szCs w:val="20"/>
              </w:rPr>
              <w:t>)  = współczynniki oporu toczenia</w:t>
            </w:r>
          </w:p>
          <w:p w14:paraId="151A8E5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v = prędkość (m/s)</w:t>
            </w:r>
          </w:p>
          <w:p w14:paraId="36D3A82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w:t>
            </w:r>
            <w:r>
              <w:rPr>
                <w:rFonts w:ascii="Calibri" w:eastAsia="Calibri" w:hAnsi="Calibri" w:cs="Calibri"/>
                <w:color w:val="000000"/>
                <w:sz w:val="20"/>
                <w:szCs w:val="20"/>
                <w:vertAlign w:val="subscript"/>
              </w:rPr>
              <w:t xml:space="preserve">d </w:t>
            </w:r>
            <w:r>
              <w:rPr>
                <w:rFonts w:ascii="Calibri" w:eastAsia="Calibri" w:hAnsi="Calibri" w:cs="Calibri"/>
                <w:color w:val="000000"/>
                <w:sz w:val="20"/>
                <w:szCs w:val="20"/>
              </w:rPr>
              <w:t>x A = opór aerodynamiczny (m</w:t>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w:t>
            </w:r>
          </w:p>
          <w:p w14:paraId="70E5AB8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highlight w:val="cyan"/>
                <w:lang w:val="en-GB" w:eastAsia="en-GB"/>
              </w:rPr>
              <w:lastRenderedPageBreak/>
              <w:drawing>
                <wp:inline distT="0" distB="0" distL="0" distR="0" wp14:anchorId="0AD821C8" wp14:editId="20949C19">
                  <wp:extent cx="3951605" cy="1352550"/>
                  <wp:effectExtent l="0" t="0" r="0" b="0"/>
                  <wp:docPr id="53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52"/>
                          <a:srcRect l="16814" t="24173" r="43443" b="55052"/>
                          <a:stretch>
                            <a:fillRect/>
                          </a:stretch>
                        </pic:blipFill>
                        <pic:spPr>
                          <a:xfrm>
                            <a:off x="0" y="0"/>
                            <a:ext cx="3951605" cy="1352550"/>
                          </a:xfrm>
                          <a:prstGeom prst="rect">
                            <a:avLst/>
                          </a:prstGeom>
                          <a:ln/>
                        </pic:spPr>
                      </pic:pic>
                    </a:graphicData>
                  </a:graphic>
                </wp:inline>
              </w:drawing>
            </w:r>
          </w:p>
          <w:p w14:paraId="35F1C344" w14:textId="77777777" w:rsidR="00600DEE" w:rsidRDefault="00600DEE">
            <w:pPr>
              <w:jc w:val="both"/>
              <w:rPr>
                <w:rFonts w:ascii="Calibri" w:eastAsia="Calibri" w:hAnsi="Calibri" w:cs="Calibri"/>
                <w:sz w:val="20"/>
                <w:szCs w:val="20"/>
              </w:rPr>
            </w:pPr>
          </w:p>
          <w:p w14:paraId="260E756C" w14:textId="77777777" w:rsidR="00173EC8" w:rsidRDefault="00173EC8">
            <w:pPr>
              <w:jc w:val="both"/>
              <w:rPr>
                <w:rFonts w:ascii="Calibri" w:eastAsia="Calibri" w:hAnsi="Calibri" w:cs="Calibri"/>
                <w:sz w:val="20"/>
                <w:szCs w:val="20"/>
              </w:rPr>
            </w:pPr>
          </w:p>
          <w:p w14:paraId="1A3D08A4" w14:textId="77777777" w:rsidR="00173EC8" w:rsidRDefault="00173EC8">
            <w:pPr>
              <w:jc w:val="both"/>
              <w:rPr>
                <w:rFonts w:ascii="Calibri" w:eastAsia="Calibri" w:hAnsi="Calibri" w:cs="Calibri"/>
                <w:sz w:val="20"/>
                <w:szCs w:val="20"/>
              </w:rPr>
            </w:pPr>
          </w:p>
          <w:p w14:paraId="16DCD927" w14:textId="13BB79D1" w:rsidR="00600DEE" w:rsidRDefault="00641FB5">
            <w:pPr>
              <w:jc w:val="both"/>
              <w:rPr>
                <w:rFonts w:ascii="Calibri" w:eastAsia="Calibri" w:hAnsi="Calibri" w:cs="Calibri"/>
                <w:sz w:val="20"/>
                <w:szCs w:val="20"/>
              </w:rPr>
            </w:pPr>
            <w:r>
              <w:rPr>
                <w:rFonts w:ascii="Calibri" w:eastAsia="Calibri" w:hAnsi="Calibri" w:cs="Calibri"/>
                <w:sz w:val="20"/>
                <w:szCs w:val="20"/>
              </w:rPr>
              <w:t>W parametrach powyższej funkcji rozróżniono pojazdy napędzane olejem napędowym oraz pojazdy benzynowe, a także uwzględniono podział na poszczególne klasy EURO.</w:t>
            </w:r>
          </w:p>
          <w:p w14:paraId="318371A7" w14:textId="77777777" w:rsidR="00600DEE" w:rsidRDefault="00600DEE">
            <w:pPr>
              <w:jc w:val="both"/>
              <w:rPr>
                <w:rFonts w:ascii="Calibri" w:eastAsia="Calibri" w:hAnsi="Calibri" w:cs="Calibri"/>
                <w:sz w:val="20"/>
                <w:szCs w:val="20"/>
              </w:rPr>
            </w:pPr>
          </w:p>
          <w:p w14:paraId="1AABEE42"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 xml:space="preserve">Dane dotyczące aktualnego składu polskiej floty pojazdów z uwzględnieniem wyżej wymienionych czynników (tzn. rodzajów stosowanego paliwa i klasy EURO) pochodzą z opracowania </w:t>
            </w:r>
            <w:proofErr w:type="spellStart"/>
            <w:r>
              <w:rPr>
                <w:rFonts w:ascii="Calibri" w:eastAsia="Calibri" w:hAnsi="Calibri" w:cs="Calibri"/>
                <w:sz w:val="20"/>
                <w:szCs w:val="20"/>
              </w:rPr>
              <w:t>pt</w:t>
            </w:r>
            <w:proofErr w:type="spellEnd"/>
            <w:r>
              <w:rPr>
                <w:rFonts w:ascii="Calibri" w:eastAsia="Calibri" w:hAnsi="Calibri" w:cs="Calibri"/>
                <w:sz w:val="20"/>
                <w:szCs w:val="20"/>
              </w:rPr>
              <w:t xml:space="preserve"> „Transport – wyniki działalności w 2019 r. Transport – </w:t>
            </w:r>
            <w:proofErr w:type="spellStart"/>
            <w:r>
              <w:rPr>
                <w:rFonts w:ascii="Calibri" w:eastAsia="Calibri" w:hAnsi="Calibri" w:cs="Calibri"/>
                <w:sz w:val="20"/>
                <w:szCs w:val="20"/>
              </w:rPr>
              <w:t>activity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results</w:t>
            </w:r>
            <w:proofErr w:type="spellEnd"/>
            <w:r>
              <w:rPr>
                <w:rFonts w:ascii="Calibri" w:eastAsia="Calibri" w:hAnsi="Calibri" w:cs="Calibri"/>
                <w:sz w:val="20"/>
                <w:szCs w:val="20"/>
              </w:rPr>
              <w:t xml:space="preserve"> in 2019", GUS, 2020. Wszystkie pozostałe parametry niezbędne do powyższego wzoru pochodzą z odpowiednich materiałów źródłowych.</w:t>
            </w:r>
          </w:p>
          <w:p w14:paraId="50E0249B" w14:textId="77777777" w:rsidR="00600DEE" w:rsidRDefault="00600DEE">
            <w:pPr>
              <w:jc w:val="both"/>
              <w:rPr>
                <w:rFonts w:ascii="Calibri" w:eastAsia="Calibri" w:hAnsi="Calibri" w:cs="Calibri"/>
                <w:sz w:val="20"/>
                <w:szCs w:val="20"/>
              </w:rPr>
            </w:pPr>
          </w:p>
          <w:p w14:paraId="41E924DA" w14:textId="284C7072" w:rsidR="00600DEE" w:rsidRDefault="00641FB5">
            <w:pPr>
              <w:jc w:val="both"/>
              <w:rPr>
                <w:rFonts w:ascii="Calibri" w:eastAsia="Calibri" w:hAnsi="Calibri" w:cs="Calibri"/>
                <w:sz w:val="20"/>
                <w:szCs w:val="20"/>
              </w:rPr>
            </w:pPr>
            <w:r>
              <w:rPr>
                <w:rFonts w:ascii="Calibri" w:eastAsia="Calibri" w:hAnsi="Calibri" w:cs="Calibri"/>
                <w:sz w:val="20"/>
                <w:szCs w:val="20"/>
              </w:rPr>
              <w:t>Na podstawie powyższych założeń, otrzymano średnie zużycie paliwa dla przeciętnego LV w Po</w:t>
            </w:r>
            <w:r w:rsidR="00C25D65">
              <w:rPr>
                <w:rFonts w:ascii="Calibri" w:eastAsia="Calibri" w:hAnsi="Calibri" w:cs="Calibri"/>
                <w:sz w:val="20"/>
                <w:szCs w:val="20"/>
              </w:rPr>
              <w:t xml:space="preserve">lsce wyrażone w l/km w funkcji </w:t>
            </w:r>
            <w:r>
              <w:rPr>
                <w:rFonts w:ascii="Calibri" w:eastAsia="Calibri" w:hAnsi="Calibri" w:cs="Calibri"/>
                <w:sz w:val="20"/>
                <w:szCs w:val="20"/>
              </w:rPr>
              <w:t xml:space="preserve">prędkości (po zastosowaniu gęstości paliw zgodnie z wytycznymi </w:t>
            </w:r>
            <w:proofErr w:type="spellStart"/>
            <w:r>
              <w:rPr>
                <w:rFonts w:ascii="Calibri" w:eastAsia="Calibri" w:hAnsi="Calibri" w:cs="Calibri"/>
                <w:sz w:val="20"/>
                <w:szCs w:val="20"/>
              </w:rPr>
              <w:t>ws</w:t>
            </w:r>
            <w:proofErr w:type="spellEnd"/>
            <w:r>
              <w:rPr>
                <w:rFonts w:ascii="Calibri" w:eastAsia="Calibri" w:hAnsi="Calibri" w:cs="Calibri"/>
                <w:sz w:val="20"/>
                <w:szCs w:val="20"/>
              </w:rPr>
              <w:t>. inwentaryzacji emisji zanieczyszczeń powietrza EMEP/EEA, 2019 r.). Na koniec podstawiono ceny poszczególnych paliw (z wyłączeniem podatków i opłat) z roku 2019.</w:t>
            </w:r>
          </w:p>
          <w:p w14:paraId="2837912B" w14:textId="77777777" w:rsidR="00600DEE" w:rsidRDefault="00600DEE">
            <w:pPr>
              <w:jc w:val="both"/>
              <w:rPr>
                <w:rFonts w:ascii="Calibri" w:eastAsia="Calibri" w:hAnsi="Calibri" w:cs="Calibri"/>
                <w:sz w:val="20"/>
                <w:szCs w:val="20"/>
              </w:rPr>
            </w:pPr>
          </w:p>
          <w:p w14:paraId="2C2DE6CE" w14:textId="77777777" w:rsidR="00173EC8" w:rsidRDefault="00173EC8">
            <w:pPr>
              <w:jc w:val="both"/>
              <w:rPr>
                <w:rFonts w:ascii="Calibri" w:eastAsia="Calibri" w:hAnsi="Calibri" w:cs="Calibri"/>
                <w:sz w:val="20"/>
                <w:szCs w:val="20"/>
              </w:rPr>
            </w:pPr>
          </w:p>
          <w:p w14:paraId="21C62854" w14:textId="77777777" w:rsidR="00173EC8" w:rsidRDefault="00173EC8">
            <w:pPr>
              <w:jc w:val="both"/>
              <w:rPr>
                <w:rFonts w:ascii="Calibri" w:eastAsia="Calibri" w:hAnsi="Calibri" w:cs="Calibri"/>
                <w:sz w:val="20"/>
                <w:szCs w:val="20"/>
              </w:rPr>
            </w:pPr>
          </w:p>
          <w:p w14:paraId="5CD44941" w14:textId="77777777" w:rsidR="00173EC8" w:rsidRDefault="00173EC8">
            <w:pPr>
              <w:jc w:val="both"/>
              <w:rPr>
                <w:rFonts w:ascii="Calibri" w:eastAsia="Calibri" w:hAnsi="Calibri" w:cs="Calibri"/>
                <w:sz w:val="20"/>
                <w:szCs w:val="20"/>
              </w:rPr>
            </w:pPr>
          </w:p>
          <w:p w14:paraId="61D08E7B" w14:textId="77777777" w:rsidR="00173EC8" w:rsidRDefault="00173EC8">
            <w:pPr>
              <w:jc w:val="both"/>
              <w:rPr>
                <w:rFonts w:ascii="Calibri" w:eastAsia="Calibri" w:hAnsi="Calibri" w:cs="Calibri"/>
                <w:sz w:val="20"/>
                <w:szCs w:val="20"/>
              </w:rPr>
            </w:pPr>
          </w:p>
          <w:p w14:paraId="552D6509" w14:textId="77777777" w:rsidR="00173EC8" w:rsidRDefault="00173EC8">
            <w:pPr>
              <w:jc w:val="both"/>
              <w:rPr>
                <w:rFonts w:ascii="Calibri" w:eastAsia="Calibri" w:hAnsi="Calibri" w:cs="Calibri"/>
                <w:sz w:val="20"/>
                <w:szCs w:val="20"/>
              </w:rPr>
            </w:pPr>
          </w:p>
          <w:p w14:paraId="4BE981DC" w14:textId="77777777" w:rsidR="00173EC8" w:rsidRDefault="00173EC8">
            <w:pPr>
              <w:jc w:val="both"/>
              <w:rPr>
                <w:rFonts w:ascii="Calibri" w:eastAsia="Calibri" w:hAnsi="Calibri" w:cs="Calibri"/>
                <w:sz w:val="20"/>
                <w:szCs w:val="20"/>
              </w:rPr>
            </w:pPr>
          </w:p>
          <w:p w14:paraId="03D5D29F" w14:textId="77777777" w:rsidR="00173EC8" w:rsidRDefault="00173EC8">
            <w:pPr>
              <w:jc w:val="both"/>
              <w:rPr>
                <w:rFonts w:ascii="Calibri" w:eastAsia="Calibri" w:hAnsi="Calibri" w:cs="Calibri"/>
                <w:sz w:val="20"/>
                <w:szCs w:val="20"/>
              </w:rPr>
            </w:pPr>
          </w:p>
          <w:p w14:paraId="70792105" w14:textId="77777777" w:rsidR="00173EC8" w:rsidRDefault="00173EC8">
            <w:pPr>
              <w:jc w:val="both"/>
              <w:rPr>
                <w:rFonts w:ascii="Calibri" w:eastAsia="Calibri" w:hAnsi="Calibri" w:cs="Calibri"/>
                <w:sz w:val="20"/>
                <w:szCs w:val="20"/>
              </w:rPr>
            </w:pPr>
          </w:p>
          <w:p w14:paraId="520D5CB4" w14:textId="77777777" w:rsidR="00173EC8" w:rsidRDefault="00173EC8">
            <w:pPr>
              <w:jc w:val="both"/>
              <w:rPr>
                <w:rFonts w:ascii="Calibri" w:eastAsia="Calibri" w:hAnsi="Calibri" w:cs="Calibri"/>
                <w:sz w:val="20"/>
                <w:szCs w:val="20"/>
              </w:rPr>
            </w:pPr>
          </w:p>
          <w:p w14:paraId="76C8ED84" w14:textId="7BDB70C6" w:rsidR="00600DEE" w:rsidRDefault="00641FB5">
            <w:pPr>
              <w:jc w:val="both"/>
              <w:rPr>
                <w:rFonts w:ascii="Calibri" w:eastAsia="Calibri" w:hAnsi="Calibri" w:cs="Calibri"/>
                <w:sz w:val="20"/>
                <w:szCs w:val="20"/>
              </w:rPr>
            </w:pPr>
            <w:r>
              <w:rPr>
                <w:rFonts w:ascii="Calibri" w:eastAsia="Calibri" w:hAnsi="Calibri" w:cs="Calibri"/>
                <w:sz w:val="20"/>
                <w:szCs w:val="20"/>
              </w:rPr>
              <w:lastRenderedPageBreak/>
              <w:t>Wynikowe średnie koszty zużycia paliwa dla PL podano w poniższej tabeli</w:t>
            </w:r>
            <w:r w:rsidR="00880D09">
              <w:t xml:space="preserve"> </w:t>
            </w:r>
            <w:r w:rsidR="00880D09" w:rsidRPr="00880D09">
              <w:rPr>
                <w:rFonts w:ascii="Calibri" w:eastAsia="Calibri" w:hAnsi="Calibri" w:cs="Calibri"/>
                <w:sz w:val="20"/>
                <w:szCs w:val="20"/>
              </w:rPr>
              <w:t>w cenach na początek roku 2020</w:t>
            </w:r>
            <w:r>
              <w:rPr>
                <w:rFonts w:ascii="Calibri" w:eastAsia="Calibri" w:hAnsi="Calibri" w:cs="Calibri"/>
                <w:sz w:val="20"/>
                <w:szCs w:val="20"/>
              </w:rPr>
              <w:t>:</w:t>
            </w:r>
          </w:p>
          <w:p w14:paraId="6428E92D" w14:textId="77777777" w:rsidR="00173EC8" w:rsidRDefault="00173EC8">
            <w:pPr>
              <w:jc w:val="both"/>
              <w:rPr>
                <w:rFonts w:ascii="Calibri" w:eastAsia="Calibri" w:hAnsi="Calibri" w:cs="Calibri"/>
                <w:sz w:val="20"/>
                <w:szCs w:val="20"/>
              </w:rPr>
            </w:pPr>
          </w:p>
          <w:p w14:paraId="154CEB6C" w14:textId="77777777" w:rsidR="00600DEE" w:rsidRDefault="00600DEE">
            <w:pPr>
              <w:jc w:val="both"/>
              <w:rPr>
                <w:rFonts w:ascii="Calibri" w:eastAsia="Calibri" w:hAnsi="Calibri" w:cs="Calibri"/>
                <w:sz w:val="20"/>
                <w:szCs w:val="20"/>
              </w:rPr>
            </w:pPr>
          </w:p>
          <w:tbl>
            <w:tblPr>
              <w:tblStyle w:val="affffffffffffff4"/>
              <w:tblW w:w="5809" w:type="dxa"/>
              <w:tblLayout w:type="fixed"/>
              <w:tblLook w:val="0000" w:firstRow="0" w:lastRow="0" w:firstColumn="0" w:lastColumn="0" w:noHBand="0" w:noVBand="0"/>
            </w:tblPr>
            <w:tblGrid>
              <w:gridCol w:w="2025"/>
              <w:gridCol w:w="2017"/>
              <w:gridCol w:w="1767"/>
            </w:tblGrid>
            <w:tr w:rsidR="00600DEE" w14:paraId="0863CD2A" w14:textId="77777777" w:rsidTr="00173EC8">
              <w:trPr>
                <w:trHeight w:hRule="exact" w:val="1021"/>
              </w:trPr>
              <w:tc>
                <w:tcPr>
                  <w:tcW w:w="2025" w:type="dxa"/>
                  <w:vMerge w:val="restart"/>
                  <w:tcBorders>
                    <w:top w:val="single" w:sz="4" w:space="0" w:color="FFFFFF"/>
                    <w:left w:val="single" w:sz="4" w:space="0" w:color="FFFFFF"/>
                  </w:tcBorders>
                  <w:shd w:val="clear" w:color="auto" w:fill="A6A6A6"/>
                  <w:vAlign w:val="center"/>
                </w:tcPr>
                <w:p w14:paraId="42F05B7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Prędkość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19F2884E"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Zużycie paliwa dla LV – teren płaski (nawierzchnia nowo wybudowana/ wyremontowana)</w:t>
                  </w:r>
                </w:p>
              </w:tc>
            </w:tr>
            <w:tr w:rsidR="00600DEE" w14:paraId="7A206818" w14:textId="77777777">
              <w:trPr>
                <w:trHeight w:val="284"/>
              </w:trPr>
              <w:tc>
                <w:tcPr>
                  <w:tcW w:w="2025" w:type="dxa"/>
                  <w:vMerge/>
                  <w:tcBorders>
                    <w:top w:val="single" w:sz="4" w:space="0" w:color="FFFFFF"/>
                    <w:left w:val="single" w:sz="4" w:space="0" w:color="FFFFFF"/>
                  </w:tcBorders>
                  <w:shd w:val="clear" w:color="auto" w:fill="A6A6A6"/>
                  <w:vAlign w:val="center"/>
                </w:tcPr>
                <w:p w14:paraId="77C279E7"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017" w:type="dxa"/>
                  <w:tcBorders>
                    <w:top w:val="single" w:sz="4" w:space="0" w:color="FFFFFF"/>
                    <w:left w:val="single" w:sz="4" w:space="0" w:color="FFFFFF"/>
                    <w:bottom w:val="single" w:sz="4" w:space="0" w:color="FFFFFF"/>
                  </w:tcBorders>
                  <w:shd w:val="clear" w:color="auto" w:fill="A6A6A6"/>
                  <w:vAlign w:val="center"/>
                </w:tcPr>
                <w:p w14:paraId="7ACB953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6F285A63"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PLN/</w:t>
                  </w:r>
                  <w:proofErr w:type="spellStart"/>
                  <w:r>
                    <w:rPr>
                      <w:rFonts w:ascii="Calibri" w:eastAsia="Calibri" w:hAnsi="Calibri" w:cs="Calibri"/>
                      <w:b/>
                      <w:color w:val="FFFFFF"/>
                      <w:sz w:val="18"/>
                      <w:szCs w:val="18"/>
                    </w:rPr>
                    <w:t>poj</w:t>
                  </w:r>
                  <w:proofErr w:type="spellEnd"/>
                  <w:r>
                    <w:rPr>
                      <w:rFonts w:ascii="Calibri" w:eastAsia="Calibri" w:hAnsi="Calibri" w:cs="Calibri"/>
                      <w:b/>
                      <w:color w:val="FFFFFF"/>
                      <w:sz w:val="18"/>
                      <w:szCs w:val="18"/>
                    </w:rPr>
                    <w:t>-km</w:t>
                  </w:r>
                </w:p>
              </w:tc>
            </w:tr>
            <w:tr w:rsidR="00600DEE" w14:paraId="6B376EF7"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84662B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4F460C6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26,401</w:t>
                  </w:r>
                </w:p>
              </w:tc>
              <w:tc>
                <w:tcPr>
                  <w:tcW w:w="1767" w:type="dxa"/>
                  <w:tcBorders>
                    <w:top w:val="single" w:sz="4" w:space="0" w:color="FFFFFF"/>
                    <w:left w:val="single" w:sz="4" w:space="0" w:color="FFFFFF"/>
                    <w:bottom w:val="single" w:sz="4" w:space="0" w:color="FFFFFF"/>
                  </w:tcBorders>
                  <w:shd w:val="clear" w:color="auto" w:fill="DBE5F1"/>
                  <w:vAlign w:val="bottom"/>
                </w:tcPr>
                <w:p w14:paraId="4D55AF6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0,595</w:t>
                  </w:r>
                </w:p>
              </w:tc>
            </w:tr>
            <w:tr w:rsidR="00600DEE" w14:paraId="462BEB13"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8A8E4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12501C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16,721</w:t>
                  </w:r>
                </w:p>
              </w:tc>
              <w:tc>
                <w:tcPr>
                  <w:tcW w:w="1767" w:type="dxa"/>
                  <w:tcBorders>
                    <w:top w:val="single" w:sz="4" w:space="0" w:color="FFFFFF"/>
                    <w:left w:val="single" w:sz="4" w:space="0" w:color="FFFFFF"/>
                    <w:bottom w:val="single" w:sz="4" w:space="0" w:color="FFFFFF"/>
                  </w:tcBorders>
                  <w:shd w:val="clear" w:color="auto" w:fill="DBE5F1"/>
                  <w:vAlign w:val="bottom"/>
                </w:tcPr>
                <w:p w14:paraId="266685E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0,377</w:t>
                  </w:r>
                </w:p>
              </w:tc>
            </w:tr>
            <w:tr w:rsidR="00600DEE" w14:paraId="0CDA9216"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1DE610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1E23D91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12,740</w:t>
                  </w:r>
                </w:p>
              </w:tc>
              <w:tc>
                <w:tcPr>
                  <w:tcW w:w="1767" w:type="dxa"/>
                  <w:tcBorders>
                    <w:top w:val="single" w:sz="4" w:space="0" w:color="FFFFFF"/>
                    <w:left w:val="single" w:sz="4" w:space="0" w:color="FFFFFF"/>
                    <w:bottom w:val="single" w:sz="4" w:space="0" w:color="FFFFFF"/>
                  </w:tcBorders>
                  <w:shd w:val="clear" w:color="auto" w:fill="DBE5F1"/>
                  <w:vAlign w:val="bottom"/>
                </w:tcPr>
                <w:p w14:paraId="604D344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0,287</w:t>
                  </w:r>
                </w:p>
              </w:tc>
            </w:tr>
            <w:tr w:rsidR="00600DEE" w14:paraId="609CD5D6"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822FBC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312109E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10,347</w:t>
                  </w:r>
                </w:p>
              </w:tc>
              <w:tc>
                <w:tcPr>
                  <w:tcW w:w="1767" w:type="dxa"/>
                  <w:tcBorders>
                    <w:top w:val="single" w:sz="4" w:space="0" w:color="FFFFFF"/>
                    <w:left w:val="single" w:sz="4" w:space="0" w:color="FFFFFF"/>
                    <w:bottom w:val="single" w:sz="4" w:space="0" w:color="FFFFFF"/>
                  </w:tcBorders>
                  <w:shd w:val="clear" w:color="auto" w:fill="DBE5F1"/>
                  <w:vAlign w:val="bottom"/>
                </w:tcPr>
                <w:p w14:paraId="5B86E2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0,233</w:t>
                  </w:r>
                </w:p>
              </w:tc>
            </w:tr>
            <w:tr w:rsidR="00600DEE" w14:paraId="108A3F3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BC45D2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373605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8,765</w:t>
                  </w:r>
                </w:p>
              </w:tc>
              <w:tc>
                <w:tcPr>
                  <w:tcW w:w="1767" w:type="dxa"/>
                  <w:tcBorders>
                    <w:top w:val="single" w:sz="4" w:space="0" w:color="FFFFFF"/>
                    <w:left w:val="single" w:sz="4" w:space="0" w:color="FFFFFF"/>
                    <w:bottom w:val="single" w:sz="4" w:space="0" w:color="FFFFFF"/>
                  </w:tcBorders>
                  <w:shd w:val="clear" w:color="auto" w:fill="DBE5F1"/>
                  <w:vAlign w:val="bottom"/>
                </w:tcPr>
                <w:p w14:paraId="2E7318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0,198</w:t>
                  </w:r>
                </w:p>
              </w:tc>
            </w:tr>
            <w:tr w:rsidR="00600DEE" w14:paraId="511AFB8B"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22A71D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002E597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7,709</w:t>
                  </w:r>
                </w:p>
              </w:tc>
              <w:tc>
                <w:tcPr>
                  <w:tcW w:w="1767" w:type="dxa"/>
                  <w:tcBorders>
                    <w:top w:val="single" w:sz="4" w:space="0" w:color="FFFFFF"/>
                    <w:left w:val="single" w:sz="4" w:space="0" w:color="FFFFFF"/>
                    <w:bottom w:val="single" w:sz="4" w:space="0" w:color="FFFFFF"/>
                  </w:tcBorders>
                  <w:shd w:val="clear" w:color="auto" w:fill="DBE5F1"/>
                  <w:vAlign w:val="bottom"/>
                </w:tcPr>
                <w:p w14:paraId="0D2B4C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0,174</w:t>
                  </w:r>
                </w:p>
              </w:tc>
            </w:tr>
            <w:tr w:rsidR="00600DEE" w14:paraId="1BF418AD"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1330D5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538DEE9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7,039</w:t>
                  </w:r>
                </w:p>
              </w:tc>
              <w:tc>
                <w:tcPr>
                  <w:tcW w:w="1767" w:type="dxa"/>
                  <w:tcBorders>
                    <w:top w:val="single" w:sz="4" w:space="0" w:color="FFFFFF"/>
                    <w:left w:val="single" w:sz="4" w:space="0" w:color="FFFFFF"/>
                    <w:bottom w:val="single" w:sz="4" w:space="0" w:color="FFFFFF"/>
                  </w:tcBorders>
                  <w:shd w:val="clear" w:color="auto" w:fill="DBE5F1"/>
                  <w:vAlign w:val="bottom"/>
                </w:tcPr>
                <w:p w14:paraId="070668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0,159</w:t>
                  </w:r>
                </w:p>
              </w:tc>
            </w:tr>
            <w:tr w:rsidR="00600DEE" w14:paraId="4EB5EF53"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E6370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47E94FA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6,678</w:t>
                  </w:r>
                </w:p>
              </w:tc>
              <w:tc>
                <w:tcPr>
                  <w:tcW w:w="1767" w:type="dxa"/>
                  <w:tcBorders>
                    <w:top w:val="single" w:sz="4" w:space="0" w:color="FFFFFF"/>
                    <w:left w:val="single" w:sz="4" w:space="0" w:color="FFFFFF"/>
                    <w:bottom w:val="single" w:sz="4" w:space="0" w:color="FFFFFF"/>
                  </w:tcBorders>
                  <w:shd w:val="clear" w:color="auto" w:fill="DBE5F1"/>
                  <w:vAlign w:val="bottom"/>
                </w:tcPr>
                <w:p w14:paraId="5CA2056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0,151</w:t>
                  </w:r>
                </w:p>
              </w:tc>
            </w:tr>
            <w:tr w:rsidR="00600DEE" w14:paraId="6ACE3E25"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4AB11C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21D4E1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6,575</w:t>
                  </w:r>
                </w:p>
              </w:tc>
              <w:tc>
                <w:tcPr>
                  <w:tcW w:w="1767" w:type="dxa"/>
                  <w:tcBorders>
                    <w:top w:val="single" w:sz="4" w:space="0" w:color="FFFFFF"/>
                    <w:left w:val="single" w:sz="4" w:space="0" w:color="FFFFFF"/>
                    <w:bottom w:val="single" w:sz="4" w:space="0" w:color="FFFFFF"/>
                  </w:tcBorders>
                  <w:shd w:val="clear" w:color="auto" w:fill="DBE5F1"/>
                  <w:vAlign w:val="bottom"/>
                </w:tcPr>
                <w:p w14:paraId="7ED5CAB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0,148</w:t>
                  </w:r>
                </w:p>
              </w:tc>
            </w:tr>
            <w:tr w:rsidR="00600DEE" w14:paraId="209BA813"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532FAD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0FCEE0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6,696</w:t>
                  </w:r>
                </w:p>
              </w:tc>
              <w:tc>
                <w:tcPr>
                  <w:tcW w:w="1767" w:type="dxa"/>
                  <w:tcBorders>
                    <w:top w:val="single" w:sz="4" w:space="0" w:color="FFFFFF"/>
                    <w:left w:val="single" w:sz="4" w:space="0" w:color="FFFFFF"/>
                    <w:bottom w:val="single" w:sz="4" w:space="0" w:color="FFFFFF"/>
                  </w:tcBorders>
                  <w:shd w:val="clear" w:color="auto" w:fill="DBE5F1"/>
                  <w:vAlign w:val="bottom"/>
                </w:tcPr>
                <w:p w14:paraId="0E7459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0,151</w:t>
                  </w:r>
                </w:p>
              </w:tc>
            </w:tr>
            <w:tr w:rsidR="00600DEE" w14:paraId="2189F279"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E8BA97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1EEFDA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7,019</w:t>
                  </w:r>
                </w:p>
              </w:tc>
              <w:tc>
                <w:tcPr>
                  <w:tcW w:w="1767" w:type="dxa"/>
                  <w:tcBorders>
                    <w:top w:val="single" w:sz="4" w:space="0" w:color="FFFFFF"/>
                    <w:left w:val="single" w:sz="4" w:space="0" w:color="FFFFFF"/>
                    <w:bottom w:val="single" w:sz="4" w:space="0" w:color="FFFFFF"/>
                  </w:tcBorders>
                  <w:shd w:val="clear" w:color="auto" w:fill="DBE5F1"/>
                  <w:vAlign w:val="bottom"/>
                </w:tcPr>
                <w:p w14:paraId="72A0E5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0,158</w:t>
                  </w:r>
                </w:p>
              </w:tc>
            </w:tr>
            <w:tr w:rsidR="00600DEE" w14:paraId="3F2E67F5"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427DF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48BBDF6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7,524</w:t>
                  </w:r>
                </w:p>
              </w:tc>
              <w:tc>
                <w:tcPr>
                  <w:tcW w:w="1767" w:type="dxa"/>
                  <w:tcBorders>
                    <w:top w:val="single" w:sz="4" w:space="0" w:color="FFFFFF"/>
                    <w:left w:val="single" w:sz="4" w:space="0" w:color="FFFFFF"/>
                    <w:bottom w:val="single" w:sz="4" w:space="0" w:color="FFFFFF"/>
                  </w:tcBorders>
                  <w:shd w:val="clear" w:color="auto" w:fill="DBE5F1"/>
                  <w:vAlign w:val="bottom"/>
                </w:tcPr>
                <w:p w14:paraId="6A75AB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0,170</w:t>
                  </w:r>
                </w:p>
              </w:tc>
            </w:tr>
            <w:tr w:rsidR="00600DEE" w14:paraId="481A977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25701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0EF414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8,198</w:t>
                  </w:r>
                </w:p>
              </w:tc>
              <w:tc>
                <w:tcPr>
                  <w:tcW w:w="1767" w:type="dxa"/>
                  <w:tcBorders>
                    <w:top w:val="single" w:sz="4" w:space="0" w:color="FFFFFF"/>
                    <w:left w:val="single" w:sz="4" w:space="0" w:color="FFFFFF"/>
                    <w:bottom w:val="single" w:sz="4" w:space="0" w:color="FFFFFF"/>
                  </w:tcBorders>
                  <w:shd w:val="clear" w:color="auto" w:fill="DBE5F1"/>
                  <w:vAlign w:val="bottom"/>
                </w:tcPr>
                <w:p w14:paraId="44C4AC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0,185</w:t>
                  </w:r>
                </w:p>
              </w:tc>
            </w:tr>
            <w:tr w:rsidR="00600DEE" w14:paraId="21CFE1D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F30CE4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4E672A4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9,029</w:t>
                  </w:r>
                </w:p>
              </w:tc>
              <w:tc>
                <w:tcPr>
                  <w:tcW w:w="1767" w:type="dxa"/>
                  <w:tcBorders>
                    <w:top w:val="single" w:sz="4" w:space="0" w:color="FFFFFF"/>
                    <w:left w:val="single" w:sz="4" w:space="0" w:color="FFFFFF"/>
                    <w:bottom w:val="single" w:sz="4" w:space="0" w:color="FFFFFF"/>
                  </w:tcBorders>
                  <w:shd w:val="clear" w:color="auto" w:fill="DBE5F1"/>
                  <w:vAlign w:val="bottom"/>
                </w:tcPr>
                <w:p w14:paraId="66CEAD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0,204</w:t>
                  </w:r>
                </w:p>
              </w:tc>
            </w:tr>
          </w:tbl>
          <w:p w14:paraId="525668EE"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481C7DCC"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54440E2D"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3267C60B"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7F66CE42"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76F654DF"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4B462513"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3F1702B1" w14:textId="6322DB5B" w:rsidR="00600DEE" w:rsidRPr="00880D09" w:rsidRDefault="00641FB5">
            <w:pPr>
              <w:pBdr>
                <w:top w:val="nil"/>
                <w:left w:val="nil"/>
                <w:bottom w:val="nil"/>
                <w:right w:val="nil"/>
                <w:between w:val="nil"/>
              </w:pBdr>
              <w:spacing w:before="120"/>
              <w:jc w:val="both"/>
              <w:rPr>
                <w:rFonts w:ascii="Calibri" w:eastAsia="Calibri" w:hAnsi="Calibri" w:cs="Calibri"/>
                <w:b/>
                <w:color w:val="000000"/>
                <w:sz w:val="20"/>
                <w:szCs w:val="20"/>
              </w:rPr>
            </w:pPr>
            <w:r w:rsidRPr="00880D09">
              <w:rPr>
                <w:rFonts w:ascii="Calibri" w:eastAsia="Calibri" w:hAnsi="Calibri" w:cs="Calibri"/>
                <w:b/>
                <w:color w:val="000000"/>
                <w:sz w:val="20"/>
                <w:szCs w:val="20"/>
              </w:rPr>
              <w:t>Pojazdy ciężarowe spalinowe (HGV)</w:t>
            </w:r>
          </w:p>
          <w:p w14:paraId="70CF0C20" w14:textId="77777777" w:rsidR="00600DEE" w:rsidRDefault="00600DEE">
            <w:pPr>
              <w:jc w:val="both"/>
              <w:rPr>
                <w:rFonts w:ascii="Calibri" w:eastAsia="Calibri" w:hAnsi="Calibri" w:cs="Calibri"/>
                <w:sz w:val="20"/>
                <w:szCs w:val="20"/>
              </w:rPr>
            </w:pPr>
          </w:p>
          <w:p w14:paraId="521120EF" w14:textId="0FEFB999" w:rsidR="00600DEE" w:rsidRDefault="00641FB5">
            <w:pPr>
              <w:jc w:val="both"/>
              <w:rPr>
                <w:rFonts w:ascii="Calibri" w:eastAsia="Calibri" w:hAnsi="Calibri" w:cs="Calibri"/>
                <w:sz w:val="20"/>
                <w:szCs w:val="20"/>
              </w:rPr>
            </w:pPr>
            <w:r>
              <w:rPr>
                <w:rFonts w:ascii="Calibri" w:eastAsia="Calibri" w:hAnsi="Calibri" w:cs="Calibri"/>
                <w:sz w:val="20"/>
                <w:szCs w:val="20"/>
              </w:rPr>
              <w:t xml:space="preserve">Niniejsze dane opierają się na opracowaniu „EMEP/EEA </w:t>
            </w:r>
            <w:proofErr w:type="spellStart"/>
            <w:r>
              <w:rPr>
                <w:rFonts w:ascii="Calibri" w:eastAsia="Calibri" w:hAnsi="Calibri" w:cs="Calibri"/>
                <w:sz w:val="20"/>
                <w:szCs w:val="20"/>
              </w:rPr>
              <w:t>air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pollutant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emission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inventory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guidebook</w:t>
            </w:r>
            <w:proofErr w:type="spellEnd"/>
            <w:r>
              <w:rPr>
                <w:rFonts w:ascii="Calibri" w:eastAsia="Calibri" w:hAnsi="Calibri" w:cs="Calibri"/>
                <w:sz w:val="20"/>
                <w:szCs w:val="20"/>
              </w:rPr>
              <w:t xml:space="preserve">, 2019, 1.A.3.b.i-iv Road Transport Appendix 4 </w:t>
            </w:r>
            <w:proofErr w:type="spellStart"/>
            <w:r>
              <w:rPr>
                <w:rFonts w:ascii="Calibri" w:eastAsia="Calibri" w:hAnsi="Calibri" w:cs="Calibri"/>
                <w:sz w:val="20"/>
                <w:szCs w:val="20"/>
              </w:rPr>
              <w:t>Emission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Factors</w:t>
            </w:r>
            <w:proofErr w:type="spellEnd"/>
            <w:r>
              <w:rPr>
                <w:rFonts w:ascii="Calibri" w:eastAsia="Calibri" w:hAnsi="Calibri" w:cs="Calibri"/>
                <w:sz w:val="20"/>
                <w:szCs w:val="20"/>
              </w:rPr>
              <w:t xml:space="preserve"> 2019 (Sept. 2020)” i przygotowano je na bazie analogicznych założeń, jak w przypadku LV. Skład polskiej floty HGV zaczerpnięto z tego samego źródła, co w przypadku LV. Poniżej przedstawiono średnie koszty zużycia paliwa przez HGV</w:t>
            </w:r>
            <w:r w:rsidR="00C65DA8">
              <w:rPr>
                <w:rFonts w:ascii="Calibri" w:eastAsia="Calibri" w:hAnsi="Calibri" w:cs="Calibri"/>
                <w:sz w:val="20"/>
                <w:szCs w:val="20"/>
              </w:rPr>
              <w:t xml:space="preserve"> </w:t>
            </w:r>
            <w:r w:rsidR="00C65DA8" w:rsidRPr="00C65DA8">
              <w:rPr>
                <w:rFonts w:ascii="Calibri" w:eastAsia="Calibri" w:hAnsi="Calibri" w:cs="Calibri"/>
                <w:sz w:val="20"/>
                <w:szCs w:val="20"/>
              </w:rPr>
              <w:t>w cenach na początek roku 2020</w:t>
            </w:r>
            <w:r>
              <w:rPr>
                <w:rFonts w:ascii="Calibri" w:eastAsia="Calibri" w:hAnsi="Calibri" w:cs="Calibri"/>
                <w:sz w:val="20"/>
                <w:szCs w:val="20"/>
              </w:rPr>
              <w:t>:</w:t>
            </w:r>
          </w:p>
          <w:p w14:paraId="76294DA8" w14:textId="77777777" w:rsidR="00600DEE" w:rsidRDefault="00600DEE">
            <w:pPr>
              <w:jc w:val="both"/>
              <w:rPr>
                <w:rFonts w:ascii="Calibri" w:eastAsia="Calibri" w:hAnsi="Calibri" w:cs="Calibri"/>
                <w:sz w:val="20"/>
                <w:szCs w:val="20"/>
                <w:u w:val="single"/>
              </w:rPr>
            </w:pPr>
          </w:p>
          <w:tbl>
            <w:tblPr>
              <w:tblStyle w:val="affffffffffffff5"/>
              <w:tblW w:w="5809" w:type="dxa"/>
              <w:tblLayout w:type="fixed"/>
              <w:tblLook w:val="0000" w:firstRow="0" w:lastRow="0" w:firstColumn="0" w:lastColumn="0" w:noHBand="0" w:noVBand="0"/>
            </w:tblPr>
            <w:tblGrid>
              <w:gridCol w:w="2025"/>
              <w:gridCol w:w="2017"/>
              <w:gridCol w:w="1767"/>
            </w:tblGrid>
            <w:tr w:rsidR="00600DEE" w14:paraId="6D60C8C5" w14:textId="77777777" w:rsidTr="00173EC8">
              <w:trPr>
                <w:trHeight w:val="907"/>
              </w:trPr>
              <w:tc>
                <w:tcPr>
                  <w:tcW w:w="2025" w:type="dxa"/>
                  <w:vMerge w:val="restart"/>
                  <w:tcBorders>
                    <w:top w:val="single" w:sz="4" w:space="0" w:color="FFFFFF"/>
                    <w:left w:val="single" w:sz="4" w:space="0" w:color="FFFFFF"/>
                  </w:tcBorders>
                  <w:shd w:val="clear" w:color="auto" w:fill="A6A6A6"/>
                  <w:vAlign w:val="center"/>
                </w:tcPr>
                <w:p w14:paraId="2995284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Prędkość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5A363A2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Zużycie paliwa dla HGV – teren płaski (nawierzchnia </w:t>
                  </w:r>
                  <w:proofErr w:type="spellStart"/>
                  <w:r>
                    <w:rPr>
                      <w:rFonts w:ascii="Calibri" w:eastAsia="Calibri" w:hAnsi="Calibri" w:cs="Calibri"/>
                      <w:b/>
                      <w:color w:val="FFFFFF"/>
                      <w:sz w:val="18"/>
                      <w:szCs w:val="18"/>
                    </w:rPr>
                    <w:t>nowowybudowana</w:t>
                  </w:r>
                  <w:proofErr w:type="spellEnd"/>
                  <w:r>
                    <w:rPr>
                      <w:rFonts w:ascii="Calibri" w:eastAsia="Calibri" w:hAnsi="Calibri" w:cs="Calibri"/>
                      <w:b/>
                      <w:color w:val="FFFFFF"/>
                      <w:sz w:val="18"/>
                      <w:szCs w:val="18"/>
                    </w:rPr>
                    <w:t xml:space="preserve"> /wyremontowana)</w:t>
                  </w:r>
                </w:p>
              </w:tc>
            </w:tr>
            <w:tr w:rsidR="00600DEE" w14:paraId="11E3B7FB" w14:textId="77777777">
              <w:trPr>
                <w:trHeight w:val="284"/>
              </w:trPr>
              <w:tc>
                <w:tcPr>
                  <w:tcW w:w="2025" w:type="dxa"/>
                  <w:vMerge/>
                  <w:tcBorders>
                    <w:top w:val="single" w:sz="4" w:space="0" w:color="FFFFFF"/>
                    <w:left w:val="single" w:sz="4" w:space="0" w:color="FFFFFF"/>
                  </w:tcBorders>
                  <w:shd w:val="clear" w:color="auto" w:fill="A6A6A6"/>
                  <w:vAlign w:val="center"/>
                </w:tcPr>
                <w:p w14:paraId="35032407"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017" w:type="dxa"/>
                  <w:tcBorders>
                    <w:top w:val="single" w:sz="4" w:space="0" w:color="FFFFFF"/>
                    <w:left w:val="single" w:sz="4" w:space="0" w:color="FFFFFF"/>
                    <w:bottom w:val="single" w:sz="4" w:space="0" w:color="FFFFFF"/>
                  </w:tcBorders>
                  <w:shd w:val="clear" w:color="auto" w:fill="A6A6A6"/>
                  <w:vAlign w:val="center"/>
                </w:tcPr>
                <w:p w14:paraId="548A012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4D5A07A2" w14:textId="78AC975C" w:rsidR="00600DEE" w:rsidRDefault="00C65DA8">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PLN/</w:t>
                  </w:r>
                  <w:proofErr w:type="spellStart"/>
                  <w:r>
                    <w:rPr>
                      <w:rFonts w:ascii="Calibri" w:eastAsia="Calibri" w:hAnsi="Calibri" w:cs="Calibri"/>
                      <w:b/>
                      <w:color w:val="FFFFFF"/>
                      <w:sz w:val="18"/>
                      <w:szCs w:val="18"/>
                    </w:rPr>
                    <w:t>poj</w:t>
                  </w:r>
                  <w:proofErr w:type="spellEnd"/>
                  <w:r>
                    <w:rPr>
                      <w:rFonts w:ascii="Calibri" w:eastAsia="Calibri" w:hAnsi="Calibri" w:cs="Calibri"/>
                      <w:b/>
                      <w:color w:val="FFFFFF"/>
                      <w:sz w:val="18"/>
                      <w:szCs w:val="18"/>
                    </w:rPr>
                    <w:t>-</w:t>
                  </w:r>
                  <w:r w:rsidR="00641FB5">
                    <w:rPr>
                      <w:rFonts w:ascii="Calibri" w:eastAsia="Calibri" w:hAnsi="Calibri" w:cs="Calibri"/>
                      <w:b/>
                      <w:color w:val="FFFFFF"/>
                      <w:sz w:val="18"/>
                      <w:szCs w:val="18"/>
                    </w:rPr>
                    <w:t>km</w:t>
                  </w:r>
                </w:p>
              </w:tc>
            </w:tr>
            <w:tr w:rsidR="00600DEE" w14:paraId="7AF1A9B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815E1C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2A82DD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61,594</w:t>
                  </w:r>
                </w:p>
              </w:tc>
              <w:tc>
                <w:tcPr>
                  <w:tcW w:w="1767" w:type="dxa"/>
                  <w:tcBorders>
                    <w:top w:val="single" w:sz="4" w:space="0" w:color="FFFFFF"/>
                    <w:left w:val="single" w:sz="4" w:space="0" w:color="FFFFFF"/>
                    <w:bottom w:val="single" w:sz="4" w:space="0" w:color="FFFFFF"/>
                  </w:tcBorders>
                  <w:shd w:val="clear" w:color="auto" w:fill="DBE5F1"/>
                  <w:vAlign w:val="bottom"/>
                </w:tcPr>
                <w:p w14:paraId="79883F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1,524</w:t>
                  </w:r>
                </w:p>
              </w:tc>
            </w:tr>
            <w:tr w:rsidR="00600DEE" w14:paraId="73B607D3"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408C09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7ED195C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34,305</w:t>
                  </w:r>
                </w:p>
              </w:tc>
              <w:tc>
                <w:tcPr>
                  <w:tcW w:w="1767" w:type="dxa"/>
                  <w:tcBorders>
                    <w:top w:val="single" w:sz="4" w:space="0" w:color="FFFFFF"/>
                    <w:left w:val="single" w:sz="4" w:space="0" w:color="FFFFFF"/>
                    <w:bottom w:val="single" w:sz="4" w:space="0" w:color="FFFFFF"/>
                  </w:tcBorders>
                  <w:shd w:val="clear" w:color="auto" w:fill="DBE5F1"/>
                  <w:vAlign w:val="bottom"/>
                </w:tcPr>
                <w:p w14:paraId="496CF31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0,849</w:t>
                  </w:r>
                </w:p>
              </w:tc>
            </w:tr>
            <w:tr w:rsidR="00600DEE" w14:paraId="70CBA1F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957276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0F8EAC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26,090</w:t>
                  </w:r>
                </w:p>
              </w:tc>
              <w:tc>
                <w:tcPr>
                  <w:tcW w:w="1767" w:type="dxa"/>
                  <w:tcBorders>
                    <w:top w:val="single" w:sz="4" w:space="0" w:color="FFFFFF"/>
                    <w:left w:val="single" w:sz="4" w:space="0" w:color="FFFFFF"/>
                    <w:bottom w:val="single" w:sz="4" w:space="0" w:color="FFFFFF"/>
                  </w:tcBorders>
                  <w:shd w:val="clear" w:color="auto" w:fill="DBE5F1"/>
                  <w:vAlign w:val="bottom"/>
                </w:tcPr>
                <w:p w14:paraId="6F8232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0,646</w:t>
                  </w:r>
                </w:p>
              </w:tc>
            </w:tr>
            <w:tr w:rsidR="00600DEE" w14:paraId="5F38214F"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4F1174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6BBA778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21,921</w:t>
                  </w:r>
                </w:p>
              </w:tc>
              <w:tc>
                <w:tcPr>
                  <w:tcW w:w="1767" w:type="dxa"/>
                  <w:tcBorders>
                    <w:top w:val="single" w:sz="4" w:space="0" w:color="FFFFFF"/>
                    <w:left w:val="single" w:sz="4" w:space="0" w:color="FFFFFF"/>
                    <w:bottom w:val="single" w:sz="4" w:space="0" w:color="FFFFFF"/>
                  </w:tcBorders>
                  <w:shd w:val="clear" w:color="auto" w:fill="DBE5F1"/>
                  <w:vAlign w:val="bottom"/>
                </w:tcPr>
                <w:p w14:paraId="6B88191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0,542</w:t>
                  </w:r>
                </w:p>
              </w:tc>
            </w:tr>
            <w:tr w:rsidR="00600DEE" w14:paraId="7A1F24E6"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762C15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729F36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19,632</w:t>
                  </w:r>
                </w:p>
              </w:tc>
              <w:tc>
                <w:tcPr>
                  <w:tcW w:w="1767" w:type="dxa"/>
                  <w:tcBorders>
                    <w:top w:val="single" w:sz="4" w:space="0" w:color="FFFFFF"/>
                    <w:left w:val="single" w:sz="4" w:space="0" w:color="FFFFFF"/>
                    <w:bottom w:val="single" w:sz="4" w:space="0" w:color="FFFFFF"/>
                  </w:tcBorders>
                  <w:shd w:val="clear" w:color="auto" w:fill="DBE5F1"/>
                  <w:vAlign w:val="bottom"/>
                </w:tcPr>
                <w:p w14:paraId="6100E3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0,486</w:t>
                  </w:r>
                </w:p>
              </w:tc>
            </w:tr>
            <w:tr w:rsidR="00600DEE" w14:paraId="36612ACC"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7D77BA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40AF5EF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18,414</w:t>
                  </w:r>
                </w:p>
              </w:tc>
              <w:tc>
                <w:tcPr>
                  <w:tcW w:w="1767" w:type="dxa"/>
                  <w:tcBorders>
                    <w:top w:val="single" w:sz="4" w:space="0" w:color="FFFFFF"/>
                    <w:left w:val="single" w:sz="4" w:space="0" w:color="FFFFFF"/>
                    <w:bottom w:val="single" w:sz="4" w:space="0" w:color="FFFFFF"/>
                  </w:tcBorders>
                  <w:shd w:val="clear" w:color="auto" w:fill="DBE5F1"/>
                  <w:vAlign w:val="bottom"/>
                </w:tcPr>
                <w:p w14:paraId="22DA93B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0,456</w:t>
                  </w:r>
                </w:p>
              </w:tc>
            </w:tr>
            <w:tr w:rsidR="00600DEE" w14:paraId="3B9547DA"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48B395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2C849E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17,843</w:t>
                  </w:r>
                </w:p>
              </w:tc>
              <w:tc>
                <w:tcPr>
                  <w:tcW w:w="1767" w:type="dxa"/>
                  <w:tcBorders>
                    <w:top w:val="single" w:sz="4" w:space="0" w:color="FFFFFF"/>
                    <w:left w:val="single" w:sz="4" w:space="0" w:color="FFFFFF"/>
                    <w:bottom w:val="single" w:sz="4" w:space="0" w:color="FFFFFF"/>
                  </w:tcBorders>
                  <w:shd w:val="clear" w:color="auto" w:fill="DBE5F1"/>
                  <w:vAlign w:val="bottom"/>
                </w:tcPr>
                <w:p w14:paraId="76C9ECF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0,441</w:t>
                  </w:r>
                </w:p>
              </w:tc>
            </w:tr>
            <w:tr w:rsidR="00600DEE" w14:paraId="76609160"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8F25A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3498E81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17,687</w:t>
                  </w:r>
                </w:p>
              </w:tc>
              <w:tc>
                <w:tcPr>
                  <w:tcW w:w="1767" w:type="dxa"/>
                  <w:tcBorders>
                    <w:top w:val="single" w:sz="4" w:space="0" w:color="FFFFFF"/>
                    <w:left w:val="single" w:sz="4" w:space="0" w:color="FFFFFF"/>
                    <w:bottom w:val="single" w:sz="4" w:space="0" w:color="FFFFFF"/>
                  </w:tcBorders>
                  <w:shd w:val="clear" w:color="auto" w:fill="DBE5F1"/>
                  <w:vAlign w:val="bottom"/>
                </w:tcPr>
                <w:p w14:paraId="690B6C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0,438</w:t>
                  </w:r>
                </w:p>
              </w:tc>
            </w:tr>
            <w:tr w:rsidR="00600DEE" w14:paraId="6F3D6DC0"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1B618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71E6D1C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17,861</w:t>
                  </w:r>
                </w:p>
              </w:tc>
              <w:tc>
                <w:tcPr>
                  <w:tcW w:w="1767" w:type="dxa"/>
                  <w:tcBorders>
                    <w:top w:val="single" w:sz="4" w:space="0" w:color="FFFFFF"/>
                    <w:left w:val="single" w:sz="4" w:space="0" w:color="FFFFFF"/>
                    <w:bottom w:val="single" w:sz="4" w:space="0" w:color="FFFFFF"/>
                  </w:tcBorders>
                  <w:shd w:val="clear" w:color="auto" w:fill="DBE5F1"/>
                  <w:vAlign w:val="bottom"/>
                </w:tcPr>
                <w:p w14:paraId="3F099F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0,442</w:t>
                  </w:r>
                </w:p>
              </w:tc>
            </w:tr>
            <w:tr w:rsidR="00600DEE" w14:paraId="7E2B3A66"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2A85A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2FA5EF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18,524</w:t>
                  </w:r>
                </w:p>
              </w:tc>
              <w:tc>
                <w:tcPr>
                  <w:tcW w:w="1767" w:type="dxa"/>
                  <w:tcBorders>
                    <w:top w:val="single" w:sz="4" w:space="0" w:color="FFFFFF"/>
                    <w:left w:val="single" w:sz="4" w:space="0" w:color="FFFFFF"/>
                    <w:bottom w:val="single" w:sz="4" w:space="0" w:color="FFFFFF"/>
                  </w:tcBorders>
                  <w:shd w:val="clear" w:color="auto" w:fill="DBE5F1"/>
                  <w:vAlign w:val="bottom"/>
                </w:tcPr>
                <w:p w14:paraId="0BF2D6E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0,458</w:t>
                  </w:r>
                </w:p>
              </w:tc>
            </w:tr>
            <w:tr w:rsidR="00600DEE" w14:paraId="687068F5"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5B6C5D2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673DA16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21,322</w:t>
                  </w:r>
                </w:p>
              </w:tc>
              <w:tc>
                <w:tcPr>
                  <w:tcW w:w="1767" w:type="dxa"/>
                  <w:tcBorders>
                    <w:top w:val="single" w:sz="4" w:space="0" w:color="FFFFFF"/>
                    <w:left w:val="single" w:sz="4" w:space="0" w:color="FFFFFF"/>
                    <w:bottom w:val="single" w:sz="4" w:space="0" w:color="FFFFFF"/>
                  </w:tcBorders>
                  <w:shd w:val="clear" w:color="auto" w:fill="DBE5F1"/>
                  <w:vAlign w:val="bottom"/>
                </w:tcPr>
                <w:p w14:paraId="426644F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0,528</w:t>
                  </w:r>
                </w:p>
              </w:tc>
            </w:tr>
            <w:tr w:rsidR="00600DEE" w14:paraId="5184EB0C"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B7765C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6E8971C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24,121</w:t>
                  </w:r>
                </w:p>
              </w:tc>
              <w:tc>
                <w:tcPr>
                  <w:tcW w:w="1767" w:type="dxa"/>
                  <w:tcBorders>
                    <w:top w:val="single" w:sz="4" w:space="0" w:color="FFFFFF"/>
                    <w:left w:val="single" w:sz="4" w:space="0" w:color="FFFFFF"/>
                    <w:bottom w:val="single" w:sz="4" w:space="0" w:color="FFFFFF"/>
                  </w:tcBorders>
                  <w:shd w:val="clear" w:color="auto" w:fill="DBE5F1"/>
                  <w:vAlign w:val="bottom"/>
                </w:tcPr>
                <w:p w14:paraId="29DE558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0,597</w:t>
                  </w:r>
                </w:p>
              </w:tc>
            </w:tr>
            <w:tr w:rsidR="00600DEE" w14:paraId="5A01896E"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33A09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148FDF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26,919</w:t>
                  </w:r>
                </w:p>
              </w:tc>
              <w:tc>
                <w:tcPr>
                  <w:tcW w:w="1767" w:type="dxa"/>
                  <w:tcBorders>
                    <w:top w:val="single" w:sz="4" w:space="0" w:color="FFFFFF"/>
                    <w:left w:val="single" w:sz="4" w:space="0" w:color="FFFFFF"/>
                    <w:bottom w:val="single" w:sz="4" w:space="0" w:color="FFFFFF"/>
                  </w:tcBorders>
                  <w:shd w:val="clear" w:color="auto" w:fill="DBE5F1"/>
                  <w:vAlign w:val="bottom"/>
                </w:tcPr>
                <w:p w14:paraId="6E80B0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0,666</w:t>
                  </w:r>
                </w:p>
              </w:tc>
            </w:tr>
            <w:tr w:rsidR="00600DEE" w14:paraId="0ED074F6"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8021F0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546BF4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29,718</w:t>
                  </w:r>
                </w:p>
              </w:tc>
              <w:tc>
                <w:tcPr>
                  <w:tcW w:w="1767" w:type="dxa"/>
                  <w:tcBorders>
                    <w:top w:val="single" w:sz="4" w:space="0" w:color="FFFFFF"/>
                    <w:left w:val="single" w:sz="4" w:space="0" w:color="FFFFFF"/>
                    <w:bottom w:val="single" w:sz="4" w:space="0" w:color="FFFFFF"/>
                  </w:tcBorders>
                  <w:shd w:val="clear" w:color="auto" w:fill="DBE5F1"/>
                  <w:vAlign w:val="bottom"/>
                </w:tcPr>
                <w:p w14:paraId="4C9F1A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0,735</w:t>
                  </w:r>
                </w:p>
              </w:tc>
            </w:tr>
          </w:tbl>
          <w:p w14:paraId="6E23C7B9" w14:textId="77777777" w:rsidR="00600DEE" w:rsidRDefault="00600DEE">
            <w:pPr>
              <w:jc w:val="both"/>
              <w:rPr>
                <w:rFonts w:ascii="Calibri" w:eastAsia="Calibri" w:hAnsi="Calibri" w:cs="Calibri"/>
                <w:sz w:val="20"/>
                <w:szCs w:val="20"/>
                <w:u w:val="single"/>
              </w:rPr>
            </w:pPr>
          </w:p>
          <w:p w14:paraId="6DB1F38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Pozostałe koszty:</w:t>
            </w:r>
          </w:p>
          <w:p w14:paraId="5ED93F10" w14:textId="541CFF0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Dodatkowo, kolejny składnik kosztów (nazywany także kosztem posiadania pojazdu) oblicza się z uwzględnieniem amortyzacji pojazdu i innych kosztów (np. zużycie opon, oleju, koszty rejestracji pojazdów, itp.). Dane wykorzystywane do oszacowania tych kosztów bazują na odpowiednich materiałach źródłowych dotyczących aktualnej polskiej floty pojazdów podanych poniżej.</w:t>
            </w:r>
          </w:p>
          <w:p w14:paraId="776FA0A7" w14:textId="77777777" w:rsidR="00173EC8" w:rsidRDefault="00173EC8">
            <w:pPr>
              <w:pBdr>
                <w:top w:val="nil"/>
                <w:left w:val="nil"/>
                <w:bottom w:val="nil"/>
                <w:right w:val="nil"/>
                <w:between w:val="nil"/>
              </w:pBdr>
              <w:spacing w:before="120"/>
              <w:jc w:val="both"/>
              <w:rPr>
                <w:rFonts w:ascii="Calibri" w:eastAsia="Calibri" w:hAnsi="Calibri" w:cs="Calibri"/>
                <w:color w:val="000000"/>
                <w:sz w:val="20"/>
                <w:szCs w:val="20"/>
              </w:rPr>
            </w:pPr>
          </w:p>
          <w:p w14:paraId="4F5536BB" w14:textId="4E7303CF"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Wyniki obliczeń dla spalinowych LV </w:t>
            </w:r>
            <w:r w:rsidR="00C65DA8" w:rsidRPr="00C65DA8">
              <w:rPr>
                <w:rFonts w:ascii="Calibri" w:eastAsia="Calibri" w:hAnsi="Calibri" w:cs="Calibri"/>
                <w:color w:val="000000"/>
                <w:sz w:val="20"/>
                <w:szCs w:val="20"/>
              </w:rPr>
              <w:t>w cenach na początek roku 2020 są</w:t>
            </w:r>
            <w:r>
              <w:rPr>
                <w:rFonts w:ascii="Calibri" w:eastAsia="Calibri" w:hAnsi="Calibri" w:cs="Calibri"/>
                <w:color w:val="000000"/>
                <w:sz w:val="20"/>
                <w:szCs w:val="20"/>
              </w:rPr>
              <w:t xml:space="preserve"> następujące:</w:t>
            </w:r>
          </w:p>
          <w:p w14:paraId="15F1F5F3" w14:textId="77777777" w:rsidR="00A3175F" w:rsidRDefault="00A3175F">
            <w:pPr>
              <w:pBdr>
                <w:top w:val="nil"/>
                <w:left w:val="nil"/>
                <w:bottom w:val="nil"/>
                <w:right w:val="nil"/>
                <w:between w:val="nil"/>
              </w:pBdr>
              <w:spacing w:before="120" w:after="120"/>
              <w:jc w:val="both"/>
              <w:rPr>
                <w:rFonts w:ascii="Calibri" w:eastAsia="Calibri" w:hAnsi="Calibri" w:cs="Calibri"/>
                <w:color w:val="000000"/>
                <w:sz w:val="20"/>
                <w:szCs w:val="20"/>
              </w:rPr>
            </w:pPr>
          </w:p>
          <w:tbl>
            <w:tblPr>
              <w:tblStyle w:val="affffffffffffff6"/>
              <w:tblW w:w="6264" w:type="dxa"/>
              <w:tblLayout w:type="fixed"/>
              <w:tblLook w:val="0000" w:firstRow="0" w:lastRow="0" w:firstColumn="0" w:lastColumn="0" w:noHBand="0" w:noVBand="0"/>
            </w:tblPr>
            <w:tblGrid>
              <w:gridCol w:w="2437"/>
              <w:gridCol w:w="2268"/>
              <w:gridCol w:w="1559"/>
            </w:tblGrid>
            <w:tr w:rsidR="00600DEE" w14:paraId="668840ED" w14:textId="77777777" w:rsidTr="0093229F">
              <w:trPr>
                <w:trHeight w:hRule="exact" w:val="794"/>
              </w:trPr>
              <w:tc>
                <w:tcPr>
                  <w:tcW w:w="2437" w:type="dxa"/>
                  <w:tcBorders>
                    <w:top w:val="single" w:sz="4" w:space="0" w:color="FFFFFF"/>
                    <w:left w:val="single" w:sz="4" w:space="0" w:color="FFFFFF"/>
                    <w:bottom w:val="single" w:sz="4" w:space="0" w:color="FFFFFF"/>
                  </w:tcBorders>
                  <w:shd w:val="clear" w:color="auto" w:fill="A6A6A6"/>
                  <w:vAlign w:val="center"/>
                </w:tcPr>
                <w:p w14:paraId="13218FAF" w14:textId="77777777" w:rsidR="00600DEE" w:rsidRDefault="00600DEE">
                  <w:pPr>
                    <w:spacing w:before="20"/>
                    <w:jc w:val="center"/>
                    <w:rPr>
                      <w:rFonts w:ascii="Calibri" w:eastAsia="Calibri" w:hAnsi="Calibri" w:cs="Calibri"/>
                      <w:b/>
                      <w:color w:val="FFFFFF"/>
                      <w:sz w:val="18"/>
                      <w:szCs w:val="18"/>
                    </w:rPr>
                  </w:pPr>
                </w:p>
              </w:tc>
              <w:tc>
                <w:tcPr>
                  <w:tcW w:w="2268" w:type="dxa"/>
                  <w:tcBorders>
                    <w:top w:val="single" w:sz="4" w:space="0" w:color="FFFFFF"/>
                    <w:left w:val="single" w:sz="4" w:space="0" w:color="FFFFFF"/>
                    <w:bottom w:val="single" w:sz="4" w:space="0" w:color="FFFFFF"/>
                  </w:tcBorders>
                  <w:shd w:val="clear" w:color="auto" w:fill="A6A6A6"/>
                  <w:vAlign w:val="center"/>
                </w:tcPr>
                <w:p w14:paraId="0991E7B2" w14:textId="77777777" w:rsidR="00600DEE" w:rsidRDefault="00641FB5">
                  <w:pPr>
                    <w:spacing w:before="20"/>
                    <w:jc w:val="center"/>
                    <w:rPr>
                      <w:rFonts w:ascii="Calibri" w:eastAsia="Calibri" w:hAnsi="Calibri" w:cs="Calibri"/>
                      <w:b/>
                      <w:color w:val="FFFFFF"/>
                      <w:sz w:val="18"/>
                      <w:szCs w:val="18"/>
                    </w:rPr>
                  </w:pPr>
                  <w:r>
                    <w:rPr>
                      <w:rFonts w:ascii="Calibri" w:eastAsia="Calibri" w:hAnsi="Calibri" w:cs="Calibri"/>
                      <w:b/>
                      <w:color w:val="FFFFFF"/>
                      <w:sz w:val="18"/>
                      <w:szCs w:val="18"/>
                    </w:rPr>
                    <w:t>w PLN, z uwzględnieniem podatków, opłat i ceł</w:t>
                  </w:r>
                </w:p>
              </w:tc>
              <w:tc>
                <w:tcPr>
                  <w:tcW w:w="1559" w:type="dxa"/>
                  <w:tcBorders>
                    <w:top w:val="single" w:sz="4" w:space="0" w:color="FFFFFF"/>
                    <w:left w:val="single" w:sz="4" w:space="0" w:color="FFFFFF"/>
                    <w:bottom w:val="single" w:sz="4" w:space="0" w:color="FFFFFF"/>
                  </w:tcBorders>
                  <w:shd w:val="clear" w:color="auto" w:fill="A6A6A6"/>
                </w:tcPr>
                <w:p w14:paraId="3D725734" w14:textId="77777777" w:rsidR="00600DEE" w:rsidRDefault="00641FB5">
                  <w:pPr>
                    <w:spacing w:before="20"/>
                    <w:jc w:val="center"/>
                    <w:rPr>
                      <w:rFonts w:ascii="Calibri" w:eastAsia="Calibri" w:hAnsi="Calibri" w:cs="Calibri"/>
                      <w:b/>
                      <w:color w:val="FFFFFF"/>
                      <w:sz w:val="18"/>
                      <w:szCs w:val="18"/>
                    </w:rPr>
                  </w:pPr>
                  <w:r>
                    <w:rPr>
                      <w:rFonts w:ascii="Calibri" w:eastAsia="Calibri" w:hAnsi="Calibri" w:cs="Calibri"/>
                      <w:b/>
                      <w:color w:val="FFFFFF"/>
                      <w:sz w:val="18"/>
                      <w:szCs w:val="18"/>
                    </w:rPr>
                    <w:t>w PLN, bez podatków, opłat i ceł</w:t>
                  </w:r>
                </w:p>
              </w:tc>
            </w:tr>
            <w:tr w:rsidR="00600DEE" w14:paraId="6E220944"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142FB88A"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1. Ubezpieczenie OC</w:t>
                  </w:r>
                </w:p>
              </w:tc>
              <w:tc>
                <w:tcPr>
                  <w:tcW w:w="2268" w:type="dxa"/>
                  <w:tcBorders>
                    <w:top w:val="single" w:sz="4" w:space="0" w:color="FFFFFF"/>
                    <w:left w:val="single" w:sz="4" w:space="0" w:color="FFFFFF"/>
                    <w:bottom w:val="single" w:sz="4" w:space="0" w:color="FFFFFF"/>
                  </w:tcBorders>
                  <w:shd w:val="clear" w:color="auto" w:fill="DBE5F1"/>
                  <w:vAlign w:val="center"/>
                </w:tcPr>
                <w:p w14:paraId="05C743F4"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681</w:t>
                  </w:r>
                </w:p>
              </w:tc>
              <w:tc>
                <w:tcPr>
                  <w:tcW w:w="1559" w:type="dxa"/>
                  <w:tcBorders>
                    <w:top w:val="single" w:sz="4" w:space="0" w:color="FFFFFF"/>
                    <w:left w:val="single" w:sz="4" w:space="0" w:color="FFFFFF"/>
                    <w:bottom w:val="single" w:sz="4" w:space="0" w:color="FFFFFF"/>
                  </w:tcBorders>
                  <w:shd w:val="clear" w:color="auto" w:fill="DBE5F1"/>
                  <w:vAlign w:val="center"/>
                </w:tcPr>
                <w:p w14:paraId="4886957F"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681</w:t>
                  </w:r>
                </w:p>
              </w:tc>
            </w:tr>
            <w:tr w:rsidR="00600DEE" w14:paraId="0EDED194"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2ACA77A1"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2. Wymiana opon</w:t>
                  </w:r>
                </w:p>
              </w:tc>
              <w:tc>
                <w:tcPr>
                  <w:tcW w:w="2268" w:type="dxa"/>
                  <w:tcBorders>
                    <w:top w:val="single" w:sz="4" w:space="0" w:color="FFFFFF"/>
                    <w:left w:val="single" w:sz="4" w:space="0" w:color="FFFFFF"/>
                    <w:bottom w:val="single" w:sz="4" w:space="0" w:color="FFFFFF"/>
                  </w:tcBorders>
                  <w:shd w:val="clear" w:color="auto" w:fill="DBE5F1"/>
                  <w:vAlign w:val="center"/>
                </w:tcPr>
                <w:p w14:paraId="345C3421"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216</w:t>
                  </w:r>
                </w:p>
              </w:tc>
              <w:tc>
                <w:tcPr>
                  <w:tcW w:w="1559" w:type="dxa"/>
                  <w:tcBorders>
                    <w:top w:val="single" w:sz="4" w:space="0" w:color="FFFFFF"/>
                    <w:left w:val="single" w:sz="4" w:space="0" w:color="FFFFFF"/>
                    <w:bottom w:val="single" w:sz="4" w:space="0" w:color="FFFFFF"/>
                  </w:tcBorders>
                  <w:shd w:val="clear" w:color="auto" w:fill="DBE5F1"/>
                  <w:vAlign w:val="center"/>
                </w:tcPr>
                <w:p w14:paraId="5048AB42"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176</w:t>
                  </w:r>
                </w:p>
              </w:tc>
            </w:tr>
            <w:tr w:rsidR="00600DEE" w14:paraId="27807AFB" w14:textId="77777777" w:rsidTr="0093229F">
              <w:trPr>
                <w:trHeight w:hRule="exact" w:val="454"/>
              </w:trPr>
              <w:tc>
                <w:tcPr>
                  <w:tcW w:w="2437" w:type="dxa"/>
                  <w:tcBorders>
                    <w:top w:val="single" w:sz="4" w:space="0" w:color="FFFFFF"/>
                    <w:left w:val="single" w:sz="4" w:space="0" w:color="FFFFFF"/>
                    <w:bottom w:val="single" w:sz="4" w:space="0" w:color="FFFFFF"/>
                  </w:tcBorders>
                  <w:shd w:val="clear" w:color="auto" w:fill="DBE5F1"/>
                  <w:vAlign w:val="bottom"/>
                </w:tcPr>
                <w:p w14:paraId="151AE300"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 xml:space="preserve">3. Obowiązkowe przeglądy i opłaty </w:t>
                  </w:r>
                </w:p>
              </w:tc>
              <w:tc>
                <w:tcPr>
                  <w:tcW w:w="2268" w:type="dxa"/>
                  <w:tcBorders>
                    <w:top w:val="single" w:sz="4" w:space="0" w:color="FFFFFF"/>
                    <w:left w:val="single" w:sz="4" w:space="0" w:color="FFFFFF"/>
                    <w:bottom w:val="single" w:sz="4" w:space="0" w:color="FFFFFF"/>
                  </w:tcBorders>
                  <w:shd w:val="clear" w:color="auto" w:fill="DBE5F1"/>
                  <w:vAlign w:val="center"/>
                </w:tcPr>
                <w:p w14:paraId="43832E5F"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100</w:t>
                  </w:r>
                </w:p>
              </w:tc>
              <w:tc>
                <w:tcPr>
                  <w:tcW w:w="1559" w:type="dxa"/>
                  <w:tcBorders>
                    <w:top w:val="single" w:sz="4" w:space="0" w:color="FFFFFF"/>
                    <w:left w:val="single" w:sz="4" w:space="0" w:color="FFFFFF"/>
                    <w:bottom w:val="single" w:sz="4" w:space="0" w:color="FFFFFF"/>
                  </w:tcBorders>
                  <w:shd w:val="clear" w:color="auto" w:fill="DBE5F1"/>
                  <w:vAlign w:val="center"/>
                </w:tcPr>
                <w:p w14:paraId="1A96D545"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100</w:t>
                  </w:r>
                </w:p>
              </w:tc>
            </w:tr>
            <w:tr w:rsidR="00600DEE" w14:paraId="1FBE5632"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06FAAA88"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4. Olej, filtry, płyny</w:t>
                  </w:r>
                </w:p>
              </w:tc>
              <w:tc>
                <w:tcPr>
                  <w:tcW w:w="2268" w:type="dxa"/>
                  <w:tcBorders>
                    <w:top w:val="single" w:sz="4" w:space="0" w:color="FFFFFF"/>
                    <w:left w:val="single" w:sz="4" w:space="0" w:color="FFFFFF"/>
                    <w:bottom w:val="single" w:sz="4" w:space="0" w:color="FFFFFF"/>
                  </w:tcBorders>
                  <w:shd w:val="clear" w:color="auto" w:fill="DBE5F1"/>
                  <w:vAlign w:val="center"/>
                </w:tcPr>
                <w:p w14:paraId="596CD17C"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250</w:t>
                  </w:r>
                </w:p>
              </w:tc>
              <w:tc>
                <w:tcPr>
                  <w:tcW w:w="1559" w:type="dxa"/>
                  <w:tcBorders>
                    <w:top w:val="single" w:sz="4" w:space="0" w:color="FFFFFF"/>
                    <w:left w:val="single" w:sz="4" w:space="0" w:color="FFFFFF"/>
                    <w:bottom w:val="single" w:sz="4" w:space="0" w:color="FFFFFF"/>
                  </w:tcBorders>
                  <w:shd w:val="clear" w:color="auto" w:fill="DBE5F1"/>
                  <w:vAlign w:val="center"/>
                </w:tcPr>
                <w:p w14:paraId="3EAD7716"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203</w:t>
                  </w:r>
                </w:p>
              </w:tc>
            </w:tr>
            <w:tr w:rsidR="00600DEE" w14:paraId="739F9931"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63FD6F6A"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 xml:space="preserve">5. Inne </w:t>
                  </w:r>
                </w:p>
              </w:tc>
              <w:tc>
                <w:tcPr>
                  <w:tcW w:w="2268" w:type="dxa"/>
                  <w:tcBorders>
                    <w:top w:val="single" w:sz="4" w:space="0" w:color="FFFFFF"/>
                    <w:left w:val="single" w:sz="4" w:space="0" w:color="FFFFFF"/>
                    <w:bottom w:val="single" w:sz="4" w:space="0" w:color="FFFFFF"/>
                  </w:tcBorders>
                  <w:shd w:val="clear" w:color="auto" w:fill="DBE5F1"/>
                  <w:vAlign w:val="center"/>
                </w:tcPr>
                <w:p w14:paraId="0CA818A4"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2000</w:t>
                  </w:r>
                </w:p>
              </w:tc>
              <w:tc>
                <w:tcPr>
                  <w:tcW w:w="1559" w:type="dxa"/>
                  <w:tcBorders>
                    <w:top w:val="single" w:sz="4" w:space="0" w:color="FFFFFF"/>
                    <w:left w:val="single" w:sz="4" w:space="0" w:color="FFFFFF"/>
                    <w:bottom w:val="single" w:sz="4" w:space="0" w:color="FFFFFF"/>
                  </w:tcBorders>
                  <w:shd w:val="clear" w:color="auto" w:fill="DBE5F1"/>
                  <w:vAlign w:val="center"/>
                </w:tcPr>
                <w:p w14:paraId="27C60AF8"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1626</w:t>
                  </w:r>
                </w:p>
              </w:tc>
            </w:tr>
            <w:tr w:rsidR="00600DEE" w14:paraId="77FEEB16"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4CC4E97B" w14:textId="77777777" w:rsidR="00600DEE" w:rsidRDefault="00600DEE">
                  <w:pPr>
                    <w:rPr>
                      <w:rFonts w:ascii="Calibri" w:eastAsia="Calibri" w:hAnsi="Calibri" w:cs="Calibri"/>
                      <w:i/>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393DF71D" w14:textId="77777777" w:rsidR="00600DEE" w:rsidRDefault="00600DEE">
                  <w:pPr>
                    <w:jc w:val="center"/>
                    <w:rPr>
                      <w:rFonts w:ascii="Calibri" w:eastAsia="Calibri" w:hAnsi="Calibri" w:cs="Calibri"/>
                      <w:i/>
                      <w:color w:val="4F81BD"/>
                      <w:sz w:val="18"/>
                      <w:szCs w:val="18"/>
                    </w:rPr>
                  </w:pPr>
                </w:p>
              </w:tc>
              <w:tc>
                <w:tcPr>
                  <w:tcW w:w="1559" w:type="dxa"/>
                  <w:tcBorders>
                    <w:top w:val="single" w:sz="4" w:space="0" w:color="FFFFFF"/>
                    <w:left w:val="single" w:sz="4" w:space="0" w:color="FFFFFF"/>
                    <w:bottom w:val="single" w:sz="4" w:space="0" w:color="FFFFFF"/>
                  </w:tcBorders>
                  <w:shd w:val="clear" w:color="auto" w:fill="DBE5F1"/>
                </w:tcPr>
                <w:p w14:paraId="193DEECD" w14:textId="77777777" w:rsidR="00600DEE" w:rsidRDefault="00600DEE">
                  <w:pPr>
                    <w:jc w:val="center"/>
                    <w:rPr>
                      <w:rFonts w:ascii="Calibri" w:eastAsia="Calibri" w:hAnsi="Calibri" w:cs="Calibri"/>
                      <w:i/>
                      <w:color w:val="4F81BD"/>
                      <w:sz w:val="18"/>
                      <w:szCs w:val="18"/>
                    </w:rPr>
                  </w:pPr>
                </w:p>
              </w:tc>
            </w:tr>
            <w:tr w:rsidR="00600DEE" w14:paraId="4CDA2E1A"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098DA92D" w14:textId="77777777" w:rsidR="00600DEE" w:rsidRDefault="00641FB5">
                  <w:pPr>
                    <w:rPr>
                      <w:rFonts w:ascii="Calibri" w:eastAsia="Calibri" w:hAnsi="Calibri" w:cs="Calibri"/>
                      <w:i/>
                      <w:color w:val="4F81BD"/>
                      <w:sz w:val="18"/>
                      <w:szCs w:val="18"/>
                    </w:rPr>
                  </w:pPr>
                  <w:r>
                    <w:rPr>
                      <w:rFonts w:ascii="Calibri" w:eastAsia="Calibri" w:hAnsi="Calibri" w:cs="Calibri"/>
                      <w:i/>
                      <w:color w:val="4F81BD"/>
                      <w:sz w:val="18"/>
                      <w:szCs w:val="18"/>
                    </w:rPr>
                    <w:t>Suma  (PLN/km) (*)</w:t>
                  </w:r>
                </w:p>
              </w:tc>
              <w:tc>
                <w:tcPr>
                  <w:tcW w:w="2268" w:type="dxa"/>
                  <w:tcBorders>
                    <w:top w:val="single" w:sz="4" w:space="0" w:color="FFFFFF"/>
                    <w:left w:val="single" w:sz="4" w:space="0" w:color="FFFFFF"/>
                    <w:bottom w:val="single" w:sz="4" w:space="0" w:color="FFFFFF"/>
                  </w:tcBorders>
                  <w:shd w:val="clear" w:color="auto" w:fill="DBE5F1"/>
                  <w:vAlign w:val="center"/>
                </w:tcPr>
                <w:p w14:paraId="1A9FD255"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0,374</w:t>
                  </w:r>
                </w:p>
              </w:tc>
              <w:tc>
                <w:tcPr>
                  <w:tcW w:w="1559" w:type="dxa"/>
                  <w:tcBorders>
                    <w:top w:val="single" w:sz="4" w:space="0" w:color="FFFFFF"/>
                    <w:left w:val="single" w:sz="4" w:space="0" w:color="FFFFFF"/>
                    <w:bottom w:val="single" w:sz="4" w:space="0" w:color="FFFFFF"/>
                  </w:tcBorders>
                  <w:shd w:val="clear" w:color="auto" w:fill="DBE5F1"/>
                  <w:vAlign w:val="center"/>
                </w:tcPr>
                <w:p w14:paraId="0054B617"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0,321</w:t>
                  </w:r>
                </w:p>
              </w:tc>
            </w:tr>
            <w:tr w:rsidR="00600DEE" w14:paraId="3F8BD497"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6927798E" w14:textId="77777777" w:rsidR="00600DEE" w:rsidRDefault="00600DEE">
                  <w:pPr>
                    <w:rPr>
                      <w:rFonts w:ascii="Calibri" w:eastAsia="Calibri" w:hAnsi="Calibri" w:cs="Calibri"/>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2A6F2A35" w14:textId="77777777" w:rsidR="00600DEE" w:rsidRDefault="00600DEE">
                  <w:pPr>
                    <w:jc w:val="center"/>
                    <w:rPr>
                      <w:rFonts w:ascii="Calibri" w:eastAsia="Calibri" w:hAnsi="Calibri" w:cs="Calibri"/>
                      <w:color w:val="4F81BD"/>
                      <w:sz w:val="18"/>
                      <w:szCs w:val="18"/>
                    </w:rPr>
                  </w:pPr>
                </w:p>
              </w:tc>
              <w:tc>
                <w:tcPr>
                  <w:tcW w:w="1559" w:type="dxa"/>
                  <w:tcBorders>
                    <w:top w:val="single" w:sz="4" w:space="0" w:color="FFFFFF"/>
                    <w:left w:val="single" w:sz="4" w:space="0" w:color="FFFFFF"/>
                    <w:bottom w:val="single" w:sz="4" w:space="0" w:color="FFFFFF"/>
                  </w:tcBorders>
                  <w:shd w:val="clear" w:color="auto" w:fill="DBE5F1"/>
                </w:tcPr>
                <w:p w14:paraId="05B30322" w14:textId="77777777" w:rsidR="00600DEE" w:rsidRDefault="00600DEE">
                  <w:pPr>
                    <w:jc w:val="center"/>
                    <w:rPr>
                      <w:rFonts w:ascii="Calibri" w:eastAsia="Calibri" w:hAnsi="Calibri" w:cs="Calibri"/>
                      <w:color w:val="4F81BD"/>
                      <w:sz w:val="18"/>
                      <w:szCs w:val="18"/>
                    </w:rPr>
                  </w:pPr>
                </w:p>
              </w:tc>
            </w:tr>
            <w:tr w:rsidR="00600DEE" w14:paraId="02EED18B"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7267894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Amortyzacja (PLN/km) (**)</w:t>
                  </w:r>
                </w:p>
              </w:tc>
              <w:tc>
                <w:tcPr>
                  <w:tcW w:w="2268" w:type="dxa"/>
                  <w:tcBorders>
                    <w:top w:val="single" w:sz="4" w:space="0" w:color="FFFFFF"/>
                    <w:left w:val="single" w:sz="4" w:space="0" w:color="FFFFFF"/>
                    <w:bottom w:val="single" w:sz="4" w:space="0" w:color="FFFFFF"/>
                  </w:tcBorders>
                  <w:shd w:val="clear" w:color="auto" w:fill="DBE5F1"/>
                  <w:vAlign w:val="center"/>
                </w:tcPr>
                <w:p w14:paraId="0909921B"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0,64</w:t>
                  </w:r>
                </w:p>
              </w:tc>
              <w:tc>
                <w:tcPr>
                  <w:tcW w:w="1559" w:type="dxa"/>
                  <w:tcBorders>
                    <w:top w:val="single" w:sz="4" w:space="0" w:color="FFFFFF"/>
                    <w:left w:val="single" w:sz="4" w:space="0" w:color="FFFFFF"/>
                    <w:bottom w:val="single" w:sz="4" w:space="0" w:color="FFFFFF"/>
                  </w:tcBorders>
                  <w:shd w:val="clear" w:color="auto" w:fill="DBE5F1"/>
                  <w:vAlign w:val="center"/>
                </w:tcPr>
                <w:p w14:paraId="4F36C34A"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0,49</w:t>
                  </w:r>
                </w:p>
              </w:tc>
            </w:tr>
            <w:tr w:rsidR="00600DEE" w14:paraId="2B017985" w14:textId="77777777" w:rsidTr="0093229F">
              <w:trPr>
                <w:trHeight w:hRule="exact" w:val="284"/>
              </w:trPr>
              <w:tc>
                <w:tcPr>
                  <w:tcW w:w="2437" w:type="dxa"/>
                  <w:tcBorders>
                    <w:top w:val="single" w:sz="4" w:space="0" w:color="FFFFFF"/>
                    <w:left w:val="single" w:sz="4" w:space="0" w:color="FFFFFF"/>
                    <w:bottom w:val="single" w:sz="4" w:space="0" w:color="FFFFFF"/>
                  </w:tcBorders>
                  <w:shd w:val="clear" w:color="auto" w:fill="95B3D7"/>
                  <w:vAlign w:val="bottom"/>
                </w:tcPr>
                <w:p w14:paraId="1EE964F1"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OGÓŁEM INNE (PLN/km)</w:t>
                  </w:r>
                </w:p>
              </w:tc>
              <w:tc>
                <w:tcPr>
                  <w:tcW w:w="2268" w:type="dxa"/>
                  <w:tcBorders>
                    <w:top w:val="single" w:sz="4" w:space="0" w:color="FFFFFF"/>
                    <w:left w:val="single" w:sz="4" w:space="0" w:color="FFFFFF"/>
                    <w:bottom w:val="single" w:sz="4" w:space="0" w:color="FFFFFF"/>
                  </w:tcBorders>
                  <w:shd w:val="clear" w:color="auto" w:fill="95B3D7"/>
                  <w:vAlign w:val="center"/>
                </w:tcPr>
                <w:p w14:paraId="7AD221CE"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1,017</w:t>
                  </w:r>
                </w:p>
              </w:tc>
              <w:tc>
                <w:tcPr>
                  <w:tcW w:w="1559" w:type="dxa"/>
                  <w:tcBorders>
                    <w:top w:val="single" w:sz="4" w:space="0" w:color="FFFFFF"/>
                    <w:left w:val="single" w:sz="4" w:space="0" w:color="FFFFFF"/>
                    <w:bottom w:val="single" w:sz="4" w:space="0" w:color="FFFFFF"/>
                  </w:tcBorders>
                  <w:shd w:val="clear" w:color="auto" w:fill="95B3D7"/>
                  <w:vAlign w:val="center"/>
                </w:tcPr>
                <w:p w14:paraId="6A67CBC7"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0,811</w:t>
                  </w:r>
                </w:p>
              </w:tc>
            </w:tr>
          </w:tbl>
          <w:p w14:paraId="482F7A2D" w14:textId="77777777" w:rsidR="00A3175F" w:rsidRDefault="00A3175F">
            <w:pPr>
              <w:ind w:right="170"/>
              <w:jc w:val="both"/>
              <w:rPr>
                <w:rFonts w:ascii="Calibri" w:eastAsia="Calibri" w:hAnsi="Calibri" w:cs="Calibri"/>
                <w:b/>
                <w:i/>
                <w:sz w:val="16"/>
                <w:szCs w:val="16"/>
              </w:rPr>
            </w:pPr>
          </w:p>
          <w:p w14:paraId="69E8F61E" w14:textId="77777777" w:rsidR="0093229F" w:rsidRDefault="00641FB5">
            <w:pPr>
              <w:ind w:right="170"/>
              <w:jc w:val="both"/>
              <w:rPr>
                <w:rFonts w:ascii="Calibri" w:eastAsia="Calibri" w:hAnsi="Calibri" w:cs="Calibri"/>
                <w:b/>
                <w:i/>
                <w:sz w:val="16"/>
                <w:szCs w:val="16"/>
              </w:rPr>
            </w:pPr>
            <w:r>
              <w:rPr>
                <w:rFonts w:ascii="Calibri" w:eastAsia="Calibri" w:hAnsi="Calibri" w:cs="Calibri"/>
                <w:b/>
                <w:i/>
                <w:sz w:val="16"/>
                <w:szCs w:val="16"/>
              </w:rPr>
              <w:t xml:space="preserve">Źródła: </w:t>
            </w:r>
          </w:p>
          <w:p w14:paraId="3E22D632" w14:textId="7CDBF5E6" w:rsidR="0093229F" w:rsidRDefault="0093229F"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https://rankomat.pl/samochod/ile-kosztu</w:t>
            </w:r>
            <w:hyperlink r:id="rId153">
              <w:r w:rsidR="00641FB5" w:rsidRPr="0093229F">
                <w:rPr>
                  <w:rFonts w:ascii="Calibri" w:eastAsia="Calibri" w:hAnsi="Calibri" w:cs="Calibri"/>
                  <w:b/>
                  <w:sz w:val="16"/>
                  <w:szCs w:val="16"/>
                </w:rPr>
                <w:t>je-ubezpieczenie-samochodu-1</w:t>
              </w:r>
            </w:hyperlink>
            <w:r w:rsidR="00641FB5" w:rsidRPr="0093229F">
              <w:rPr>
                <w:rFonts w:ascii="Calibri" w:eastAsia="Calibri" w:hAnsi="Calibri" w:cs="Calibri"/>
                <w:b/>
                <w:i/>
                <w:sz w:val="16"/>
                <w:szCs w:val="16"/>
              </w:rPr>
              <w:t>;</w:t>
            </w:r>
          </w:p>
          <w:p w14:paraId="1EF07788" w14:textId="77777777" w:rsidR="0093229F" w:rsidRDefault="00641FB5"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 xml:space="preserve"> </w:t>
            </w:r>
            <w:hyperlink r:id="rId154">
              <w:r w:rsidRPr="0093229F">
                <w:rPr>
                  <w:rFonts w:ascii="Calibri" w:eastAsia="Calibri" w:hAnsi="Calibri" w:cs="Calibri"/>
                  <w:b/>
                  <w:i/>
                  <w:sz w:val="16"/>
                  <w:szCs w:val="16"/>
                </w:rPr>
                <w:t>https://www.oponeo.pl/artykul/ile-kosztuje-wymiana-opon</w:t>
              </w:r>
            </w:hyperlink>
            <w:r w:rsidRPr="0093229F">
              <w:rPr>
                <w:rFonts w:ascii="Calibri" w:eastAsia="Calibri" w:hAnsi="Calibri" w:cs="Calibri"/>
                <w:b/>
                <w:i/>
                <w:sz w:val="16"/>
                <w:szCs w:val="16"/>
              </w:rPr>
              <w:t>;</w:t>
            </w:r>
          </w:p>
          <w:p w14:paraId="7F7C4D1A" w14:textId="77777777" w:rsidR="0093229F" w:rsidRDefault="00641FB5" w:rsidP="00D5736B">
            <w:pPr>
              <w:pStyle w:val="Akapitzlist"/>
              <w:numPr>
                <w:ilvl w:val="0"/>
                <w:numId w:val="85"/>
              </w:numPr>
              <w:ind w:left="615"/>
              <w:jc w:val="both"/>
              <w:rPr>
                <w:rFonts w:ascii="Calibri" w:eastAsia="Calibri" w:hAnsi="Calibri" w:cs="Calibri"/>
                <w:b/>
                <w:i/>
                <w:sz w:val="16"/>
                <w:szCs w:val="16"/>
              </w:rPr>
            </w:pPr>
            <w:r w:rsidRPr="0093229F">
              <w:rPr>
                <w:rFonts w:ascii="Calibri" w:eastAsia="Calibri" w:hAnsi="Calibri" w:cs="Calibri"/>
                <w:b/>
                <w:i/>
                <w:sz w:val="16"/>
                <w:szCs w:val="16"/>
              </w:rPr>
              <w:t xml:space="preserve"> </w:t>
            </w:r>
            <w:hyperlink r:id="rId155">
              <w:r w:rsidRPr="0093229F">
                <w:rPr>
                  <w:rFonts w:ascii="Calibri" w:eastAsia="Calibri" w:hAnsi="Calibri" w:cs="Calibri"/>
                  <w:b/>
                  <w:i/>
                  <w:sz w:val="16"/>
                  <w:szCs w:val="16"/>
                </w:rPr>
                <w:t>https://kb.pl/porady/ile-kosztuje-przeglad-samochodu-sprawdz-aktualne-ceny-_mot/</w:t>
              </w:r>
            </w:hyperlink>
            <w:r w:rsidRPr="0093229F">
              <w:rPr>
                <w:rFonts w:ascii="Calibri" w:eastAsia="Calibri" w:hAnsi="Calibri" w:cs="Calibri"/>
                <w:b/>
                <w:i/>
                <w:sz w:val="16"/>
                <w:szCs w:val="16"/>
              </w:rPr>
              <w:t>;</w:t>
            </w:r>
          </w:p>
          <w:p w14:paraId="3F515F2A" w14:textId="77777777" w:rsidR="0093229F" w:rsidRDefault="00641FB5"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 xml:space="preserve"> </w:t>
            </w:r>
            <w:hyperlink r:id="rId156">
              <w:r w:rsidRPr="0093229F">
                <w:rPr>
                  <w:rFonts w:ascii="Calibri" w:eastAsia="Calibri" w:hAnsi="Calibri" w:cs="Calibri"/>
                  <w:b/>
                  <w:i/>
                  <w:sz w:val="16"/>
                  <w:szCs w:val="16"/>
                </w:rPr>
                <w:t>https://www.motofakty.pl/artykul/ile-kosztuje-wymiana-oleju-w-samochodzie.html</w:t>
              </w:r>
            </w:hyperlink>
            <w:r w:rsidRPr="0093229F">
              <w:rPr>
                <w:rFonts w:ascii="Calibri" w:eastAsia="Calibri" w:hAnsi="Calibri" w:cs="Calibri"/>
                <w:b/>
                <w:i/>
                <w:sz w:val="16"/>
                <w:szCs w:val="16"/>
              </w:rPr>
              <w:t xml:space="preserve">; </w:t>
            </w:r>
          </w:p>
          <w:p w14:paraId="729FB031" w14:textId="3C92B439" w:rsidR="00600DEE" w:rsidRPr="0093229F" w:rsidRDefault="0093229F"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https://www.bankier.pl/smart/koszty-eksploatacji-samochodu-ile-kosztuje-utrzymanie-samochodu</w:t>
            </w:r>
            <w:r w:rsidR="00641FB5" w:rsidRPr="0093229F">
              <w:rPr>
                <w:rFonts w:ascii="Calibri" w:eastAsia="Calibri" w:hAnsi="Calibri" w:cs="Calibri"/>
                <w:b/>
                <w:i/>
                <w:sz w:val="16"/>
                <w:szCs w:val="16"/>
              </w:rPr>
              <w:t>, wiosna 2021</w:t>
            </w:r>
          </w:p>
          <w:p w14:paraId="73372F93" w14:textId="3C4C9D09" w:rsidR="00600DEE" w:rsidRDefault="00641FB5">
            <w:pPr>
              <w:ind w:right="170"/>
              <w:jc w:val="both"/>
              <w:rPr>
                <w:rFonts w:ascii="Calibri" w:eastAsia="Calibri" w:hAnsi="Calibri" w:cs="Calibri"/>
                <w:b/>
                <w:i/>
                <w:sz w:val="16"/>
                <w:szCs w:val="16"/>
              </w:rPr>
            </w:pPr>
            <w:r>
              <w:rPr>
                <w:rFonts w:ascii="Calibri" w:eastAsia="Calibri" w:hAnsi="Calibri" w:cs="Calibri"/>
                <w:b/>
                <w:i/>
                <w:sz w:val="16"/>
                <w:szCs w:val="16"/>
              </w:rPr>
              <w:t xml:space="preserve">(*) Zakładając średni roczny przebieg PL zgodnie z opracowaniem „Prognozy eksperckie zmian aktywności sektora transportu drogowego (w kontekście ustawy o systemie zarządzania emisjami gazów cieplarnianych </w:t>
            </w:r>
            <w:r w:rsidR="00C65DA8">
              <w:rPr>
                <w:rFonts w:ascii="Calibri" w:eastAsia="Calibri" w:hAnsi="Calibri" w:cs="Calibri"/>
                <w:b/>
                <w:i/>
                <w:sz w:val="16"/>
                <w:szCs w:val="16"/>
              </w:rPr>
              <w:t>i innych substancji)", ITS 2017.</w:t>
            </w:r>
            <w:r>
              <w:rPr>
                <w:rFonts w:ascii="Calibri" w:eastAsia="Calibri" w:hAnsi="Calibri" w:cs="Calibri"/>
                <w:b/>
                <w:i/>
                <w:sz w:val="16"/>
                <w:szCs w:val="16"/>
              </w:rPr>
              <w:tab/>
              <w:t xml:space="preserve"> </w:t>
            </w:r>
          </w:p>
          <w:p w14:paraId="27290A46" w14:textId="3C1AD346" w:rsidR="00600DEE" w:rsidRDefault="00641FB5">
            <w:pPr>
              <w:spacing w:before="120"/>
              <w:ind w:right="170"/>
              <w:jc w:val="both"/>
              <w:rPr>
                <w:rFonts w:ascii="Calibri" w:eastAsia="Calibri" w:hAnsi="Calibri" w:cs="Calibri"/>
                <w:b/>
                <w:i/>
                <w:sz w:val="16"/>
                <w:szCs w:val="16"/>
              </w:rPr>
            </w:pPr>
            <w:r>
              <w:rPr>
                <w:rFonts w:ascii="Calibri" w:eastAsia="Calibri" w:hAnsi="Calibri" w:cs="Calibri"/>
                <w:b/>
                <w:i/>
                <w:sz w:val="16"/>
                <w:szCs w:val="16"/>
              </w:rPr>
              <w:t xml:space="preserve">(**) Amortyzacja: wyliczenia autorskie w oparciu o średnią cenę samochodu osobowego netto bez podatków, opłat i ceł (SAMAR: </w:t>
            </w:r>
            <w:hyperlink r:id="rId157">
              <w:r>
                <w:rPr>
                  <w:rFonts w:ascii="Calibri" w:eastAsia="Calibri" w:hAnsi="Calibri" w:cs="Calibri"/>
                  <w:b/>
                  <w:i/>
                  <w:color w:val="0000FF"/>
                  <w:sz w:val="16"/>
                  <w:szCs w:val="16"/>
                  <w:u w:val="single"/>
                </w:rPr>
                <w:t>https://www.motofakty.pl/artykul/ceny-aut-w-2019-r-nowe-samochody-w-polsce-byly-drozsze-niz-w-2018.html</w:t>
              </w:r>
            </w:hyperlink>
            <w:r>
              <w:rPr>
                <w:rFonts w:ascii="Calibri" w:eastAsia="Calibri" w:hAnsi="Calibri" w:cs="Calibri"/>
                <w:b/>
                <w:i/>
                <w:sz w:val="16"/>
                <w:szCs w:val="16"/>
              </w:rPr>
              <w:t>) i uwzględniając  średnią długość życia LV (</w:t>
            </w:r>
            <w:hyperlink r:id="rId158" w:anchor=":~:text=Key%20observations,the%20EU%20is%2011.6%20years">
              <w:r>
                <w:rPr>
                  <w:rFonts w:ascii="Calibri" w:eastAsia="Calibri" w:hAnsi="Calibri" w:cs="Calibri"/>
                  <w:b/>
                  <w:i/>
                  <w:color w:val="0000FF"/>
                  <w:sz w:val="16"/>
                  <w:szCs w:val="16"/>
                  <w:u w:val="single"/>
                </w:rPr>
                <w:t>https://www.acea.be/statistics/article/average-vehicleage#:~:text=Key%20observations,the%20EU%20is%2011.6%20years</w:t>
              </w:r>
            </w:hyperlink>
            <w:r>
              <w:rPr>
                <w:rFonts w:ascii="Calibri" w:eastAsia="Calibri" w:hAnsi="Calibri" w:cs="Calibri"/>
                <w:b/>
                <w:i/>
                <w:sz w:val="16"/>
                <w:szCs w:val="16"/>
              </w:rPr>
              <w:t xml:space="preserve">) i powyższy  średni roczny </w:t>
            </w:r>
            <w:proofErr w:type="spellStart"/>
            <w:r>
              <w:rPr>
                <w:rFonts w:ascii="Calibri" w:eastAsia="Calibri" w:hAnsi="Calibri" w:cs="Calibri"/>
                <w:b/>
                <w:i/>
                <w:sz w:val="16"/>
                <w:szCs w:val="16"/>
              </w:rPr>
              <w:t>przebleg</w:t>
            </w:r>
            <w:proofErr w:type="spellEnd"/>
            <w:r>
              <w:rPr>
                <w:rFonts w:ascii="Calibri" w:eastAsia="Calibri" w:hAnsi="Calibri" w:cs="Calibri"/>
                <w:b/>
                <w:i/>
                <w:sz w:val="16"/>
                <w:szCs w:val="16"/>
              </w:rPr>
              <w:t>.</w:t>
            </w:r>
            <w:r>
              <w:rPr>
                <w:rFonts w:ascii="Calibri" w:eastAsia="Calibri" w:hAnsi="Calibri" w:cs="Calibri"/>
                <w:b/>
                <w:i/>
                <w:sz w:val="16"/>
                <w:szCs w:val="16"/>
              </w:rPr>
              <w:tab/>
            </w:r>
          </w:p>
          <w:p w14:paraId="6C7BDA3F" w14:textId="64E5AC54"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Wyniki obliczeń dla spalinowych HGV </w:t>
            </w:r>
            <w:r w:rsidR="00C65DA8" w:rsidRPr="00C65DA8">
              <w:rPr>
                <w:rFonts w:ascii="Calibri" w:eastAsia="Calibri" w:hAnsi="Calibri" w:cs="Calibri"/>
                <w:color w:val="000000"/>
                <w:sz w:val="20"/>
                <w:szCs w:val="20"/>
              </w:rPr>
              <w:t xml:space="preserve">w cenach na początek roku 2020 są </w:t>
            </w:r>
            <w:proofErr w:type="spellStart"/>
            <w:r>
              <w:rPr>
                <w:rFonts w:ascii="Calibri" w:eastAsia="Calibri" w:hAnsi="Calibri" w:cs="Calibri"/>
                <w:color w:val="000000"/>
                <w:sz w:val="20"/>
                <w:szCs w:val="20"/>
              </w:rPr>
              <w:t>są</w:t>
            </w:r>
            <w:proofErr w:type="spellEnd"/>
            <w:r>
              <w:rPr>
                <w:rFonts w:ascii="Calibri" w:eastAsia="Calibri" w:hAnsi="Calibri" w:cs="Calibri"/>
                <w:color w:val="000000"/>
                <w:sz w:val="20"/>
                <w:szCs w:val="20"/>
              </w:rPr>
              <w:t xml:space="preserve"> następujące:</w:t>
            </w:r>
          </w:p>
          <w:tbl>
            <w:tblPr>
              <w:tblStyle w:val="affffffffffffff7"/>
              <w:tblW w:w="6190" w:type="dxa"/>
              <w:tblLayout w:type="fixed"/>
              <w:tblLook w:val="0000" w:firstRow="0" w:lastRow="0" w:firstColumn="0" w:lastColumn="0" w:noHBand="0" w:noVBand="0"/>
            </w:tblPr>
            <w:tblGrid>
              <w:gridCol w:w="2043"/>
              <w:gridCol w:w="1427"/>
              <w:gridCol w:w="1280"/>
              <w:gridCol w:w="1440"/>
            </w:tblGrid>
            <w:tr w:rsidR="00600DEE" w14:paraId="6FC0B009" w14:textId="77777777" w:rsidTr="00701BA3">
              <w:trPr>
                <w:trHeight w:hRule="exact" w:val="1021"/>
              </w:trPr>
              <w:tc>
                <w:tcPr>
                  <w:tcW w:w="2043" w:type="dxa"/>
                  <w:tcBorders>
                    <w:top w:val="single" w:sz="4" w:space="0" w:color="FFFFFF"/>
                    <w:left w:val="single" w:sz="4" w:space="0" w:color="FFFFFF"/>
                    <w:bottom w:val="single" w:sz="4" w:space="0" w:color="FFFFFF"/>
                  </w:tcBorders>
                  <w:shd w:val="clear" w:color="auto" w:fill="A6A6A6"/>
                  <w:vAlign w:val="center"/>
                </w:tcPr>
                <w:p w14:paraId="66709347"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Inne koszty ogółem w ujęciu rocznym</w:t>
                  </w:r>
                </w:p>
              </w:tc>
              <w:tc>
                <w:tcPr>
                  <w:tcW w:w="1427" w:type="dxa"/>
                  <w:tcBorders>
                    <w:top w:val="single" w:sz="4" w:space="0" w:color="FFFFFF"/>
                    <w:left w:val="single" w:sz="4" w:space="0" w:color="FFFFFF"/>
                    <w:bottom w:val="single" w:sz="4" w:space="0" w:color="FFFFFF"/>
                  </w:tcBorders>
                  <w:shd w:val="clear" w:color="auto" w:fill="A6A6A6"/>
                  <w:vAlign w:val="center"/>
                </w:tcPr>
                <w:p w14:paraId="07CEF652"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 PLN, z uwzględnieniem podatków, opłat i ceł</w:t>
                  </w:r>
                </w:p>
              </w:tc>
              <w:tc>
                <w:tcPr>
                  <w:tcW w:w="1280" w:type="dxa"/>
                  <w:tcBorders>
                    <w:top w:val="single" w:sz="4" w:space="0" w:color="FFFFFF"/>
                    <w:left w:val="single" w:sz="4" w:space="0" w:color="FFFFFF"/>
                    <w:bottom w:val="single" w:sz="4" w:space="0" w:color="FFFFFF"/>
                  </w:tcBorders>
                  <w:shd w:val="clear" w:color="auto" w:fill="A6A6A6"/>
                  <w:vAlign w:val="center"/>
                </w:tcPr>
                <w:p w14:paraId="29CC4E01"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 PLN, bez podatków, opłat i ceł</w:t>
                  </w:r>
                </w:p>
              </w:tc>
              <w:tc>
                <w:tcPr>
                  <w:tcW w:w="1440" w:type="dxa"/>
                  <w:tcBorders>
                    <w:top w:val="single" w:sz="4" w:space="0" w:color="FFFFFF"/>
                    <w:left w:val="single" w:sz="4" w:space="0" w:color="FFFFFF"/>
                    <w:bottom w:val="single" w:sz="4" w:space="0" w:color="FFFFFF"/>
                  </w:tcBorders>
                  <w:shd w:val="clear" w:color="auto" w:fill="A6A6A6"/>
                </w:tcPr>
                <w:p w14:paraId="33B6329E" w14:textId="69E4C796" w:rsidR="00600DEE" w:rsidRDefault="00641FB5" w:rsidP="00701BA3">
                  <w:pPr>
                    <w:jc w:val="center"/>
                    <w:rPr>
                      <w:rFonts w:ascii="Calibri" w:eastAsia="Calibri" w:hAnsi="Calibri" w:cs="Calibri"/>
                      <w:b/>
                      <w:color w:val="FFFFFF"/>
                      <w:sz w:val="18"/>
                      <w:szCs w:val="18"/>
                    </w:rPr>
                  </w:pPr>
                  <w:r>
                    <w:rPr>
                      <w:rFonts w:ascii="Calibri" w:eastAsia="Calibri" w:hAnsi="Calibri" w:cs="Calibri"/>
                      <w:b/>
                      <w:color w:val="FFFFFF"/>
                      <w:sz w:val="18"/>
                      <w:szCs w:val="18"/>
                    </w:rPr>
                    <w:t>PLN/</w:t>
                  </w:r>
                  <w:proofErr w:type="spellStart"/>
                  <w:r>
                    <w:rPr>
                      <w:rFonts w:ascii="Calibri" w:eastAsia="Calibri" w:hAnsi="Calibri" w:cs="Calibri"/>
                      <w:b/>
                      <w:color w:val="FFFFFF"/>
                      <w:sz w:val="18"/>
                      <w:szCs w:val="18"/>
                    </w:rPr>
                    <w:t>poj</w:t>
                  </w:r>
                  <w:proofErr w:type="spellEnd"/>
                  <w:r>
                    <w:rPr>
                      <w:rFonts w:ascii="Calibri" w:eastAsia="Calibri" w:hAnsi="Calibri" w:cs="Calibri"/>
                      <w:b/>
                      <w:color w:val="FFFFFF"/>
                      <w:sz w:val="18"/>
                      <w:szCs w:val="18"/>
                    </w:rPr>
                    <w:t>-km, z wyłączeniem wszystkich podatków</w:t>
                  </w:r>
                  <w:r w:rsidR="00701BA3">
                    <w:rPr>
                      <w:rFonts w:ascii="Calibri" w:eastAsia="Calibri" w:hAnsi="Calibri" w:cs="Calibri"/>
                      <w:b/>
                      <w:color w:val="FFFFFF"/>
                      <w:sz w:val="18"/>
                      <w:szCs w:val="18"/>
                    </w:rPr>
                    <w:t xml:space="preserve"> </w:t>
                  </w:r>
                  <w:r>
                    <w:rPr>
                      <w:rFonts w:ascii="Calibri" w:eastAsia="Calibri" w:hAnsi="Calibri" w:cs="Calibri"/>
                      <w:b/>
                      <w:color w:val="FFFFFF"/>
                      <w:sz w:val="18"/>
                      <w:szCs w:val="18"/>
                    </w:rPr>
                    <w:t>(*)</w:t>
                  </w:r>
                </w:p>
              </w:tc>
            </w:tr>
            <w:tr w:rsidR="00600DEE" w14:paraId="49934861"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4E2E44E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Amortyzacja lub utrata wartości rynkowej taboru</w:t>
                  </w:r>
                </w:p>
              </w:tc>
              <w:tc>
                <w:tcPr>
                  <w:tcW w:w="1427" w:type="dxa"/>
                  <w:tcBorders>
                    <w:top w:val="single" w:sz="4" w:space="0" w:color="FFFFFF"/>
                    <w:left w:val="single" w:sz="4" w:space="0" w:color="FFFFFF"/>
                    <w:bottom w:val="single" w:sz="4" w:space="0" w:color="FFFFFF"/>
                  </w:tcBorders>
                  <w:shd w:val="clear" w:color="auto" w:fill="DBE5F1"/>
                  <w:vAlign w:val="bottom"/>
                </w:tcPr>
                <w:p w14:paraId="601620AA"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400 000</w:t>
                  </w:r>
                </w:p>
              </w:tc>
              <w:tc>
                <w:tcPr>
                  <w:tcW w:w="1280" w:type="dxa"/>
                  <w:tcBorders>
                    <w:top w:val="single" w:sz="4" w:space="0" w:color="FFFFFF"/>
                    <w:left w:val="single" w:sz="4" w:space="0" w:color="FFFFFF"/>
                    <w:bottom w:val="single" w:sz="4" w:space="0" w:color="FFFFFF"/>
                  </w:tcBorders>
                  <w:shd w:val="clear" w:color="auto" w:fill="DBE5F1"/>
                  <w:vAlign w:val="bottom"/>
                </w:tcPr>
                <w:p w14:paraId="4BF0164A"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320 397</w:t>
                  </w:r>
                </w:p>
              </w:tc>
              <w:tc>
                <w:tcPr>
                  <w:tcW w:w="1440" w:type="dxa"/>
                  <w:tcBorders>
                    <w:top w:val="single" w:sz="4" w:space="0" w:color="FFFFFF"/>
                    <w:left w:val="single" w:sz="4" w:space="0" w:color="FFFFFF"/>
                    <w:bottom w:val="single" w:sz="4" w:space="0" w:color="FFFFFF"/>
                  </w:tcBorders>
                  <w:shd w:val="clear" w:color="auto" w:fill="DBE5F1"/>
                  <w:vAlign w:val="bottom"/>
                </w:tcPr>
                <w:p w14:paraId="5493EA60"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0,986</w:t>
                  </w:r>
                </w:p>
              </w:tc>
            </w:tr>
            <w:tr w:rsidR="00600DEE" w14:paraId="2FA51F5B"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324C937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Materiały eksploatacyjne</w:t>
                  </w:r>
                </w:p>
              </w:tc>
              <w:tc>
                <w:tcPr>
                  <w:tcW w:w="1427" w:type="dxa"/>
                  <w:tcBorders>
                    <w:top w:val="single" w:sz="4" w:space="0" w:color="FFFFFF"/>
                    <w:left w:val="single" w:sz="4" w:space="0" w:color="FFFFFF"/>
                    <w:bottom w:val="single" w:sz="4" w:space="0" w:color="FFFFFF"/>
                  </w:tcBorders>
                  <w:shd w:val="clear" w:color="auto" w:fill="DBE5F1"/>
                  <w:vAlign w:val="bottom"/>
                </w:tcPr>
                <w:p w14:paraId="3EC24174"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3 000</w:t>
                  </w:r>
                </w:p>
              </w:tc>
              <w:tc>
                <w:tcPr>
                  <w:tcW w:w="1280" w:type="dxa"/>
                  <w:tcBorders>
                    <w:top w:val="single" w:sz="4" w:space="0" w:color="FFFFFF"/>
                    <w:left w:val="single" w:sz="4" w:space="0" w:color="FFFFFF"/>
                    <w:bottom w:val="single" w:sz="4" w:space="0" w:color="FFFFFF"/>
                  </w:tcBorders>
                  <w:shd w:val="clear" w:color="auto" w:fill="DBE5F1"/>
                  <w:vAlign w:val="bottom"/>
                </w:tcPr>
                <w:p w14:paraId="3D55D755"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2 439</w:t>
                  </w:r>
                </w:p>
              </w:tc>
              <w:tc>
                <w:tcPr>
                  <w:tcW w:w="1440" w:type="dxa"/>
                  <w:tcBorders>
                    <w:top w:val="single" w:sz="4" w:space="0" w:color="FFFFFF"/>
                    <w:left w:val="single" w:sz="4" w:space="0" w:color="FFFFFF"/>
                    <w:bottom w:val="single" w:sz="4" w:space="0" w:color="FFFFFF"/>
                  </w:tcBorders>
                  <w:shd w:val="clear" w:color="auto" w:fill="DBE5F1"/>
                  <w:vAlign w:val="bottom"/>
                </w:tcPr>
                <w:p w14:paraId="2132A9B4"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0,075</w:t>
                  </w:r>
                </w:p>
              </w:tc>
            </w:tr>
            <w:tr w:rsidR="00600DEE" w14:paraId="0B5DFC95"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6CB0AC0A"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Opony </w:t>
                  </w:r>
                </w:p>
              </w:tc>
              <w:tc>
                <w:tcPr>
                  <w:tcW w:w="1427" w:type="dxa"/>
                  <w:tcBorders>
                    <w:top w:val="single" w:sz="4" w:space="0" w:color="FFFFFF"/>
                    <w:left w:val="single" w:sz="4" w:space="0" w:color="FFFFFF"/>
                    <w:bottom w:val="single" w:sz="4" w:space="0" w:color="FFFFFF"/>
                  </w:tcBorders>
                  <w:shd w:val="clear" w:color="auto" w:fill="DBE5F1"/>
                  <w:vAlign w:val="bottom"/>
                </w:tcPr>
                <w:p w14:paraId="50C4EE7F"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 </w:t>
                  </w:r>
                </w:p>
              </w:tc>
              <w:tc>
                <w:tcPr>
                  <w:tcW w:w="1280" w:type="dxa"/>
                  <w:tcBorders>
                    <w:top w:val="single" w:sz="4" w:space="0" w:color="FFFFFF"/>
                    <w:left w:val="single" w:sz="4" w:space="0" w:color="FFFFFF"/>
                    <w:bottom w:val="single" w:sz="4" w:space="0" w:color="FFFFFF"/>
                  </w:tcBorders>
                  <w:shd w:val="clear" w:color="auto" w:fill="DBE5F1"/>
                  <w:vAlign w:val="bottom"/>
                </w:tcPr>
                <w:p w14:paraId="2DFE6983"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 </w:t>
                  </w:r>
                </w:p>
              </w:tc>
              <w:tc>
                <w:tcPr>
                  <w:tcW w:w="1440" w:type="dxa"/>
                  <w:tcBorders>
                    <w:top w:val="single" w:sz="4" w:space="0" w:color="FFFFFF"/>
                    <w:left w:val="single" w:sz="4" w:space="0" w:color="FFFFFF"/>
                    <w:bottom w:val="single" w:sz="4" w:space="0" w:color="FFFFFF"/>
                  </w:tcBorders>
                  <w:shd w:val="clear" w:color="auto" w:fill="DBE5F1"/>
                  <w:vAlign w:val="bottom"/>
                </w:tcPr>
                <w:p w14:paraId="1422853C"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0,147</w:t>
                  </w:r>
                </w:p>
              </w:tc>
            </w:tr>
            <w:tr w:rsidR="00600DEE" w14:paraId="160F1558"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2FAF92EE"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 xml:space="preserve">Ubezpieczenie komunikacyjne (OCP, OC, AC) </w:t>
                  </w:r>
                </w:p>
                <w:p w14:paraId="7DA49424" w14:textId="77777777" w:rsidR="00600DEE" w:rsidRDefault="00600DEE">
                  <w:pPr>
                    <w:rPr>
                      <w:rFonts w:ascii="Calibri" w:eastAsia="Calibri" w:hAnsi="Calibri" w:cs="Calibri"/>
                      <w:color w:val="4F81BD"/>
                      <w:sz w:val="18"/>
                      <w:szCs w:val="18"/>
                    </w:rPr>
                  </w:pPr>
                </w:p>
              </w:tc>
              <w:tc>
                <w:tcPr>
                  <w:tcW w:w="1427" w:type="dxa"/>
                  <w:tcBorders>
                    <w:top w:val="single" w:sz="4" w:space="0" w:color="FFFFFF"/>
                    <w:left w:val="single" w:sz="4" w:space="0" w:color="FFFFFF"/>
                    <w:bottom w:val="single" w:sz="4" w:space="0" w:color="FFFFFF"/>
                  </w:tcBorders>
                  <w:shd w:val="clear" w:color="auto" w:fill="DBE5F1"/>
                  <w:vAlign w:val="bottom"/>
                </w:tcPr>
                <w:p w14:paraId="2DD4278F"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8 000</w:t>
                  </w:r>
                </w:p>
              </w:tc>
              <w:tc>
                <w:tcPr>
                  <w:tcW w:w="1280" w:type="dxa"/>
                  <w:tcBorders>
                    <w:top w:val="single" w:sz="4" w:space="0" w:color="FFFFFF"/>
                    <w:left w:val="single" w:sz="4" w:space="0" w:color="FFFFFF"/>
                    <w:bottom w:val="single" w:sz="4" w:space="0" w:color="FFFFFF"/>
                  </w:tcBorders>
                  <w:shd w:val="clear" w:color="auto" w:fill="DBE5F1"/>
                  <w:vAlign w:val="bottom"/>
                </w:tcPr>
                <w:p w14:paraId="3EFE63CE"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8 000</w:t>
                  </w:r>
                </w:p>
              </w:tc>
              <w:tc>
                <w:tcPr>
                  <w:tcW w:w="1440" w:type="dxa"/>
                  <w:tcBorders>
                    <w:top w:val="single" w:sz="4" w:space="0" w:color="FFFFFF"/>
                    <w:left w:val="single" w:sz="4" w:space="0" w:color="FFFFFF"/>
                    <w:bottom w:val="single" w:sz="4" w:space="0" w:color="FFFFFF"/>
                  </w:tcBorders>
                  <w:shd w:val="clear" w:color="auto" w:fill="DBE5F1"/>
                  <w:vAlign w:val="bottom"/>
                </w:tcPr>
                <w:p w14:paraId="40479AEC"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0,246</w:t>
                  </w:r>
                </w:p>
              </w:tc>
            </w:tr>
            <w:tr w:rsidR="00600DEE" w14:paraId="126619EC" w14:textId="77777777" w:rsidTr="00701BA3">
              <w:trPr>
                <w:trHeight w:hRule="exact" w:val="567"/>
              </w:trPr>
              <w:tc>
                <w:tcPr>
                  <w:tcW w:w="2043" w:type="dxa"/>
                  <w:tcBorders>
                    <w:top w:val="single" w:sz="4" w:space="0" w:color="FFFFFF"/>
                    <w:left w:val="single" w:sz="4" w:space="0" w:color="FFFFFF"/>
                    <w:bottom w:val="single" w:sz="4" w:space="0" w:color="FFFFFF"/>
                  </w:tcBorders>
                  <w:shd w:val="clear" w:color="auto" w:fill="95B3D7"/>
                  <w:vAlign w:val="center"/>
                </w:tcPr>
                <w:p w14:paraId="6F1EB1AE"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OGÓŁEM (PLN/km)</w:t>
                  </w:r>
                </w:p>
              </w:tc>
              <w:tc>
                <w:tcPr>
                  <w:tcW w:w="1427" w:type="dxa"/>
                  <w:tcBorders>
                    <w:top w:val="single" w:sz="4" w:space="0" w:color="FFFFFF"/>
                    <w:left w:val="single" w:sz="4" w:space="0" w:color="FFFFFF"/>
                    <w:bottom w:val="single" w:sz="4" w:space="0" w:color="FFFFFF"/>
                  </w:tcBorders>
                  <w:shd w:val="clear" w:color="auto" w:fill="95B3D7"/>
                  <w:vAlign w:val="bottom"/>
                </w:tcPr>
                <w:p w14:paraId="079349A4" w14:textId="77777777" w:rsidR="00600DEE" w:rsidRDefault="00600DEE">
                  <w:pPr>
                    <w:jc w:val="center"/>
                    <w:rPr>
                      <w:rFonts w:ascii="Calibri" w:eastAsia="Calibri" w:hAnsi="Calibri" w:cs="Calibri"/>
                      <w:b/>
                      <w:color w:val="FFFFFF"/>
                      <w:sz w:val="18"/>
                      <w:szCs w:val="18"/>
                    </w:rPr>
                  </w:pPr>
                </w:p>
              </w:tc>
              <w:tc>
                <w:tcPr>
                  <w:tcW w:w="1280" w:type="dxa"/>
                  <w:tcBorders>
                    <w:top w:val="single" w:sz="4" w:space="0" w:color="FFFFFF"/>
                    <w:left w:val="single" w:sz="4" w:space="0" w:color="FFFFFF"/>
                    <w:bottom w:val="single" w:sz="4" w:space="0" w:color="FFFFFF"/>
                  </w:tcBorders>
                  <w:shd w:val="clear" w:color="auto" w:fill="95B3D7"/>
                  <w:vAlign w:val="bottom"/>
                </w:tcPr>
                <w:p w14:paraId="387CBB92" w14:textId="77777777" w:rsidR="00600DEE" w:rsidRDefault="00600DEE">
                  <w:pPr>
                    <w:jc w:val="center"/>
                    <w:rPr>
                      <w:rFonts w:ascii="Calibri" w:eastAsia="Calibri" w:hAnsi="Calibri" w:cs="Calibri"/>
                      <w:b/>
                      <w:color w:val="FFFFFF"/>
                      <w:sz w:val="18"/>
                      <w:szCs w:val="18"/>
                    </w:rPr>
                  </w:pPr>
                </w:p>
              </w:tc>
              <w:tc>
                <w:tcPr>
                  <w:tcW w:w="1440" w:type="dxa"/>
                  <w:tcBorders>
                    <w:top w:val="single" w:sz="4" w:space="0" w:color="FFFFFF"/>
                    <w:left w:val="single" w:sz="4" w:space="0" w:color="FFFFFF"/>
                    <w:bottom w:val="single" w:sz="4" w:space="0" w:color="FFFFFF"/>
                  </w:tcBorders>
                  <w:shd w:val="clear" w:color="auto" w:fill="95B3D7"/>
                  <w:vAlign w:val="bottom"/>
                </w:tcPr>
                <w:p w14:paraId="2434A336"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1,454</w:t>
                  </w:r>
                </w:p>
              </w:tc>
            </w:tr>
          </w:tbl>
          <w:p w14:paraId="71FD3B43" w14:textId="77777777" w:rsidR="00600DEE" w:rsidRDefault="00641FB5">
            <w:pPr>
              <w:ind w:right="170"/>
              <w:jc w:val="both"/>
              <w:rPr>
                <w:rFonts w:ascii="Calibri" w:eastAsia="Calibri" w:hAnsi="Calibri" w:cs="Calibri"/>
                <w:b/>
                <w:i/>
                <w:sz w:val="10"/>
                <w:szCs w:val="10"/>
              </w:rPr>
            </w:pPr>
            <w:r>
              <w:rPr>
                <w:rFonts w:ascii="Calibri" w:eastAsia="Calibri" w:hAnsi="Calibri" w:cs="Calibri"/>
                <w:b/>
                <w:i/>
                <w:sz w:val="16"/>
                <w:szCs w:val="16"/>
              </w:rPr>
              <w:t>Źródła:</w:t>
            </w:r>
            <w:r>
              <w:t xml:space="preserve"> </w:t>
            </w:r>
            <w:hyperlink r:id="rId159">
              <w:r>
                <w:rPr>
                  <w:rFonts w:ascii="Calibri" w:eastAsia="Calibri" w:hAnsi="Calibri" w:cs="Calibri"/>
                  <w:b/>
                  <w:i/>
                  <w:color w:val="0000FF"/>
                  <w:sz w:val="16"/>
                  <w:szCs w:val="16"/>
                  <w:u w:val="single"/>
                </w:rPr>
                <w:t xml:space="preserve">Jak wyznaczyć stawkę za km zlecenia transportowego? - </w:t>
              </w:r>
              <w:proofErr w:type="spellStart"/>
              <w:r>
                <w:rPr>
                  <w:rFonts w:ascii="Calibri" w:eastAsia="Calibri" w:hAnsi="Calibri" w:cs="Calibri"/>
                  <w:b/>
                  <w:i/>
                  <w:color w:val="0000FF"/>
                  <w:sz w:val="16"/>
                  <w:szCs w:val="16"/>
                  <w:u w:val="single"/>
                </w:rPr>
                <w:t>FireTMS</w:t>
              </w:r>
              <w:proofErr w:type="spellEnd"/>
            </w:hyperlink>
            <w:r>
              <w:rPr>
                <w:rFonts w:ascii="Calibri" w:eastAsia="Calibri" w:hAnsi="Calibri" w:cs="Calibri"/>
                <w:b/>
                <w:i/>
                <w:sz w:val="8"/>
                <w:szCs w:val="8"/>
              </w:rPr>
              <w:t xml:space="preserve"> </w:t>
            </w:r>
            <w:r>
              <w:rPr>
                <w:rFonts w:ascii="Calibri" w:eastAsia="Calibri" w:hAnsi="Calibri" w:cs="Calibri"/>
                <w:b/>
                <w:i/>
                <w:sz w:val="10"/>
                <w:szCs w:val="10"/>
              </w:rPr>
              <w:t xml:space="preserve"> </w:t>
            </w:r>
          </w:p>
          <w:p w14:paraId="1AD772F3" w14:textId="79FB3691"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16"/>
                <w:szCs w:val="16"/>
              </w:rPr>
              <w:t xml:space="preserve">(*) Zakładając średni roczny przebieg HGV zgodnie z: „Prognozy eksperckie zmian aktywności sektora transportu drogowego (w kontekście ustawy o systemie zarządzania emisjami gazów cieplarnianych i </w:t>
            </w:r>
            <w:r w:rsidR="00C65DA8">
              <w:rPr>
                <w:rFonts w:ascii="Calibri" w:eastAsia="Calibri" w:hAnsi="Calibri" w:cs="Calibri"/>
                <w:b/>
                <w:i/>
                <w:color w:val="000000"/>
                <w:sz w:val="16"/>
                <w:szCs w:val="16"/>
              </w:rPr>
              <w:t>innych substancji)", ITS 2017.</w:t>
            </w:r>
            <w:r>
              <w:rPr>
                <w:rFonts w:ascii="Calibri" w:eastAsia="Calibri" w:hAnsi="Calibri" w:cs="Calibri"/>
                <w:b/>
                <w:i/>
                <w:color w:val="000000"/>
                <w:sz w:val="16"/>
                <w:szCs w:val="16"/>
              </w:rPr>
              <w:tab/>
            </w:r>
          </w:p>
          <w:p w14:paraId="7EC4B916" w14:textId="77777777" w:rsidR="00701BA3" w:rsidRDefault="00701BA3">
            <w:pPr>
              <w:pBdr>
                <w:top w:val="nil"/>
                <w:left w:val="nil"/>
                <w:bottom w:val="nil"/>
                <w:right w:val="nil"/>
                <w:between w:val="nil"/>
              </w:pBdr>
              <w:spacing w:before="120"/>
              <w:jc w:val="both"/>
              <w:rPr>
                <w:rFonts w:ascii="Calibri" w:eastAsia="Calibri" w:hAnsi="Calibri" w:cs="Calibri"/>
                <w:color w:val="000000"/>
                <w:sz w:val="20"/>
                <w:szCs w:val="20"/>
                <w:u w:val="single"/>
              </w:rPr>
            </w:pPr>
          </w:p>
          <w:p w14:paraId="5661A69F" w14:textId="54634116" w:rsidR="00600DEE" w:rsidRDefault="00641FB5" w:rsidP="00701BA3">
            <w:pPr>
              <w:pBdr>
                <w:top w:val="nil"/>
                <w:left w:val="nil"/>
                <w:bottom w:val="nil"/>
                <w:right w:val="nil"/>
                <w:between w:val="nil"/>
              </w:pBdr>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Założenia do kosztów eksploatacji (VOC) spalinowych pojazdów LV i HGV</w:t>
            </w:r>
          </w:p>
          <w:p w14:paraId="7B421380" w14:textId="77777777" w:rsidR="00600DEE" w:rsidRDefault="00641FB5">
            <w:pPr>
              <w:pBdr>
                <w:top w:val="nil"/>
                <w:left w:val="nil"/>
                <w:bottom w:val="nil"/>
                <w:right w:val="nil"/>
                <w:between w:val="nil"/>
              </w:pBdr>
              <w:spacing w:before="60"/>
              <w:jc w:val="both"/>
              <w:rPr>
                <w:rFonts w:ascii="Calibri" w:eastAsia="Calibri" w:hAnsi="Calibri" w:cs="Calibri"/>
                <w:color w:val="000000"/>
                <w:sz w:val="20"/>
                <w:szCs w:val="20"/>
              </w:rPr>
            </w:pPr>
            <w:r>
              <w:rPr>
                <w:rFonts w:ascii="Calibri" w:eastAsia="Calibri" w:hAnsi="Calibri" w:cs="Calibri"/>
                <w:b/>
                <w:color w:val="000000"/>
                <w:sz w:val="20"/>
                <w:szCs w:val="20"/>
              </w:rPr>
              <w:t>Całkowite VOC dla LV i HGV</w:t>
            </w:r>
            <w:r>
              <w:rPr>
                <w:rFonts w:ascii="Calibri" w:eastAsia="Calibri" w:hAnsi="Calibri" w:cs="Calibri"/>
                <w:color w:val="000000"/>
                <w:sz w:val="20"/>
                <w:szCs w:val="20"/>
              </w:rPr>
              <w:t xml:space="preserve"> (koszty jednostkowe w Załączniku A) szacowane są jako suma kosztów zużycia paliwa (wyrażone funkcją prędkości podróży) plus inne koszty (jedne i drugie z wyłączeniem wszelkich podatków, ceł i opłat publicznych), tak jak przedstawiono obydwa z tych komponentów powyżej. Dotyczą one drogi w dobrym stanie (tzn. z nawierzchnią </w:t>
            </w:r>
            <w:proofErr w:type="spellStart"/>
            <w:r>
              <w:rPr>
                <w:rFonts w:ascii="Calibri" w:eastAsia="Calibri" w:hAnsi="Calibri" w:cs="Calibri"/>
                <w:color w:val="000000"/>
                <w:sz w:val="20"/>
                <w:szCs w:val="20"/>
              </w:rPr>
              <w:t>nowowybudowaną</w:t>
            </w:r>
            <w:proofErr w:type="spellEnd"/>
            <w:r>
              <w:rPr>
                <w:rFonts w:ascii="Calibri" w:eastAsia="Calibri" w:hAnsi="Calibri" w:cs="Calibri"/>
                <w:color w:val="000000"/>
                <w:sz w:val="20"/>
                <w:szCs w:val="20"/>
              </w:rPr>
              <w:t>/wyremontowaną) i płaskiego terenu.</w:t>
            </w:r>
          </w:p>
          <w:p w14:paraId="30F30B5D"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74A7A951"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p w14:paraId="53B63B3B"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p w14:paraId="0AAB839C"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rPr>
            </w:pPr>
          </w:p>
          <w:p w14:paraId="52D80CB6"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rPr>
            </w:pPr>
          </w:p>
          <w:p w14:paraId="7707BDFB" w14:textId="2360C7A7" w:rsidR="00600DEE" w:rsidRDefault="00641FB5">
            <w:pPr>
              <w:pBdr>
                <w:top w:val="nil"/>
                <w:left w:val="nil"/>
                <w:bottom w:val="nil"/>
                <w:right w:val="nil"/>
                <w:between w:val="nil"/>
              </w:pBdr>
              <w:spacing w:before="6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 związku z tym, odpowiednie współczynniki dotyczące innych warunków drogowych i typów terenu przedstawiono poniżej:</w:t>
            </w:r>
          </w:p>
          <w:p w14:paraId="5F796AD6" w14:textId="77777777" w:rsidR="00701BA3" w:rsidRDefault="00701BA3">
            <w:pPr>
              <w:pBdr>
                <w:top w:val="nil"/>
                <w:left w:val="nil"/>
                <w:bottom w:val="nil"/>
                <w:right w:val="nil"/>
                <w:between w:val="nil"/>
              </w:pBdr>
              <w:spacing w:before="120"/>
              <w:jc w:val="both"/>
              <w:rPr>
                <w:rFonts w:ascii="Calibri" w:eastAsia="Calibri" w:hAnsi="Calibri" w:cs="Calibri"/>
                <w:color w:val="000000"/>
                <w:sz w:val="20"/>
                <w:szCs w:val="20"/>
                <w:u w:val="single"/>
              </w:rPr>
            </w:pPr>
          </w:p>
          <w:p w14:paraId="7F104628" w14:textId="7670C66E"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Nachylenie podłużne drogi:</w:t>
            </w:r>
          </w:p>
          <w:p w14:paraId="2E607607" w14:textId="24C9F03F" w:rsidR="00600DEE" w:rsidRDefault="00641FB5" w:rsidP="00701BA3">
            <w:pPr>
              <w:pBdr>
                <w:top w:val="nil"/>
                <w:left w:val="nil"/>
                <w:bottom w:val="nil"/>
                <w:right w:val="nil"/>
                <w:between w:val="nil"/>
              </w:pBdr>
              <w:spacing w:before="60" w:after="240"/>
              <w:jc w:val="both"/>
              <w:rPr>
                <w:rFonts w:ascii="Calibri" w:eastAsia="Calibri" w:hAnsi="Calibri" w:cs="Calibri"/>
                <w:color w:val="000000"/>
                <w:sz w:val="20"/>
                <w:szCs w:val="20"/>
              </w:rPr>
            </w:pPr>
            <w:r>
              <w:rPr>
                <w:rFonts w:ascii="Calibri" w:eastAsia="Calibri" w:hAnsi="Calibri" w:cs="Calibri"/>
                <w:color w:val="000000"/>
                <w:sz w:val="20"/>
                <w:szCs w:val="20"/>
              </w:rPr>
              <w:t>Przyjmuje się, że teren falisty zwiększa zużycie paliwa pojazdów lekkich o 15%. W przypadku HGV, odpowiedni współczynnik uzyskano w oparciu o zastosowane równania do wyliczania zużycia paliwa.</w:t>
            </w:r>
          </w:p>
          <w:p w14:paraId="7212734E"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p w14:paraId="459CAA02" w14:textId="1EC56780" w:rsidR="00600DEE" w:rsidRDefault="00641FB5">
            <w:pPr>
              <w:pBdr>
                <w:top w:val="nil"/>
                <w:left w:val="nil"/>
                <w:bottom w:val="nil"/>
                <w:right w:val="nil"/>
                <w:between w:val="nil"/>
              </w:pBdr>
              <w:spacing w:before="60"/>
              <w:jc w:val="both"/>
              <w:rPr>
                <w:rFonts w:ascii="Calibri" w:eastAsia="Calibri" w:hAnsi="Calibri" w:cs="Calibri"/>
                <w:color w:val="000000"/>
                <w:sz w:val="20"/>
                <w:szCs w:val="20"/>
              </w:rPr>
            </w:pPr>
            <w:r>
              <w:rPr>
                <w:rFonts w:ascii="Calibri" w:eastAsia="Calibri" w:hAnsi="Calibri" w:cs="Calibri"/>
                <w:color w:val="000000"/>
                <w:sz w:val="20"/>
                <w:szCs w:val="20"/>
              </w:rPr>
              <w:t>Odpowiednie mnożniki stosowane do łącznych VOC zaprezentowano poniżej:</w:t>
            </w:r>
          </w:p>
          <w:p w14:paraId="16205D8A"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tbl>
            <w:tblPr>
              <w:tblStyle w:val="affffffffffffff8"/>
              <w:tblW w:w="3395" w:type="dxa"/>
              <w:tblLayout w:type="fixed"/>
              <w:tblLook w:val="0400" w:firstRow="0" w:lastRow="0" w:firstColumn="0" w:lastColumn="0" w:noHBand="0" w:noVBand="1"/>
            </w:tblPr>
            <w:tblGrid>
              <w:gridCol w:w="1694"/>
              <w:gridCol w:w="850"/>
              <w:gridCol w:w="851"/>
            </w:tblGrid>
            <w:tr w:rsidR="00600DEE" w14:paraId="586BEED1" w14:textId="77777777" w:rsidTr="00701BA3">
              <w:trPr>
                <w:trHeight w:hRule="exact" w:val="454"/>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2632E2C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Rodzaj teren</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09337E4F"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17815A25"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HGV</w:t>
                  </w:r>
                </w:p>
              </w:tc>
            </w:tr>
            <w:tr w:rsidR="00600DEE" w14:paraId="1FAAFD39" w14:textId="77777777" w:rsidTr="00701BA3">
              <w:trPr>
                <w:trHeight w:hRule="exac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3FB5BCAA"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3A139F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1DD8C28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29C04DD3" w14:textId="77777777" w:rsidTr="00701BA3">
              <w:trPr>
                <w:trHeight w:hRule="exac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7DC1412E"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Falisty</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79EE7A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1,032</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4CEC8BE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1,200</w:t>
                  </w:r>
                </w:p>
              </w:tc>
            </w:tr>
          </w:tbl>
          <w:p w14:paraId="51766BDF" w14:textId="48DE700C" w:rsidR="00600DEE" w:rsidRDefault="00641FB5">
            <w:pPr>
              <w:pBdr>
                <w:top w:val="nil"/>
                <w:left w:val="nil"/>
                <w:bottom w:val="nil"/>
                <w:right w:val="nil"/>
                <w:between w:val="nil"/>
              </w:pBdr>
              <w:spacing w:before="60"/>
              <w:jc w:val="both"/>
              <w:rPr>
                <w:rFonts w:ascii="Calibri" w:eastAsia="Calibri" w:hAnsi="Calibri" w:cs="Calibri"/>
                <w:b/>
                <w:color w:val="000000"/>
                <w:sz w:val="16"/>
                <w:szCs w:val="16"/>
              </w:rPr>
            </w:pPr>
            <w:r>
              <w:rPr>
                <w:rFonts w:ascii="Calibri" w:eastAsia="Calibri" w:hAnsi="Calibri" w:cs="Calibri"/>
                <w:b/>
                <w:color w:val="000000"/>
                <w:sz w:val="16"/>
                <w:szCs w:val="16"/>
              </w:rPr>
              <w:t>Źródła: opracowanie własne bazujące przede wszystkim na pracy „</w:t>
            </w:r>
            <w:proofErr w:type="spellStart"/>
            <w:r>
              <w:rPr>
                <w:rFonts w:ascii="Calibri" w:eastAsia="Calibri" w:hAnsi="Calibri" w:cs="Calibri"/>
                <w:b/>
                <w:color w:val="000000"/>
                <w:sz w:val="16"/>
                <w:szCs w:val="16"/>
              </w:rPr>
              <w:t>Minimizing</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vehicle</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fuel</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consumption</w:t>
            </w:r>
            <w:proofErr w:type="spellEnd"/>
            <w:r>
              <w:rPr>
                <w:rFonts w:ascii="Calibri" w:eastAsia="Calibri" w:hAnsi="Calibri" w:cs="Calibri"/>
                <w:b/>
                <w:color w:val="000000"/>
                <w:sz w:val="16"/>
                <w:szCs w:val="16"/>
              </w:rPr>
              <w:t xml:space="preserve"> on </w:t>
            </w:r>
            <w:proofErr w:type="spellStart"/>
            <w:r>
              <w:rPr>
                <w:rFonts w:ascii="Calibri" w:eastAsia="Calibri" w:hAnsi="Calibri" w:cs="Calibri"/>
                <w:b/>
                <w:color w:val="000000"/>
                <w:sz w:val="16"/>
                <w:szCs w:val="16"/>
              </w:rPr>
              <w:t>hilly</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roads</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based</w:t>
            </w:r>
            <w:proofErr w:type="spellEnd"/>
            <w:r>
              <w:rPr>
                <w:rFonts w:ascii="Calibri" w:eastAsia="Calibri" w:hAnsi="Calibri" w:cs="Calibri"/>
                <w:b/>
                <w:color w:val="000000"/>
                <w:sz w:val="16"/>
                <w:szCs w:val="16"/>
              </w:rPr>
              <w:t xml:space="preserve"> on </w:t>
            </w:r>
            <w:proofErr w:type="spellStart"/>
            <w:r>
              <w:rPr>
                <w:rFonts w:ascii="Calibri" w:eastAsia="Calibri" w:hAnsi="Calibri" w:cs="Calibri"/>
                <w:b/>
                <w:color w:val="000000"/>
                <w:sz w:val="16"/>
                <w:szCs w:val="16"/>
              </w:rPr>
              <w:t>dynamic</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programming</w:t>
            </w:r>
            <w:proofErr w:type="spellEnd"/>
            <w:r>
              <w:rPr>
                <w:rFonts w:ascii="Calibri" w:eastAsia="Calibri" w:hAnsi="Calibri" w:cs="Calibri"/>
                <w:b/>
                <w:color w:val="000000"/>
                <w:sz w:val="16"/>
                <w:szCs w:val="16"/>
              </w:rPr>
              <w:t xml:space="preserve">” - Min </w:t>
            </w:r>
            <w:proofErr w:type="spellStart"/>
            <w:r>
              <w:rPr>
                <w:rFonts w:ascii="Calibri" w:eastAsia="Calibri" w:hAnsi="Calibri" w:cs="Calibri"/>
                <w:b/>
                <w:color w:val="000000"/>
                <w:sz w:val="16"/>
                <w:szCs w:val="16"/>
              </w:rPr>
              <w:t>Zhou</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Hui</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Jin</w:t>
            </w:r>
            <w:proofErr w:type="spellEnd"/>
            <w:r>
              <w:rPr>
                <w:rFonts w:ascii="Calibri" w:eastAsia="Calibri" w:hAnsi="Calibri" w:cs="Calibri"/>
                <w:b/>
                <w:color w:val="000000"/>
                <w:sz w:val="16"/>
                <w:szCs w:val="16"/>
              </w:rPr>
              <w:t xml:space="preserve">, Feng </w:t>
            </w:r>
            <w:proofErr w:type="spellStart"/>
            <w:r>
              <w:rPr>
                <w:rFonts w:ascii="Calibri" w:eastAsia="Calibri" w:hAnsi="Calibri" w:cs="Calibri"/>
                <w:b/>
                <w:color w:val="000000"/>
                <w:sz w:val="16"/>
                <w:szCs w:val="16"/>
              </w:rPr>
              <w:t>Ding</w:t>
            </w:r>
            <w:proofErr w:type="spellEnd"/>
            <w:r>
              <w:rPr>
                <w:rFonts w:ascii="Calibri" w:eastAsia="Calibri" w:hAnsi="Calibri" w:cs="Calibri"/>
                <w:b/>
                <w:color w:val="000000"/>
                <w:sz w:val="16"/>
                <w:szCs w:val="16"/>
              </w:rPr>
              <w:t xml:space="preserve">, 2017 (sagepub.com) w przypadku LV; oraz „EMEP/EEA </w:t>
            </w:r>
            <w:proofErr w:type="spellStart"/>
            <w:r>
              <w:rPr>
                <w:rFonts w:ascii="Calibri" w:eastAsia="Calibri" w:hAnsi="Calibri" w:cs="Calibri"/>
                <w:b/>
                <w:color w:val="000000"/>
                <w:sz w:val="16"/>
                <w:szCs w:val="16"/>
              </w:rPr>
              <w:t>air</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pollutant</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emission</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inventory</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guidebook</w:t>
            </w:r>
            <w:proofErr w:type="spellEnd"/>
            <w:r>
              <w:rPr>
                <w:rFonts w:ascii="Calibri" w:eastAsia="Calibri" w:hAnsi="Calibri" w:cs="Calibri"/>
                <w:b/>
                <w:color w:val="000000"/>
                <w:sz w:val="16"/>
                <w:szCs w:val="16"/>
              </w:rPr>
              <w:t xml:space="preserve">, 2019,” 1.A.3.b.i-iv Road Transport Appendix 4 </w:t>
            </w:r>
            <w:proofErr w:type="spellStart"/>
            <w:r>
              <w:rPr>
                <w:rFonts w:ascii="Calibri" w:eastAsia="Calibri" w:hAnsi="Calibri" w:cs="Calibri"/>
                <w:b/>
                <w:color w:val="000000"/>
                <w:sz w:val="16"/>
                <w:szCs w:val="16"/>
              </w:rPr>
              <w:t>Emission</w:t>
            </w:r>
            <w:proofErr w:type="spellEnd"/>
            <w:r>
              <w:rPr>
                <w:rFonts w:ascii="Calibri" w:eastAsia="Calibri" w:hAnsi="Calibri" w:cs="Calibri"/>
                <w:b/>
                <w:color w:val="000000"/>
                <w:sz w:val="16"/>
                <w:szCs w:val="16"/>
              </w:rPr>
              <w:t xml:space="preserve"> </w:t>
            </w:r>
            <w:proofErr w:type="spellStart"/>
            <w:r>
              <w:rPr>
                <w:rFonts w:ascii="Calibri" w:eastAsia="Calibri" w:hAnsi="Calibri" w:cs="Calibri"/>
                <w:b/>
                <w:color w:val="000000"/>
                <w:sz w:val="16"/>
                <w:szCs w:val="16"/>
              </w:rPr>
              <w:t>Factors</w:t>
            </w:r>
            <w:proofErr w:type="spellEnd"/>
            <w:r>
              <w:rPr>
                <w:rFonts w:ascii="Calibri" w:eastAsia="Calibri" w:hAnsi="Calibri" w:cs="Calibri"/>
                <w:b/>
                <w:color w:val="000000"/>
                <w:sz w:val="16"/>
                <w:szCs w:val="16"/>
              </w:rPr>
              <w:t xml:space="preserve"> 2019 (Sept. 2020)” w przypadku HGV.</w:t>
            </w:r>
          </w:p>
          <w:p w14:paraId="187D47D1" w14:textId="7426204B" w:rsidR="00701BA3" w:rsidRDefault="00701BA3">
            <w:pPr>
              <w:pBdr>
                <w:top w:val="nil"/>
                <w:left w:val="nil"/>
                <w:bottom w:val="nil"/>
                <w:right w:val="nil"/>
                <w:between w:val="nil"/>
              </w:pBdr>
              <w:spacing w:before="60"/>
              <w:jc w:val="both"/>
              <w:rPr>
                <w:rFonts w:ascii="Calibri" w:eastAsia="Calibri" w:hAnsi="Calibri" w:cs="Calibri"/>
                <w:b/>
                <w:color w:val="000000"/>
                <w:sz w:val="16"/>
                <w:szCs w:val="16"/>
              </w:rPr>
            </w:pPr>
          </w:p>
          <w:p w14:paraId="75B1E098" w14:textId="44021118" w:rsidR="00701BA3" w:rsidRDefault="00701BA3">
            <w:pPr>
              <w:pBdr>
                <w:top w:val="nil"/>
                <w:left w:val="nil"/>
                <w:bottom w:val="nil"/>
                <w:right w:val="nil"/>
                <w:between w:val="nil"/>
              </w:pBdr>
              <w:spacing w:before="60"/>
              <w:jc w:val="both"/>
              <w:rPr>
                <w:rFonts w:ascii="Calibri" w:eastAsia="Calibri" w:hAnsi="Calibri" w:cs="Calibri"/>
                <w:b/>
                <w:color w:val="000000"/>
                <w:sz w:val="16"/>
                <w:szCs w:val="16"/>
              </w:rPr>
            </w:pPr>
          </w:p>
          <w:p w14:paraId="1E569286" w14:textId="77777777" w:rsidR="00701BA3" w:rsidRDefault="00701BA3">
            <w:pPr>
              <w:pBdr>
                <w:top w:val="nil"/>
                <w:left w:val="nil"/>
                <w:bottom w:val="nil"/>
                <w:right w:val="nil"/>
                <w:between w:val="nil"/>
              </w:pBdr>
              <w:spacing w:before="60"/>
              <w:jc w:val="both"/>
              <w:rPr>
                <w:rFonts w:ascii="Calibri" w:eastAsia="Calibri" w:hAnsi="Calibri" w:cs="Calibri"/>
                <w:b/>
                <w:color w:val="000000"/>
                <w:sz w:val="16"/>
                <w:szCs w:val="16"/>
              </w:rPr>
            </w:pPr>
          </w:p>
          <w:p w14:paraId="47152A2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Stan drogi</w:t>
            </w:r>
          </w:p>
          <w:p w14:paraId="11FEA902" w14:textId="361AF3A2"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Na podstawie: “</w:t>
            </w:r>
            <w:proofErr w:type="spellStart"/>
            <w:r>
              <w:rPr>
                <w:rFonts w:ascii="Calibri" w:eastAsia="Calibri" w:hAnsi="Calibri" w:cs="Calibri"/>
                <w:color w:val="000000"/>
                <w:sz w:val="20"/>
                <w:szCs w:val="20"/>
              </w:rPr>
              <w:t>Optimisation</w:t>
            </w:r>
            <w:proofErr w:type="spellEnd"/>
            <w:r>
              <w:rPr>
                <w:rFonts w:ascii="Calibri" w:eastAsia="Calibri" w:hAnsi="Calibri" w:cs="Calibri"/>
                <w:color w:val="000000"/>
                <w:sz w:val="20"/>
                <w:szCs w:val="20"/>
              </w:rPr>
              <w:t xml:space="preserve"> of</w:t>
            </w:r>
            <w:r w:rsidR="00C65DA8">
              <w:rPr>
                <w:rFonts w:ascii="Calibri" w:eastAsia="Calibri" w:hAnsi="Calibri" w:cs="Calibri"/>
                <w:color w:val="000000"/>
                <w:sz w:val="20"/>
                <w:szCs w:val="20"/>
              </w:rPr>
              <w:t xml:space="preserve"> </w:t>
            </w:r>
            <w:proofErr w:type="spellStart"/>
            <w:r w:rsidR="00C65DA8">
              <w:rPr>
                <w:rFonts w:ascii="Calibri" w:eastAsia="Calibri" w:hAnsi="Calibri" w:cs="Calibri"/>
                <w:color w:val="000000"/>
                <w:sz w:val="20"/>
                <w:szCs w:val="20"/>
              </w:rPr>
              <w:t>Maintenance</w:t>
            </w:r>
            <w:proofErr w:type="spellEnd"/>
            <w:r w:rsidR="00C65DA8">
              <w:rPr>
                <w:rFonts w:ascii="Calibri" w:eastAsia="Calibri" w:hAnsi="Calibri" w:cs="Calibri"/>
                <w:color w:val="000000"/>
                <w:sz w:val="20"/>
                <w:szCs w:val="20"/>
              </w:rPr>
              <w:t>", (OECD/ITF 2012, str</w:t>
            </w:r>
            <w:r>
              <w:rPr>
                <w:rFonts w:ascii="Calibri" w:eastAsia="Calibri" w:hAnsi="Calibri" w:cs="Calibri"/>
                <w:color w:val="000000"/>
                <w:sz w:val="20"/>
                <w:szCs w:val="20"/>
              </w:rPr>
              <w:t>. 12) uzyskano następujące współczynniki. Poniższe mnożniki stosowane są do łącznych VOC:</w:t>
            </w:r>
          </w:p>
          <w:p w14:paraId="453D121B" w14:textId="52EC6B73"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52E30C38" w14:textId="6B589A55"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1B5BBC68" w14:textId="2957A704"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22AF1800" w14:textId="32387FC8"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3C8AF5F2" w14:textId="3A0A1A09"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71A663D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Mnożniki kosztów eksploatacji pojazdów w zależności od stanu technicznego drogi dla pojazdów spalinowych (LV, HGV): </w:t>
            </w:r>
          </w:p>
          <w:tbl>
            <w:tblPr>
              <w:tblStyle w:val="affffffffffffff9"/>
              <w:tblW w:w="5605" w:type="dxa"/>
              <w:tblLayout w:type="fixed"/>
              <w:tblLook w:val="0400" w:firstRow="0" w:lastRow="0" w:firstColumn="0" w:lastColumn="0" w:noHBand="0" w:noVBand="1"/>
            </w:tblPr>
            <w:tblGrid>
              <w:gridCol w:w="2695"/>
              <w:gridCol w:w="1351"/>
              <w:gridCol w:w="1559"/>
            </w:tblGrid>
            <w:tr w:rsidR="00600DEE" w14:paraId="0515B583"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17518FE5"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Stan drogi</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2F09F4A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2BFC31F8"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HGV</w:t>
                  </w:r>
                </w:p>
              </w:tc>
            </w:tr>
            <w:tr w:rsidR="00600DEE" w14:paraId="11A021C5"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CE121D5"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Dobry (po budowie/remoncie)</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3DBA78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CB75E0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3E1FAB31"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73C3E82"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 xml:space="preserve">Zdegradowany, </w:t>
                  </w:r>
                </w:p>
                <w:p w14:paraId="6D36E70D"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Prędkość (km/h)</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E4AD827" w14:textId="77777777" w:rsidR="00600DEE" w:rsidRDefault="00600DEE">
                  <w:pPr>
                    <w:jc w:val="center"/>
                    <w:rPr>
                      <w:rFonts w:ascii="Calibri" w:eastAsia="Calibri" w:hAnsi="Calibri" w:cs="Calibri"/>
                      <w:color w:val="4F81BD"/>
                      <w:sz w:val="18"/>
                      <w:szCs w:val="18"/>
                    </w:rPr>
                  </w:pP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85348E1" w14:textId="77777777" w:rsidR="00600DEE" w:rsidRDefault="00600DEE">
                  <w:pPr>
                    <w:jc w:val="center"/>
                    <w:rPr>
                      <w:rFonts w:ascii="Calibri" w:eastAsia="Calibri" w:hAnsi="Calibri" w:cs="Calibri"/>
                      <w:color w:val="4F81BD"/>
                      <w:sz w:val="18"/>
                      <w:szCs w:val="18"/>
                    </w:rPr>
                  </w:pPr>
                </w:p>
              </w:tc>
            </w:tr>
            <w:tr w:rsidR="00600DEE" w14:paraId="7FC3D5A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FF74D44"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D5C1B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18754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4BE7D51A"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6E944FD"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E084A3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F13210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54B6AC4A"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7E71725"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76FB1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30B548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32E3F1C7"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EFC6646"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3EC92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5A9EC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706E183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DBF26FF"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947FE5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9F4690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59B64DB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AA30A29"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BC9923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1,131</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EFA770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1,146</w:t>
                  </w:r>
                </w:p>
              </w:tc>
            </w:tr>
            <w:tr w:rsidR="00600DEE" w14:paraId="110EDCA5"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1CF77EF"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F38F69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1,150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7591F3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1,167</w:t>
                  </w:r>
                </w:p>
              </w:tc>
            </w:tr>
            <w:tr w:rsidR="00600DEE" w14:paraId="149F4FC0"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23355C0"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66D55E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B847C3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r>
            <w:tr w:rsidR="00600DEE" w14:paraId="3DB79446"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EC33F4C"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3600DD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6FF5D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1,208</w:t>
                  </w:r>
                </w:p>
              </w:tc>
            </w:tr>
            <w:tr w:rsidR="00600DEE" w14:paraId="282D8EC0"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6C0107B"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1450A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1,206</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0AB56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1,229</w:t>
                  </w:r>
                </w:p>
              </w:tc>
            </w:tr>
            <w:tr w:rsidR="00600DEE" w14:paraId="66D12FE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6CA2FE4"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59C3D5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5EAAB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r w:rsidR="00600DEE" w14:paraId="41B57274"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226B3B8"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1C9395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FA896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r w:rsidR="00600DEE" w14:paraId="1F26124C"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8F4A05C"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BB8C9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B19282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r w:rsidR="00600DEE" w14:paraId="282296C4"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298B4F2"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76258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2E5E2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bl>
          <w:p w14:paraId="51FE9C71"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Pojazdy elektryczne LV: </w:t>
            </w:r>
          </w:p>
          <w:p w14:paraId="2FC4809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Zakłada się, że analogicznie jak w przypadku pojazdów spalinowych, dla elektrycznych LV VOC zawierają: (i) koszty zużycia energii elektrycznej; oraz (ii) pozostałe koszty. </w:t>
            </w:r>
          </w:p>
          <w:p w14:paraId="20858C54" w14:textId="1107112A"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Zakłada się, że część odnosząca się do pozostałych kosztów jest równoważna jak dla spalinowych LV (tj. 0,811 zł/km</w:t>
            </w:r>
            <w:r w:rsidR="005771F2">
              <w:t xml:space="preserve"> </w:t>
            </w:r>
            <w:r w:rsidR="005771F2" w:rsidRPr="005771F2">
              <w:rPr>
                <w:rFonts w:ascii="Calibri" w:eastAsia="Calibri" w:hAnsi="Calibri" w:cs="Calibri"/>
                <w:color w:val="000000"/>
                <w:sz w:val="20"/>
                <w:szCs w:val="20"/>
              </w:rPr>
              <w:t>w cenach na początek roku 2020</w:t>
            </w:r>
            <w:r>
              <w:rPr>
                <w:rFonts w:ascii="Calibri" w:eastAsia="Calibri" w:hAnsi="Calibri" w:cs="Calibri"/>
                <w:color w:val="000000"/>
                <w:sz w:val="20"/>
                <w:szCs w:val="20"/>
              </w:rPr>
              <w:t xml:space="preserve">). </w:t>
            </w:r>
          </w:p>
          <w:p w14:paraId="3E652ED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zużycia energii dla pojazdów elektrycznych wynikają z pomnożenia: </w:t>
            </w:r>
          </w:p>
          <w:p w14:paraId="4AC283AF" w14:textId="77777777" w:rsidR="00600DEE" w:rsidRDefault="00641FB5" w:rsidP="00C25D65">
            <w:pPr>
              <w:pBdr>
                <w:top w:val="nil"/>
                <w:left w:val="nil"/>
                <w:bottom w:val="nil"/>
                <w:right w:val="nil"/>
                <w:between w:val="nil"/>
              </w:pBdr>
              <w:spacing w:before="120" w:after="120"/>
              <w:ind w:left="720"/>
              <w:jc w:val="both"/>
              <w:rPr>
                <w:rFonts w:ascii="Calibri" w:eastAsia="Calibri" w:hAnsi="Calibri" w:cs="Calibri"/>
                <w:color w:val="000000"/>
                <w:sz w:val="20"/>
                <w:szCs w:val="20"/>
              </w:rPr>
            </w:pPr>
            <w:r>
              <w:rPr>
                <w:rFonts w:ascii="Calibri" w:eastAsia="Calibri" w:hAnsi="Calibri" w:cs="Calibri"/>
                <w:color w:val="000000"/>
                <w:sz w:val="20"/>
                <w:szCs w:val="20"/>
              </w:rPr>
              <w:t xml:space="preserve">- średniego wskaźnika zużycia dla przeciętnego LV wynoszącego 0,233 kWh/pojazd na kilometr (zgodnie z „EIB Project Carbon </w:t>
            </w:r>
            <w:proofErr w:type="spellStart"/>
            <w:r>
              <w:rPr>
                <w:rFonts w:ascii="Calibri" w:eastAsia="Calibri" w:hAnsi="Calibri" w:cs="Calibri"/>
                <w:color w:val="000000"/>
                <w:sz w:val="20"/>
                <w:szCs w:val="20"/>
              </w:rPr>
              <w:t>Footprint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lastRenderedPageBreak/>
              <w:t>Methodologies</w:t>
            </w:r>
            <w:proofErr w:type="spellEnd"/>
            <w:r>
              <w:rPr>
                <w:rFonts w:ascii="Calibri" w:eastAsia="Calibri" w:hAnsi="Calibri" w:cs="Calibri"/>
                <w:color w:val="000000"/>
                <w:sz w:val="20"/>
                <w:szCs w:val="20"/>
              </w:rPr>
              <w:t xml:space="preserve">”, lipiec 2020 r., Tabele A1.7 Transport </w:t>
            </w:r>
            <w:proofErr w:type="spellStart"/>
            <w:r>
              <w:rPr>
                <w:rFonts w:ascii="Calibri" w:eastAsia="Calibri" w:hAnsi="Calibri" w:cs="Calibri"/>
                <w:color w:val="000000"/>
                <w:sz w:val="20"/>
                <w:szCs w:val="20"/>
              </w:rPr>
              <w:t>Emissions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Factors</w:t>
            </w:r>
            <w:proofErr w:type="spellEnd"/>
            <w:r>
              <w:rPr>
                <w:rFonts w:ascii="Calibri" w:eastAsia="Calibri" w:hAnsi="Calibri" w:cs="Calibri"/>
                <w:color w:val="000000"/>
                <w:sz w:val="20"/>
                <w:szCs w:val="20"/>
              </w:rPr>
              <w:t xml:space="preserve"> – Transport drogowy); przez </w:t>
            </w:r>
          </w:p>
          <w:p w14:paraId="2342B667" w14:textId="354A5565" w:rsidR="00600DEE" w:rsidRDefault="00641FB5" w:rsidP="00C25D65">
            <w:pPr>
              <w:pBdr>
                <w:top w:val="nil"/>
                <w:left w:val="nil"/>
                <w:bottom w:val="nil"/>
                <w:right w:val="nil"/>
                <w:between w:val="nil"/>
              </w:pBdr>
              <w:spacing w:before="120" w:after="120"/>
              <w:ind w:left="720"/>
              <w:jc w:val="both"/>
              <w:rPr>
                <w:rFonts w:ascii="Calibri" w:eastAsia="Calibri" w:hAnsi="Calibri" w:cs="Calibri"/>
                <w:color w:val="000000"/>
                <w:sz w:val="20"/>
                <w:szCs w:val="20"/>
              </w:rPr>
            </w:pPr>
            <w:r>
              <w:rPr>
                <w:rFonts w:ascii="Calibri" w:eastAsia="Calibri" w:hAnsi="Calibri" w:cs="Calibri"/>
                <w:color w:val="000000"/>
                <w:sz w:val="20"/>
                <w:szCs w:val="20"/>
              </w:rPr>
              <w:t>- koszt energii elektrycznej (0,2044 zł/kWh</w:t>
            </w:r>
            <w:r w:rsidR="005771F2">
              <w:t xml:space="preserve"> </w:t>
            </w:r>
            <w:r w:rsidR="005771F2" w:rsidRPr="005771F2">
              <w:rPr>
                <w:rFonts w:ascii="Calibri" w:eastAsia="Calibri" w:hAnsi="Calibri" w:cs="Calibri"/>
                <w:color w:val="000000"/>
                <w:sz w:val="20"/>
                <w:szCs w:val="20"/>
              </w:rPr>
              <w:t>w roku 2019</w:t>
            </w:r>
            <w:r>
              <w:rPr>
                <w:rFonts w:ascii="Calibri" w:eastAsia="Calibri" w:hAnsi="Calibri" w:cs="Calibri"/>
                <w:color w:val="000000"/>
                <w:sz w:val="20"/>
                <w:szCs w:val="20"/>
              </w:rPr>
              <w:t xml:space="preserve">) – na podstawie danych „Eurostat, Składniki cen energii elektrycznej dla odbiorców niebędących gospodarstwami domowymi – dane roczne (od 2007 r.)” https://ec.europa.eu/eurostat/databrowser/view/NRG_PC_205_C__custom_519166/default/table?lang=en </w:t>
            </w:r>
          </w:p>
          <w:p w14:paraId="515C617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Wspomniana powyżej „Metodologia śladu węglowego projektu EBI” zawiera odniesienia do średnich wskaźników zużycia energii dla różnych typów pojazdów elektrycznych (w tym autobusów), które mogą być przydatne w AKK niektórych projektów. </w:t>
            </w:r>
          </w:p>
          <w:p w14:paraId="6014CA9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Analogicznie jak w przypadku spalinowych LV, na powyższe koszty wpływa nachylenie drogi i stan drogi, jak opisano poniżej. </w:t>
            </w:r>
          </w:p>
          <w:p w14:paraId="18AD801E" w14:textId="77777777" w:rsidR="00600DEE" w:rsidRDefault="00641FB5" w:rsidP="00EB71BA">
            <w:pPr>
              <w:spacing w:before="60" w:after="100" w:afterAutospacing="1"/>
              <w:jc w:val="both"/>
              <w:rPr>
                <w:rFonts w:ascii="Calibri" w:eastAsia="Calibri" w:hAnsi="Calibri" w:cs="Calibri"/>
                <w:sz w:val="20"/>
                <w:szCs w:val="20"/>
              </w:rPr>
            </w:pPr>
            <w:r>
              <w:rPr>
                <w:rFonts w:ascii="Calibri" w:eastAsia="Calibri" w:hAnsi="Calibri" w:cs="Calibri"/>
                <w:color w:val="000000"/>
                <w:sz w:val="20"/>
                <w:szCs w:val="20"/>
              </w:rPr>
              <w:t>Mnożniki kosztów eksploatacji pojazdów w zależności od rodzaju terenu dla pojazdów elektrycznych oparte są na tych samych zasadach jak dla pojazdów spalinowych. Mnożniki te należy zastosować do łącznych VOC:</w:t>
            </w:r>
          </w:p>
          <w:tbl>
            <w:tblPr>
              <w:tblStyle w:val="affffffffffffffa"/>
              <w:tblW w:w="3395" w:type="dxa"/>
              <w:tblLayout w:type="fixed"/>
              <w:tblLook w:val="0400" w:firstRow="0" w:lastRow="0" w:firstColumn="0" w:lastColumn="0" w:noHBand="0" w:noVBand="1"/>
            </w:tblPr>
            <w:tblGrid>
              <w:gridCol w:w="1694"/>
              <w:gridCol w:w="850"/>
              <w:gridCol w:w="851"/>
            </w:tblGrid>
            <w:tr w:rsidR="00600DEE" w14:paraId="69CAF1DF" w14:textId="77777777">
              <w:trPr>
                <w:trHeight w:val="309"/>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5318B046" w14:textId="40E0ED9F"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Rodzaj teren</w:t>
                  </w:r>
                  <w:r w:rsidR="005771F2">
                    <w:rPr>
                      <w:rFonts w:ascii="Calibri" w:eastAsia="Calibri" w:hAnsi="Calibri" w:cs="Calibri"/>
                      <w:b/>
                      <w:color w:val="FFFFFF"/>
                      <w:sz w:val="18"/>
                      <w:szCs w:val="18"/>
                    </w:rPr>
                    <w:t>u</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752F622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35D5E55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HGV</w:t>
                  </w:r>
                </w:p>
              </w:tc>
            </w:tr>
            <w:tr w:rsidR="00600DEE" w14:paraId="2AEC5CCE"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29ADE09D"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0E8EB0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1311BF8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0304BC25"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48B1135E"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Falisty</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4C40D0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1,032</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6D8784F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1,200</w:t>
                  </w:r>
                </w:p>
              </w:tc>
            </w:tr>
          </w:tbl>
          <w:p w14:paraId="17CD13CD" w14:textId="77777777" w:rsidR="00C25D65" w:rsidRDefault="00C25D65">
            <w:pPr>
              <w:pBdr>
                <w:top w:val="nil"/>
                <w:left w:val="nil"/>
                <w:bottom w:val="nil"/>
                <w:right w:val="nil"/>
                <w:between w:val="nil"/>
              </w:pBdr>
              <w:spacing w:before="120" w:after="120"/>
              <w:jc w:val="both"/>
              <w:rPr>
                <w:rFonts w:ascii="Calibri" w:eastAsia="Calibri" w:hAnsi="Calibri" w:cs="Calibri"/>
                <w:color w:val="000000"/>
                <w:sz w:val="20"/>
                <w:szCs w:val="20"/>
              </w:rPr>
            </w:pPr>
          </w:p>
          <w:p w14:paraId="67B284C5" w14:textId="68441B02"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highlight w:val="cyan"/>
              </w:rPr>
            </w:pPr>
            <w:r>
              <w:rPr>
                <w:rFonts w:ascii="Calibri" w:eastAsia="Calibri" w:hAnsi="Calibri" w:cs="Calibri"/>
                <w:color w:val="000000"/>
                <w:sz w:val="20"/>
                <w:szCs w:val="20"/>
              </w:rPr>
              <w:t>Mnożniki kosztów zużycia energii elektrycznej w zależności od</w:t>
            </w:r>
            <w:r w:rsidR="005771F2">
              <w:t xml:space="preserve"> </w:t>
            </w:r>
            <w:r w:rsidR="005771F2" w:rsidRPr="005771F2">
              <w:rPr>
                <w:rFonts w:ascii="Calibri" w:eastAsia="Calibri" w:hAnsi="Calibri" w:cs="Calibri"/>
                <w:color w:val="000000"/>
                <w:sz w:val="20"/>
                <w:szCs w:val="20"/>
              </w:rPr>
              <w:t>stanu technicznego drogi</w:t>
            </w:r>
            <w:r>
              <w:rPr>
                <w:rFonts w:ascii="Calibri" w:eastAsia="Calibri" w:hAnsi="Calibri" w:cs="Calibri"/>
                <w:color w:val="000000"/>
                <w:sz w:val="20"/>
                <w:szCs w:val="20"/>
              </w:rPr>
              <w:t xml:space="preserve"> dla pojazdów elektrycznych i hybrydowych (LV, autobusy miejskie) są stosowane do łącznych VOC i opierają się na zasadach opisanych dla spalinowych LV.</w:t>
            </w:r>
          </w:p>
          <w:p w14:paraId="469C75A6" w14:textId="77777777" w:rsidR="00600DEE" w:rsidRDefault="00600DEE">
            <w:pPr>
              <w:spacing w:before="60"/>
              <w:jc w:val="both"/>
              <w:rPr>
                <w:rFonts w:ascii="Calibri" w:eastAsia="Calibri" w:hAnsi="Calibri" w:cs="Calibri"/>
                <w:sz w:val="20"/>
                <w:szCs w:val="20"/>
              </w:rPr>
            </w:pPr>
          </w:p>
          <w:tbl>
            <w:tblPr>
              <w:tblStyle w:val="affffffffffffffb"/>
              <w:tblW w:w="5605" w:type="dxa"/>
              <w:tblLayout w:type="fixed"/>
              <w:tblLook w:val="0400" w:firstRow="0" w:lastRow="0" w:firstColumn="0" w:lastColumn="0" w:noHBand="0" w:noVBand="1"/>
            </w:tblPr>
            <w:tblGrid>
              <w:gridCol w:w="2695"/>
              <w:gridCol w:w="1351"/>
              <w:gridCol w:w="1559"/>
            </w:tblGrid>
            <w:tr w:rsidR="00600DEE" w14:paraId="562AC45B" w14:textId="77777777">
              <w:trPr>
                <w:trHeight w:val="465"/>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7B5A4A5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Stan drogi</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51E351D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18C845CF"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Autobus elektryczny</w:t>
                  </w:r>
                </w:p>
              </w:tc>
            </w:tr>
            <w:tr w:rsidR="00600DEE" w14:paraId="1DEBD4B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1BBACB4"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Dobry (po budowie/remoncie)</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7DD407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DFF159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07849653"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B4D27CE"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Zdegradowany</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9FCFF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9D6263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r>
          </w:tbl>
          <w:p w14:paraId="0487A42E"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tc>
        <w:tc>
          <w:tcPr>
            <w:tcW w:w="7540" w:type="dxa"/>
            <w:tcBorders>
              <w:left w:val="single" w:sz="4" w:space="0" w:color="000000"/>
            </w:tcBorders>
            <w:tcMar>
              <w:left w:w="284" w:type="dxa"/>
              <w:right w:w="284" w:type="dxa"/>
            </w:tcMar>
          </w:tcPr>
          <w:p w14:paraId="62B22AC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present Appendix presents the basic principles and summary of calculations carried out to determine Vehicle Operating Costs (VOC) presented in Appendix A. It also includes relevant recognised references used for those calculations. </w:t>
            </w:r>
          </w:p>
          <w:p w14:paraId="681F619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VOC are defined as the costs borne by the owners of road vehicles to use and operate them, including fuel consumption, lubricants consumption, tires wear, repair and maintenance costs, insurance, overheads, administration, etc. In fact, VOC are correlated with type of vehicle and average travel speed, but also depend on characteristics of roads such as road parameters and surface conditions. </w:t>
            </w:r>
          </w:p>
          <w:p w14:paraId="16EED2A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estimate the VOCs of the Polish vehicle fleet, the following cost composition is distinguished:</w:t>
            </w:r>
          </w:p>
          <w:p w14:paraId="6313A4AF" w14:textId="77777777" w:rsidR="00600DEE" w:rsidRPr="0045151D" w:rsidRDefault="00641FB5" w:rsidP="00D5736B">
            <w:pPr>
              <w:numPr>
                <w:ilvl w:val="0"/>
                <w:numId w:val="7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consumption costs: a function of the road alignment and traffic conditions.</w:t>
            </w:r>
          </w:p>
          <w:p w14:paraId="03A1B5E1" w14:textId="77777777" w:rsidR="00600DEE" w:rsidRPr="0045151D" w:rsidRDefault="00641FB5" w:rsidP="00D5736B">
            <w:pPr>
              <w:numPr>
                <w:ilvl w:val="0"/>
                <w:numId w:val="7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Other costs: road quality affects the wear and tear on vehicles, including costs of oil, tyres, vehicle maintenance as well as their depreciation.</w:t>
            </w:r>
          </w:p>
          <w:p w14:paraId="6DCB263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Latest available research and recognised sources of information have been used to obtain above referred costs. Details on those calculations are presented below. </w:t>
            </w:r>
          </w:p>
          <w:p w14:paraId="2586160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 xml:space="preserve">Fuel consumption costs: </w:t>
            </w:r>
          </w:p>
          <w:p w14:paraId="2406C7F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consumption costs are defined as a function depending generally on vehicle type and traffic conditions (in particular, as a function of speed).</w:t>
            </w:r>
          </w:p>
          <w:p w14:paraId="3331C03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6A70EDD"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1F1FFD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EFABFF" w14:textId="77777777" w:rsidR="00600DEE" w:rsidRPr="00C25D65"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C25D65">
              <w:rPr>
                <w:rFonts w:ascii="Calibri" w:eastAsia="Calibri" w:hAnsi="Calibri" w:cs="Calibri"/>
                <w:b/>
                <w:color w:val="000000"/>
                <w:sz w:val="20"/>
                <w:szCs w:val="20"/>
                <w:lang w:val="en-GB"/>
              </w:rPr>
              <w:lastRenderedPageBreak/>
              <w:t>Combustion motor Light Vehicles (LV)</w:t>
            </w:r>
          </w:p>
          <w:p w14:paraId="46D07C75" w14:textId="47437AA2" w:rsidR="00173EC8" w:rsidRPr="0045151D" w:rsidRDefault="00641FB5" w:rsidP="00173EC8">
            <w:pPr>
              <w:pBdr>
                <w:top w:val="nil"/>
                <w:left w:val="nil"/>
                <w:bottom w:val="nil"/>
                <w:right w:val="nil"/>
                <w:between w:val="nil"/>
              </w:pBdr>
              <w:spacing w:before="120" w:after="24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are based on formula provided in "Parameterisation of fuel consumption and CO2 emissions of passenger cars and light commercial vehicles for modelling purposes", JRC 2011:</w:t>
            </w:r>
          </w:p>
          <w:p w14:paraId="4960AB7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val="en-GB" w:eastAsia="en-GB"/>
              </w:rPr>
              <w:drawing>
                <wp:inline distT="0" distB="0" distL="0" distR="0" wp14:anchorId="00352588" wp14:editId="11ED7999">
                  <wp:extent cx="4284558" cy="1269369"/>
                  <wp:effectExtent l="0" t="0" r="0" b="0"/>
                  <wp:docPr id="53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50"/>
                          <a:srcRect l="10904" t="31458" r="42085" b="47387"/>
                          <a:stretch>
                            <a:fillRect/>
                          </a:stretch>
                        </pic:blipFill>
                        <pic:spPr>
                          <a:xfrm>
                            <a:off x="0" y="0"/>
                            <a:ext cx="4284558" cy="1269369"/>
                          </a:xfrm>
                          <a:prstGeom prst="rect">
                            <a:avLst/>
                          </a:prstGeom>
                          <a:ln/>
                        </pic:spPr>
                      </pic:pic>
                    </a:graphicData>
                  </a:graphic>
                </wp:inline>
              </w:drawing>
            </w:r>
          </w:p>
          <w:p w14:paraId="57DBB789" w14:textId="77777777" w:rsidR="00173EC8" w:rsidRDefault="00173EC8">
            <w:pPr>
              <w:pBdr>
                <w:top w:val="nil"/>
                <w:left w:val="nil"/>
                <w:bottom w:val="nil"/>
                <w:right w:val="nil"/>
                <w:between w:val="nil"/>
              </w:pBdr>
              <w:spacing w:before="120"/>
              <w:jc w:val="both"/>
              <w:rPr>
                <w:rFonts w:ascii="Calibri" w:eastAsia="Calibri" w:hAnsi="Calibri" w:cs="Calibri"/>
                <w:color w:val="000000"/>
                <w:sz w:val="20"/>
                <w:szCs w:val="20"/>
              </w:rPr>
            </w:pPr>
          </w:p>
          <w:p w14:paraId="1CA00759" w14:textId="49F85B8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where</w:t>
            </w:r>
            <w:proofErr w:type="spellEnd"/>
            <w:r>
              <w:rPr>
                <w:rFonts w:ascii="Calibri" w:eastAsia="Calibri" w:hAnsi="Calibri" w:cs="Calibri"/>
                <w:color w:val="000000"/>
                <w:sz w:val="20"/>
                <w:szCs w:val="20"/>
              </w:rPr>
              <w:t>:</w:t>
            </w:r>
          </w:p>
          <w:p w14:paraId="42469D8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val="en-GB" w:eastAsia="en-GB"/>
              </w:rPr>
              <w:drawing>
                <wp:inline distT="0" distB="0" distL="0" distR="0" wp14:anchorId="5E5E95FC" wp14:editId="6DACBD9E">
                  <wp:extent cx="4215590" cy="871163"/>
                  <wp:effectExtent l="0" t="0" r="0" b="0"/>
                  <wp:docPr id="5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51"/>
                          <a:srcRect l="7587" t="47812" r="28202" b="32099"/>
                          <a:stretch>
                            <a:fillRect/>
                          </a:stretch>
                        </pic:blipFill>
                        <pic:spPr>
                          <a:xfrm>
                            <a:off x="0" y="0"/>
                            <a:ext cx="4215590" cy="871163"/>
                          </a:xfrm>
                          <a:prstGeom prst="rect">
                            <a:avLst/>
                          </a:prstGeom>
                          <a:ln/>
                        </pic:spPr>
                      </pic:pic>
                    </a:graphicData>
                  </a:graphic>
                </wp:inline>
              </w:drawing>
            </w:r>
          </w:p>
          <w:p w14:paraId="2A150BD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 = vehicle weight (empty weight + 75kg for driver and 20kg for fuel), corresponding to the licensed weight;</w:t>
            </w:r>
          </w:p>
          <w:p w14:paraId="047531B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g = gravitational acceleration (9.81 m/s</w:t>
            </w:r>
            <w:r w:rsidRPr="0045151D">
              <w:rPr>
                <w:rFonts w:ascii="Calibri" w:eastAsia="Calibri" w:hAnsi="Calibri" w:cs="Calibri"/>
                <w:color w:val="000000"/>
                <w:sz w:val="20"/>
                <w:szCs w:val="20"/>
                <w:vertAlign w:val="superscript"/>
                <w:lang w:val="en-GB"/>
              </w:rPr>
              <w:t>2</w:t>
            </w:r>
            <w:r w:rsidRPr="0045151D">
              <w:rPr>
                <w:rFonts w:ascii="Calibri" w:eastAsia="Calibri" w:hAnsi="Calibri" w:cs="Calibri"/>
                <w:color w:val="000000"/>
                <w:sz w:val="20"/>
                <w:szCs w:val="20"/>
                <w:lang w:val="en-GB"/>
              </w:rPr>
              <w:t>)</w:t>
            </w:r>
          </w:p>
          <w:p w14:paraId="1F01332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w:t>
            </w:r>
            <w:r w:rsidRPr="0045151D">
              <w:rPr>
                <w:rFonts w:ascii="Calibri" w:eastAsia="Calibri" w:hAnsi="Calibri" w:cs="Calibri"/>
                <w:color w:val="000000"/>
                <w:sz w:val="20"/>
                <w:szCs w:val="20"/>
                <w:vertAlign w:val="subscript"/>
                <w:lang w:val="en-GB"/>
              </w:rPr>
              <w:t>0</w:t>
            </w:r>
            <w:r w:rsidRPr="0045151D">
              <w:rPr>
                <w:rFonts w:ascii="Calibri" w:eastAsia="Calibri" w:hAnsi="Calibri" w:cs="Calibri"/>
                <w:color w:val="000000"/>
                <w:sz w:val="20"/>
                <w:szCs w:val="20"/>
                <w:lang w:val="en-GB"/>
              </w:rPr>
              <w:t>,r</w:t>
            </w:r>
            <w:r w:rsidRPr="0045151D">
              <w:rPr>
                <w:rFonts w:ascii="Calibri" w:eastAsia="Calibri" w:hAnsi="Calibri" w:cs="Calibri"/>
                <w:color w:val="000000"/>
                <w:sz w:val="20"/>
                <w:szCs w:val="20"/>
                <w:vertAlign w:val="subscript"/>
                <w:lang w:val="en-GB"/>
              </w:rPr>
              <w:t>1</w:t>
            </w:r>
            <w:r w:rsidRPr="0045151D">
              <w:rPr>
                <w:rFonts w:ascii="Calibri" w:eastAsia="Calibri" w:hAnsi="Calibri" w:cs="Calibri"/>
                <w:color w:val="000000"/>
                <w:sz w:val="20"/>
                <w:szCs w:val="20"/>
                <w:lang w:val="en-GB"/>
              </w:rPr>
              <w:t>)  = rolling resistance coefficients</w:t>
            </w:r>
          </w:p>
          <w:p w14:paraId="0C14AB8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 = velocity (m/s)</w:t>
            </w:r>
          </w:p>
          <w:p w14:paraId="10040DC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w:t>
            </w:r>
            <w:r w:rsidRPr="0045151D">
              <w:rPr>
                <w:rFonts w:ascii="Calibri" w:eastAsia="Calibri" w:hAnsi="Calibri" w:cs="Calibri"/>
                <w:color w:val="000000"/>
                <w:sz w:val="20"/>
                <w:szCs w:val="20"/>
                <w:vertAlign w:val="subscript"/>
                <w:lang w:val="en-GB"/>
              </w:rPr>
              <w:t xml:space="preserve">d </w:t>
            </w:r>
            <w:r w:rsidRPr="0045151D">
              <w:rPr>
                <w:rFonts w:ascii="Calibri" w:eastAsia="Calibri" w:hAnsi="Calibri" w:cs="Calibri"/>
                <w:color w:val="000000"/>
                <w:sz w:val="20"/>
                <w:szCs w:val="20"/>
                <w:lang w:val="en-GB"/>
              </w:rPr>
              <w:t>x A = aerodynamic resistance (m</w:t>
            </w:r>
            <w:r w:rsidRPr="0045151D">
              <w:rPr>
                <w:rFonts w:ascii="Calibri" w:eastAsia="Calibri" w:hAnsi="Calibri" w:cs="Calibri"/>
                <w:color w:val="000000"/>
                <w:sz w:val="20"/>
                <w:szCs w:val="20"/>
                <w:vertAlign w:val="superscript"/>
                <w:lang w:val="en-GB"/>
              </w:rPr>
              <w:t>2</w:t>
            </w:r>
            <w:r w:rsidRPr="0045151D">
              <w:rPr>
                <w:rFonts w:ascii="Calibri" w:eastAsia="Calibri" w:hAnsi="Calibri" w:cs="Calibri"/>
                <w:color w:val="000000"/>
                <w:sz w:val="20"/>
                <w:szCs w:val="20"/>
                <w:lang w:val="en-GB"/>
              </w:rPr>
              <w:t>)</w:t>
            </w:r>
          </w:p>
          <w:p w14:paraId="0691D26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3409E7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10C232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val="en-GB" w:eastAsia="en-GB"/>
              </w:rPr>
              <w:lastRenderedPageBreak/>
              <w:drawing>
                <wp:inline distT="0" distB="0" distL="0" distR="0" wp14:anchorId="16F336FC" wp14:editId="0B911A45">
                  <wp:extent cx="3951605" cy="1352550"/>
                  <wp:effectExtent l="0" t="0" r="0" b="0"/>
                  <wp:docPr id="53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52"/>
                          <a:srcRect l="16814" t="24173" r="43443" b="55052"/>
                          <a:stretch>
                            <a:fillRect/>
                          </a:stretch>
                        </pic:blipFill>
                        <pic:spPr>
                          <a:xfrm>
                            <a:off x="0" y="0"/>
                            <a:ext cx="3951605" cy="1352550"/>
                          </a:xfrm>
                          <a:prstGeom prst="rect">
                            <a:avLst/>
                          </a:prstGeom>
                          <a:ln/>
                        </pic:spPr>
                      </pic:pic>
                    </a:graphicData>
                  </a:graphic>
                </wp:inline>
              </w:drawing>
            </w:r>
          </w:p>
          <w:p w14:paraId="49AD8CE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22AEC9F9" w14:textId="77777777" w:rsidR="00173EC8" w:rsidRDefault="00173EC8">
            <w:pPr>
              <w:pBdr>
                <w:top w:val="nil"/>
                <w:left w:val="nil"/>
                <w:bottom w:val="nil"/>
                <w:right w:val="nil"/>
                <w:between w:val="nil"/>
              </w:pBdr>
              <w:spacing w:before="120"/>
              <w:jc w:val="both"/>
              <w:rPr>
                <w:rFonts w:ascii="Calibri" w:eastAsia="Calibri" w:hAnsi="Calibri" w:cs="Calibri"/>
                <w:color w:val="000000"/>
                <w:sz w:val="20"/>
                <w:szCs w:val="20"/>
              </w:rPr>
            </w:pPr>
          </w:p>
          <w:p w14:paraId="22032574" w14:textId="32813A85" w:rsidR="00600DEE" w:rsidRPr="0045151D" w:rsidRDefault="00641FB5" w:rsidP="00173EC8">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above function parameters distinguish between Diesel and Petrol cars and, for those, disaggregation by different EURO classes is also considered. </w:t>
            </w:r>
          </w:p>
          <w:p w14:paraId="6DC0A68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Data on current Polish vehicle fleet composition regarding above aspects (i.e. type of fuel consumption and EURO class) is obtained based on "Transport – </w:t>
            </w:r>
            <w:proofErr w:type="spellStart"/>
            <w:r w:rsidRPr="0045151D">
              <w:rPr>
                <w:rFonts w:ascii="Calibri" w:eastAsia="Calibri" w:hAnsi="Calibri" w:cs="Calibri"/>
                <w:color w:val="000000"/>
                <w:sz w:val="20"/>
                <w:szCs w:val="20"/>
                <w:lang w:val="en-GB"/>
              </w:rPr>
              <w:t>wyniki</w:t>
            </w:r>
            <w:proofErr w:type="spellEnd"/>
            <w:r w:rsidRPr="0045151D">
              <w:rPr>
                <w:rFonts w:ascii="Calibri" w:eastAsia="Calibri" w:hAnsi="Calibri" w:cs="Calibri"/>
                <w:color w:val="000000"/>
                <w:sz w:val="20"/>
                <w:szCs w:val="20"/>
                <w:lang w:val="en-GB"/>
              </w:rPr>
              <w:t xml:space="preserve"> </w:t>
            </w:r>
            <w:proofErr w:type="spellStart"/>
            <w:r w:rsidRPr="0045151D">
              <w:rPr>
                <w:rFonts w:ascii="Calibri" w:eastAsia="Calibri" w:hAnsi="Calibri" w:cs="Calibri"/>
                <w:color w:val="000000"/>
                <w:sz w:val="20"/>
                <w:szCs w:val="20"/>
                <w:lang w:val="en-GB"/>
              </w:rPr>
              <w:t>działalności</w:t>
            </w:r>
            <w:proofErr w:type="spellEnd"/>
            <w:r w:rsidRPr="0045151D">
              <w:rPr>
                <w:rFonts w:ascii="Calibri" w:eastAsia="Calibri" w:hAnsi="Calibri" w:cs="Calibri"/>
                <w:color w:val="000000"/>
                <w:sz w:val="20"/>
                <w:szCs w:val="20"/>
                <w:lang w:val="en-GB"/>
              </w:rPr>
              <w:t xml:space="preserve"> w 2019 r. Transport – activity results in 2019", GUS, 2020. All other parameters required for the above equation are provided in the respective source. </w:t>
            </w:r>
          </w:p>
          <w:p w14:paraId="12C1B5F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Based on the assumptions above, the average fuel consumption for an average LV in Poland in l/km as a function of speed is obtained (after applying related fuel density, as per EMEP/EEA air pollutant emission inventory guidebook, 2019). Finally, the respective fuel price is applied (excluding taxes &amp; duties) for 2019.</w:t>
            </w:r>
          </w:p>
          <w:p w14:paraId="289C05E6"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4C24C9A7"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7D6CB4C9"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6799D33F"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1BDBA3EB"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3F378FAE"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18E93502"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24370BFC"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457706E8"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70ADD331"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2C6F1A5A" w14:textId="38C0367F" w:rsidR="00600DEE" w:rsidRPr="0045151D" w:rsidRDefault="00641FB5" w:rsidP="00173EC8">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resulting average fuel consumption costs for LV are presented in the table below</w:t>
            </w:r>
            <w:r w:rsidR="00880D09" w:rsidRPr="00880D09">
              <w:rPr>
                <w:lang w:val="en-US"/>
              </w:rPr>
              <w:t xml:space="preserve"> </w:t>
            </w:r>
            <w:r w:rsidR="00880D09" w:rsidRPr="00880D09">
              <w:rPr>
                <w:rFonts w:ascii="Calibri" w:eastAsia="Calibri" w:hAnsi="Calibri" w:cs="Calibri"/>
                <w:color w:val="000000"/>
                <w:sz w:val="20"/>
                <w:szCs w:val="20"/>
                <w:lang w:val="en-GB"/>
              </w:rPr>
              <w:t>in prices as at the beginning of 2020</w:t>
            </w:r>
            <w:r w:rsidRPr="0045151D">
              <w:rPr>
                <w:rFonts w:ascii="Calibri" w:eastAsia="Calibri" w:hAnsi="Calibri" w:cs="Calibri"/>
                <w:color w:val="000000"/>
                <w:sz w:val="20"/>
                <w:szCs w:val="20"/>
                <w:lang w:val="en-GB"/>
              </w:rPr>
              <w:t>:</w:t>
            </w:r>
          </w:p>
          <w:p w14:paraId="0B924D55" w14:textId="77777777" w:rsidR="00173EC8" w:rsidRPr="0045151D" w:rsidRDefault="00173EC8" w:rsidP="00173EC8">
            <w:pPr>
              <w:pBdr>
                <w:top w:val="nil"/>
                <w:left w:val="nil"/>
                <w:bottom w:val="nil"/>
                <w:right w:val="nil"/>
                <w:between w:val="nil"/>
              </w:pBdr>
              <w:jc w:val="both"/>
              <w:rPr>
                <w:rFonts w:ascii="Calibri" w:eastAsia="Calibri" w:hAnsi="Calibri" w:cs="Calibri"/>
                <w:color w:val="000000"/>
                <w:sz w:val="20"/>
                <w:szCs w:val="20"/>
                <w:lang w:val="en-GB"/>
              </w:rPr>
            </w:pPr>
          </w:p>
          <w:p w14:paraId="3D52C311" w14:textId="77777777" w:rsidR="00600DEE" w:rsidRPr="0045151D" w:rsidRDefault="00641FB5" w:rsidP="00173EC8">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 </w:t>
            </w:r>
          </w:p>
          <w:tbl>
            <w:tblPr>
              <w:tblStyle w:val="affffffffffffffc"/>
              <w:tblW w:w="5809" w:type="dxa"/>
              <w:tblLayout w:type="fixed"/>
              <w:tblLook w:val="0000" w:firstRow="0" w:lastRow="0" w:firstColumn="0" w:lastColumn="0" w:noHBand="0" w:noVBand="0"/>
            </w:tblPr>
            <w:tblGrid>
              <w:gridCol w:w="2025"/>
              <w:gridCol w:w="2017"/>
              <w:gridCol w:w="1767"/>
            </w:tblGrid>
            <w:tr w:rsidR="00600DEE" w:rsidRPr="007463B9" w14:paraId="799E4F79" w14:textId="77777777" w:rsidTr="00173EC8">
              <w:trPr>
                <w:trHeight w:hRule="exact" w:val="1021"/>
              </w:trPr>
              <w:tc>
                <w:tcPr>
                  <w:tcW w:w="2025" w:type="dxa"/>
                  <w:vMerge w:val="restart"/>
                  <w:tcBorders>
                    <w:top w:val="single" w:sz="4" w:space="0" w:color="FFFFFF"/>
                    <w:left w:val="single" w:sz="4" w:space="0" w:color="FFFFFF"/>
                  </w:tcBorders>
                  <w:shd w:val="clear" w:color="auto" w:fill="A6A6A6"/>
                  <w:vAlign w:val="center"/>
                </w:tcPr>
                <w:p w14:paraId="2B122AE2"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Speed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7303F36B"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 Fuel consumption– flat terrain (pavement after construction/rehabilitation)</w:t>
                  </w:r>
                </w:p>
              </w:tc>
            </w:tr>
            <w:tr w:rsidR="00600DEE" w:rsidRPr="007463B9" w14:paraId="2D37525A" w14:textId="77777777">
              <w:trPr>
                <w:trHeight w:val="284"/>
              </w:trPr>
              <w:tc>
                <w:tcPr>
                  <w:tcW w:w="2025" w:type="dxa"/>
                  <w:vMerge/>
                  <w:tcBorders>
                    <w:top w:val="single" w:sz="4" w:space="0" w:color="FFFFFF"/>
                    <w:left w:val="single" w:sz="4" w:space="0" w:color="FFFFFF"/>
                  </w:tcBorders>
                  <w:shd w:val="clear" w:color="auto" w:fill="A6A6A6"/>
                  <w:vAlign w:val="center"/>
                </w:tcPr>
                <w:p w14:paraId="495BBBA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017" w:type="dxa"/>
                  <w:tcBorders>
                    <w:top w:val="single" w:sz="4" w:space="0" w:color="FFFFFF"/>
                    <w:left w:val="single" w:sz="4" w:space="0" w:color="FFFFFF"/>
                    <w:bottom w:val="single" w:sz="4" w:space="0" w:color="FFFFFF"/>
                  </w:tcBorders>
                  <w:shd w:val="clear" w:color="auto" w:fill="A6A6A6"/>
                  <w:vAlign w:val="center"/>
                </w:tcPr>
                <w:p w14:paraId="5F3C039C"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1C636C1D"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w:t>
                  </w:r>
                  <w:proofErr w:type="spellStart"/>
                  <w:r w:rsidRPr="0045151D">
                    <w:rPr>
                      <w:rFonts w:ascii="Calibri" w:eastAsia="Calibri" w:hAnsi="Calibri" w:cs="Calibri"/>
                      <w:b/>
                      <w:color w:val="FFFFFF"/>
                      <w:sz w:val="18"/>
                      <w:szCs w:val="18"/>
                      <w:lang w:val="en-GB"/>
                    </w:rPr>
                    <w:t>veh</w:t>
                  </w:r>
                  <w:proofErr w:type="spellEnd"/>
                  <w:r w:rsidRPr="0045151D">
                    <w:rPr>
                      <w:rFonts w:ascii="Calibri" w:eastAsia="Calibri" w:hAnsi="Calibri" w:cs="Calibri"/>
                      <w:b/>
                      <w:color w:val="FFFFFF"/>
                      <w:sz w:val="18"/>
                      <w:szCs w:val="18"/>
                      <w:lang w:val="en-GB"/>
                    </w:rPr>
                    <w:t>-km</w:t>
                  </w:r>
                </w:p>
              </w:tc>
            </w:tr>
            <w:tr w:rsidR="00600DEE" w:rsidRPr="007463B9" w14:paraId="2503671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E5F1AE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619863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26.401</w:t>
                  </w:r>
                </w:p>
              </w:tc>
              <w:tc>
                <w:tcPr>
                  <w:tcW w:w="1767" w:type="dxa"/>
                  <w:tcBorders>
                    <w:top w:val="single" w:sz="4" w:space="0" w:color="FFFFFF"/>
                    <w:left w:val="single" w:sz="4" w:space="0" w:color="FFFFFF"/>
                    <w:bottom w:val="single" w:sz="4" w:space="0" w:color="FFFFFF"/>
                  </w:tcBorders>
                  <w:shd w:val="clear" w:color="auto" w:fill="DBE5F1"/>
                  <w:vAlign w:val="bottom"/>
                </w:tcPr>
                <w:p w14:paraId="2E2037A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0.595</w:t>
                  </w:r>
                </w:p>
              </w:tc>
            </w:tr>
            <w:tr w:rsidR="00600DEE" w:rsidRPr="007463B9" w14:paraId="0AB0766A"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E95E4E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277A15D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16.721</w:t>
                  </w:r>
                </w:p>
              </w:tc>
              <w:tc>
                <w:tcPr>
                  <w:tcW w:w="1767" w:type="dxa"/>
                  <w:tcBorders>
                    <w:top w:val="single" w:sz="4" w:space="0" w:color="FFFFFF"/>
                    <w:left w:val="single" w:sz="4" w:space="0" w:color="FFFFFF"/>
                    <w:bottom w:val="single" w:sz="4" w:space="0" w:color="FFFFFF"/>
                  </w:tcBorders>
                  <w:shd w:val="clear" w:color="auto" w:fill="DBE5F1"/>
                  <w:vAlign w:val="bottom"/>
                </w:tcPr>
                <w:p w14:paraId="11A53A0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0.377</w:t>
                  </w:r>
                </w:p>
              </w:tc>
            </w:tr>
            <w:tr w:rsidR="00600DEE" w:rsidRPr="007463B9" w14:paraId="20F48F5C"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2EBB7FC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6A20A7E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12.740</w:t>
                  </w:r>
                </w:p>
              </w:tc>
              <w:tc>
                <w:tcPr>
                  <w:tcW w:w="1767" w:type="dxa"/>
                  <w:tcBorders>
                    <w:top w:val="single" w:sz="4" w:space="0" w:color="FFFFFF"/>
                    <w:left w:val="single" w:sz="4" w:space="0" w:color="FFFFFF"/>
                    <w:bottom w:val="single" w:sz="4" w:space="0" w:color="FFFFFF"/>
                  </w:tcBorders>
                  <w:shd w:val="clear" w:color="auto" w:fill="DBE5F1"/>
                  <w:vAlign w:val="bottom"/>
                </w:tcPr>
                <w:p w14:paraId="01D69A9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0.287</w:t>
                  </w:r>
                </w:p>
              </w:tc>
            </w:tr>
            <w:tr w:rsidR="00600DEE" w:rsidRPr="007463B9" w14:paraId="29297E71"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612C78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021284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10.347</w:t>
                  </w:r>
                </w:p>
              </w:tc>
              <w:tc>
                <w:tcPr>
                  <w:tcW w:w="1767" w:type="dxa"/>
                  <w:tcBorders>
                    <w:top w:val="single" w:sz="4" w:space="0" w:color="FFFFFF"/>
                    <w:left w:val="single" w:sz="4" w:space="0" w:color="FFFFFF"/>
                    <w:bottom w:val="single" w:sz="4" w:space="0" w:color="FFFFFF"/>
                  </w:tcBorders>
                  <w:shd w:val="clear" w:color="auto" w:fill="DBE5F1"/>
                  <w:vAlign w:val="bottom"/>
                </w:tcPr>
                <w:p w14:paraId="1B766C6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0.233</w:t>
                  </w:r>
                </w:p>
              </w:tc>
            </w:tr>
            <w:tr w:rsidR="00600DEE" w:rsidRPr="007463B9" w14:paraId="026F4741"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7E4896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5578BB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8.765</w:t>
                  </w:r>
                </w:p>
              </w:tc>
              <w:tc>
                <w:tcPr>
                  <w:tcW w:w="1767" w:type="dxa"/>
                  <w:tcBorders>
                    <w:top w:val="single" w:sz="4" w:space="0" w:color="FFFFFF"/>
                    <w:left w:val="single" w:sz="4" w:space="0" w:color="FFFFFF"/>
                    <w:bottom w:val="single" w:sz="4" w:space="0" w:color="FFFFFF"/>
                  </w:tcBorders>
                  <w:shd w:val="clear" w:color="auto" w:fill="DBE5F1"/>
                  <w:vAlign w:val="bottom"/>
                </w:tcPr>
                <w:p w14:paraId="13CEDFE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0.198</w:t>
                  </w:r>
                </w:p>
              </w:tc>
            </w:tr>
            <w:tr w:rsidR="00600DEE" w:rsidRPr="007463B9" w14:paraId="09C23D04"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20D48E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52B299E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7.709</w:t>
                  </w:r>
                </w:p>
              </w:tc>
              <w:tc>
                <w:tcPr>
                  <w:tcW w:w="1767" w:type="dxa"/>
                  <w:tcBorders>
                    <w:top w:val="single" w:sz="4" w:space="0" w:color="FFFFFF"/>
                    <w:left w:val="single" w:sz="4" w:space="0" w:color="FFFFFF"/>
                    <w:bottom w:val="single" w:sz="4" w:space="0" w:color="FFFFFF"/>
                  </w:tcBorders>
                  <w:shd w:val="clear" w:color="auto" w:fill="DBE5F1"/>
                  <w:vAlign w:val="bottom"/>
                </w:tcPr>
                <w:p w14:paraId="28C7883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0.174</w:t>
                  </w:r>
                </w:p>
              </w:tc>
            </w:tr>
            <w:tr w:rsidR="00600DEE" w:rsidRPr="007463B9" w14:paraId="656D25AC"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BAB866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7E5060A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7.039</w:t>
                  </w:r>
                </w:p>
              </w:tc>
              <w:tc>
                <w:tcPr>
                  <w:tcW w:w="1767" w:type="dxa"/>
                  <w:tcBorders>
                    <w:top w:val="single" w:sz="4" w:space="0" w:color="FFFFFF"/>
                    <w:left w:val="single" w:sz="4" w:space="0" w:color="FFFFFF"/>
                    <w:bottom w:val="single" w:sz="4" w:space="0" w:color="FFFFFF"/>
                  </w:tcBorders>
                  <w:shd w:val="clear" w:color="auto" w:fill="DBE5F1"/>
                  <w:vAlign w:val="bottom"/>
                </w:tcPr>
                <w:p w14:paraId="6C99DA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0.159</w:t>
                  </w:r>
                </w:p>
              </w:tc>
            </w:tr>
            <w:tr w:rsidR="00600DEE" w:rsidRPr="007463B9" w14:paraId="19979466"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274B20E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083A53E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6.678</w:t>
                  </w:r>
                </w:p>
              </w:tc>
              <w:tc>
                <w:tcPr>
                  <w:tcW w:w="1767" w:type="dxa"/>
                  <w:tcBorders>
                    <w:top w:val="single" w:sz="4" w:space="0" w:color="FFFFFF"/>
                    <w:left w:val="single" w:sz="4" w:space="0" w:color="FFFFFF"/>
                    <w:bottom w:val="single" w:sz="4" w:space="0" w:color="FFFFFF"/>
                  </w:tcBorders>
                  <w:shd w:val="clear" w:color="auto" w:fill="DBE5F1"/>
                  <w:vAlign w:val="bottom"/>
                </w:tcPr>
                <w:p w14:paraId="40B2774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0.151</w:t>
                  </w:r>
                </w:p>
              </w:tc>
            </w:tr>
            <w:tr w:rsidR="00600DEE" w:rsidRPr="007463B9" w14:paraId="2EADB639"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6724D53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0B144F6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6.575</w:t>
                  </w:r>
                </w:p>
              </w:tc>
              <w:tc>
                <w:tcPr>
                  <w:tcW w:w="1767" w:type="dxa"/>
                  <w:tcBorders>
                    <w:top w:val="single" w:sz="4" w:space="0" w:color="FFFFFF"/>
                    <w:left w:val="single" w:sz="4" w:space="0" w:color="FFFFFF"/>
                    <w:bottom w:val="single" w:sz="4" w:space="0" w:color="FFFFFF"/>
                  </w:tcBorders>
                  <w:shd w:val="clear" w:color="auto" w:fill="DBE5F1"/>
                  <w:vAlign w:val="bottom"/>
                </w:tcPr>
                <w:p w14:paraId="2536497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0.148</w:t>
                  </w:r>
                </w:p>
              </w:tc>
            </w:tr>
            <w:tr w:rsidR="00600DEE" w:rsidRPr="007463B9" w14:paraId="20445F57"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5934679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4A7635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6.696</w:t>
                  </w:r>
                </w:p>
              </w:tc>
              <w:tc>
                <w:tcPr>
                  <w:tcW w:w="1767" w:type="dxa"/>
                  <w:tcBorders>
                    <w:top w:val="single" w:sz="4" w:space="0" w:color="FFFFFF"/>
                    <w:left w:val="single" w:sz="4" w:space="0" w:color="FFFFFF"/>
                    <w:bottom w:val="single" w:sz="4" w:space="0" w:color="FFFFFF"/>
                  </w:tcBorders>
                  <w:shd w:val="clear" w:color="auto" w:fill="DBE5F1"/>
                  <w:vAlign w:val="bottom"/>
                </w:tcPr>
                <w:p w14:paraId="33DF802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0.151</w:t>
                  </w:r>
                </w:p>
              </w:tc>
            </w:tr>
            <w:tr w:rsidR="00600DEE" w:rsidRPr="007463B9" w14:paraId="0382AA65"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A0A5A2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7A318A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7.019</w:t>
                  </w:r>
                </w:p>
              </w:tc>
              <w:tc>
                <w:tcPr>
                  <w:tcW w:w="1767" w:type="dxa"/>
                  <w:tcBorders>
                    <w:top w:val="single" w:sz="4" w:space="0" w:color="FFFFFF"/>
                    <w:left w:val="single" w:sz="4" w:space="0" w:color="FFFFFF"/>
                    <w:bottom w:val="single" w:sz="4" w:space="0" w:color="FFFFFF"/>
                  </w:tcBorders>
                  <w:shd w:val="clear" w:color="auto" w:fill="DBE5F1"/>
                  <w:vAlign w:val="bottom"/>
                </w:tcPr>
                <w:p w14:paraId="599350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0.158</w:t>
                  </w:r>
                </w:p>
              </w:tc>
            </w:tr>
            <w:tr w:rsidR="00600DEE" w:rsidRPr="007463B9" w14:paraId="0ECA588E"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6CF8AE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2310B23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7.524</w:t>
                  </w:r>
                </w:p>
              </w:tc>
              <w:tc>
                <w:tcPr>
                  <w:tcW w:w="1767" w:type="dxa"/>
                  <w:tcBorders>
                    <w:top w:val="single" w:sz="4" w:space="0" w:color="FFFFFF"/>
                    <w:left w:val="single" w:sz="4" w:space="0" w:color="FFFFFF"/>
                    <w:bottom w:val="single" w:sz="4" w:space="0" w:color="FFFFFF"/>
                  </w:tcBorders>
                  <w:shd w:val="clear" w:color="auto" w:fill="DBE5F1"/>
                  <w:vAlign w:val="bottom"/>
                </w:tcPr>
                <w:p w14:paraId="52908E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0.170</w:t>
                  </w:r>
                </w:p>
              </w:tc>
            </w:tr>
            <w:tr w:rsidR="00600DEE" w:rsidRPr="007463B9" w14:paraId="4B965E8B"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3B3EE7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28D1266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8.198</w:t>
                  </w:r>
                </w:p>
              </w:tc>
              <w:tc>
                <w:tcPr>
                  <w:tcW w:w="1767" w:type="dxa"/>
                  <w:tcBorders>
                    <w:top w:val="single" w:sz="4" w:space="0" w:color="FFFFFF"/>
                    <w:left w:val="single" w:sz="4" w:space="0" w:color="FFFFFF"/>
                    <w:bottom w:val="single" w:sz="4" w:space="0" w:color="FFFFFF"/>
                  </w:tcBorders>
                  <w:shd w:val="clear" w:color="auto" w:fill="DBE5F1"/>
                  <w:vAlign w:val="bottom"/>
                </w:tcPr>
                <w:p w14:paraId="7AB9F9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0.185</w:t>
                  </w:r>
                </w:p>
              </w:tc>
            </w:tr>
            <w:tr w:rsidR="00600DEE" w:rsidRPr="007463B9" w14:paraId="684529AF"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62B5DD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75F8A96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9.029</w:t>
                  </w:r>
                </w:p>
              </w:tc>
              <w:tc>
                <w:tcPr>
                  <w:tcW w:w="1767" w:type="dxa"/>
                  <w:tcBorders>
                    <w:top w:val="single" w:sz="4" w:space="0" w:color="FFFFFF"/>
                    <w:left w:val="single" w:sz="4" w:space="0" w:color="FFFFFF"/>
                    <w:bottom w:val="single" w:sz="4" w:space="0" w:color="FFFFFF"/>
                  </w:tcBorders>
                  <w:shd w:val="clear" w:color="auto" w:fill="DBE5F1"/>
                  <w:vAlign w:val="bottom"/>
                </w:tcPr>
                <w:p w14:paraId="5F8765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0.204</w:t>
                  </w:r>
                </w:p>
              </w:tc>
            </w:tr>
          </w:tbl>
          <w:p w14:paraId="369CC6E8"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41A1ADB9"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76283B73"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7112258C"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4798B1C7"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4D011DAC"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21BC6936"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03E2F5A4" w14:textId="25C7A224" w:rsidR="009C6422" w:rsidRPr="00880D09" w:rsidRDefault="00641FB5" w:rsidP="009C6422">
            <w:pPr>
              <w:pBdr>
                <w:top w:val="nil"/>
                <w:left w:val="nil"/>
                <w:bottom w:val="nil"/>
                <w:right w:val="nil"/>
                <w:between w:val="nil"/>
              </w:pBdr>
              <w:spacing w:before="120" w:after="240"/>
              <w:jc w:val="both"/>
              <w:rPr>
                <w:rFonts w:ascii="Calibri" w:eastAsia="Calibri" w:hAnsi="Calibri" w:cs="Calibri"/>
                <w:b/>
                <w:color w:val="000000"/>
                <w:sz w:val="20"/>
                <w:szCs w:val="20"/>
                <w:lang w:val="en-GB"/>
              </w:rPr>
            </w:pPr>
            <w:r w:rsidRPr="00880D09">
              <w:rPr>
                <w:rFonts w:ascii="Calibri" w:eastAsia="Calibri" w:hAnsi="Calibri" w:cs="Calibri"/>
                <w:b/>
                <w:color w:val="000000"/>
                <w:sz w:val="20"/>
                <w:szCs w:val="20"/>
                <w:lang w:val="en-GB"/>
              </w:rPr>
              <w:t xml:space="preserve">Combustion motor Heavy Goods Vehicle </w:t>
            </w:r>
            <w:r w:rsidR="009C6422" w:rsidRPr="00880D09">
              <w:rPr>
                <w:rFonts w:ascii="Calibri" w:eastAsia="Calibri" w:hAnsi="Calibri" w:cs="Calibri"/>
                <w:b/>
                <w:color w:val="000000"/>
                <w:sz w:val="20"/>
                <w:szCs w:val="20"/>
                <w:lang w:val="en-GB"/>
              </w:rPr>
              <w:t>–</w:t>
            </w:r>
            <w:r w:rsidRPr="00880D09">
              <w:rPr>
                <w:rFonts w:ascii="Calibri" w:eastAsia="Calibri" w:hAnsi="Calibri" w:cs="Calibri"/>
                <w:b/>
                <w:color w:val="000000"/>
                <w:sz w:val="20"/>
                <w:szCs w:val="20"/>
                <w:lang w:val="en-GB"/>
              </w:rPr>
              <w:t xml:space="preserve"> HGV</w:t>
            </w:r>
          </w:p>
          <w:p w14:paraId="4E4A7749" w14:textId="6DEA384D"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are based on the equation provided in</w:t>
            </w:r>
            <w:r w:rsidRPr="0045151D">
              <w:rPr>
                <w:rFonts w:ascii="Arial" w:eastAsia="Arial" w:hAnsi="Arial" w:cs="Arial"/>
                <w:color w:val="000000"/>
                <w:sz w:val="20"/>
                <w:szCs w:val="20"/>
                <w:lang w:val="en-GB"/>
              </w:rPr>
              <w:t xml:space="preserve"> “</w:t>
            </w:r>
            <w:r w:rsidRPr="0045151D">
              <w:rPr>
                <w:rFonts w:ascii="Calibri" w:eastAsia="Calibri" w:hAnsi="Calibri" w:cs="Calibri"/>
                <w:color w:val="000000"/>
                <w:sz w:val="20"/>
                <w:szCs w:val="20"/>
                <w:lang w:val="en-GB"/>
              </w:rPr>
              <w:t>EMEP/EEA air pollutant emission inventory guidebook, 2019, 1.A.3.b.i-iv Road Transport Appendix 4 Emission Factors 2019 (Sept. 2020)” and follow equivalent assumptions as these described above for LV. The same reference as for LV is used regarding Polish current HGV fleet composition. The average fuel consumption costs for HGV are presented below</w:t>
            </w:r>
            <w:r w:rsidR="00C65DA8">
              <w:rPr>
                <w:rFonts w:ascii="Calibri" w:eastAsia="Calibri" w:hAnsi="Calibri" w:cs="Calibri"/>
                <w:color w:val="000000"/>
                <w:sz w:val="20"/>
                <w:szCs w:val="20"/>
                <w:lang w:val="en-GB"/>
              </w:rPr>
              <w:t xml:space="preserve"> </w:t>
            </w:r>
            <w:r w:rsidR="00C65DA8" w:rsidRPr="00C65DA8">
              <w:rPr>
                <w:rFonts w:ascii="Calibri" w:eastAsia="Calibri" w:hAnsi="Calibri" w:cs="Calibri"/>
                <w:color w:val="000000"/>
                <w:sz w:val="20"/>
                <w:szCs w:val="20"/>
                <w:lang w:val="en-GB"/>
              </w:rPr>
              <w:t>in prices as at the beginning of 2020</w:t>
            </w:r>
            <w:r w:rsidRPr="0045151D">
              <w:rPr>
                <w:rFonts w:ascii="Calibri" w:eastAsia="Calibri" w:hAnsi="Calibri" w:cs="Calibri"/>
                <w:color w:val="000000"/>
                <w:sz w:val="20"/>
                <w:szCs w:val="20"/>
                <w:lang w:val="en-GB"/>
              </w:rPr>
              <w:t>:</w:t>
            </w:r>
          </w:p>
          <w:p w14:paraId="19CF076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bl>
            <w:tblPr>
              <w:tblStyle w:val="affffffffffffffd"/>
              <w:tblW w:w="5809" w:type="dxa"/>
              <w:tblLayout w:type="fixed"/>
              <w:tblLook w:val="0000" w:firstRow="0" w:lastRow="0" w:firstColumn="0" w:lastColumn="0" w:noHBand="0" w:noVBand="0"/>
            </w:tblPr>
            <w:tblGrid>
              <w:gridCol w:w="2025"/>
              <w:gridCol w:w="2017"/>
              <w:gridCol w:w="1767"/>
            </w:tblGrid>
            <w:tr w:rsidR="00600DEE" w:rsidRPr="007463B9" w14:paraId="2748ABE0" w14:textId="77777777" w:rsidTr="00173EC8">
              <w:trPr>
                <w:trHeight w:hRule="exact" w:val="907"/>
              </w:trPr>
              <w:tc>
                <w:tcPr>
                  <w:tcW w:w="2025" w:type="dxa"/>
                  <w:vMerge w:val="restart"/>
                  <w:tcBorders>
                    <w:top w:val="single" w:sz="4" w:space="0" w:color="FFFFFF"/>
                    <w:left w:val="single" w:sz="4" w:space="0" w:color="FFFFFF"/>
                  </w:tcBorders>
                  <w:shd w:val="clear" w:color="auto" w:fill="A6A6A6"/>
                  <w:vAlign w:val="center"/>
                </w:tcPr>
                <w:p w14:paraId="365B089A"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Speed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5D65D928"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 Fuel consumption– flat terrain (pavement after construction/rehabilitation)</w:t>
                  </w:r>
                </w:p>
              </w:tc>
            </w:tr>
            <w:tr w:rsidR="00600DEE" w:rsidRPr="007463B9" w14:paraId="2F3A3EE1" w14:textId="77777777">
              <w:trPr>
                <w:trHeight w:val="284"/>
              </w:trPr>
              <w:tc>
                <w:tcPr>
                  <w:tcW w:w="2025" w:type="dxa"/>
                  <w:vMerge/>
                  <w:tcBorders>
                    <w:top w:val="single" w:sz="4" w:space="0" w:color="FFFFFF"/>
                    <w:left w:val="single" w:sz="4" w:space="0" w:color="FFFFFF"/>
                  </w:tcBorders>
                  <w:shd w:val="clear" w:color="auto" w:fill="A6A6A6"/>
                  <w:vAlign w:val="center"/>
                </w:tcPr>
                <w:p w14:paraId="29F669C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017" w:type="dxa"/>
                  <w:tcBorders>
                    <w:top w:val="single" w:sz="4" w:space="0" w:color="FFFFFF"/>
                    <w:left w:val="single" w:sz="4" w:space="0" w:color="FFFFFF"/>
                    <w:bottom w:val="single" w:sz="4" w:space="0" w:color="FFFFFF"/>
                  </w:tcBorders>
                  <w:shd w:val="clear" w:color="auto" w:fill="A6A6A6"/>
                  <w:vAlign w:val="center"/>
                </w:tcPr>
                <w:p w14:paraId="6D4489A6"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79619266" w14:textId="1C70C3CE"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w:t>
                  </w:r>
                  <w:proofErr w:type="spellStart"/>
                  <w:r w:rsidRPr="0045151D">
                    <w:rPr>
                      <w:rFonts w:ascii="Calibri" w:eastAsia="Calibri" w:hAnsi="Calibri" w:cs="Calibri"/>
                      <w:b/>
                      <w:color w:val="FFFFFF"/>
                      <w:sz w:val="18"/>
                      <w:szCs w:val="18"/>
                      <w:lang w:val="en-GB"/>
                    </w:rPr>
                    <w:t>veh</w:t>
                  </w:r>
                  <w:proofErr w:type="spellEnd"/>
                  <w:r w:rsidR="00C65DA8">
                    <w:rPr>
                      <w:rFonts w:ascii="Calibri" w:eastAsia="Calibri" w:hAnsi="Calibri" w:cs="Calibri"/>
                      <w:b/>
                      <w:color w:val="FFFFFF"/>
                      <w:sz w:val="18"/>
                      <w:szCs w:val="18"/>
                      <w:lang w:val="en-GB"/>
                    </w:rPr>
                    <w:t>-</w:t>
                  </w:r>
                  <w:r w:rsidRPr="0045151D">
                    <w:rPr>
                      <w:rFonts w:ascii="Calibri" w:eastAsia="Calibri" w:hAnsi="Calibri" w:cs="Calibri"/>
                      <w:b/>
                      <w:color w:val="FFFFFF"/>
                      <w:sz w:val="18"/>
                      <w:szCs w:val="18"/>
                      <w:lang w:val="en-GB"/>
                    </w:rPr>
                    <w:t>km</w:t>
                  </w:r>
                </w:p>
              </w:tc>
            </w:tr>
            <w:tr w:rsidR="00600DEE" w:rsidRPr="007463B9" w14:paraId="5819516A"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88AFF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3788034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61.594</w:t>
                  </w:r>
                </w:p>
              </w:tc>
              <w:tc>
                <w:tcPr>
                  <w:tcW w:w="1767" w:type="dxa"/>
                  <w:tcBorders>
                    <w:top w:val="single" w:sz="4" w:space="0" w:color="FFFFFF"/>
                    <w:left w:val="single" w:sz="4" w:space="0" w:color="FFFFFF"/>
                    <w:bottom w:val="single" w:sz="4" w:space="0" w:color="FFFFFF"/>
                  </w:tcBorders>
                  <w:shd w:val="clear" w:color="auto" w:fill="DBE5F1"/>
                  <w:vAlign w:val="bottom"/>
                </w:tcPr>
                <w:p w14:paraId="77F39EA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1.524</w:t>
                  </w:r>
                </w:p>
              </w:tc>
            </w:tr>
            <w:tr w:rsidR="00600DEE" w:rsidRPr="007463B9" w14:paraId="304654D9"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5E5541E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07CEE2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34.305</w:t>
                  </w:r>
                </w:p>
              </w:tc>
              <w:tc>
                <w:tcPr>
                  <w:tcW w:w="1767" w:type="dxa"/>
                  <w:tcBorders>
                    <w:top w:val="single" w:sz="4" w:space="0" w:color="FFFFFF"/>
                    <w:left w:val="single" w:sz="4" w:space="0" w:color="FFFFFF"/>
                    <w:bottom w:val="single" w:sz="4" w:space="0" w:color="FFFFFF"/>
                  </w:tcBorders>
                  <w:shd w:val="clear" w:color="auto" w:fill="DBE5F1"/>
                  <w:vAlign w:val="bottom"/>
                </w:tcPr>
                <w:p w14:paraId="26D764E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0.849</w:t>
                  </w:r>
                </w:p>
              </w:tc>
            </w:tr>
            <w:tr w:rsidR="00600DEE" w:rsidRPr="007463B9" w14:paraId="7844977B"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531D06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331451B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26.090</w:t>
                  </w:r>
                </w:p>
              </w:tc>
              <w:tc>
                <w:tcPr>
                  <w:tcW w:w="1767" w:type="dxa"/>
                  <w:tcBorders>
                    <w:top w:val="single" w:sz="4" w:space="0" w:color="FFFFFF"/>
                    <w:left w:val="single" w:sz="4" w:space="0" w:color="FFFFFF"/>
                    <w:bottom w:val="single" w:sz="4" w:space="0" w:color="FFFFFF"/>
                  </w:tcBorders>
                  <w:shd w:val="clear" w:color="auto" w:fill="DBE5F1"/>
                  <w:vAlign w:val="bottom"/>
                </w:tcPr>
                <w:p w14:paraId="2D8F949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0.646</w:t>
                  </w:r>
                </w:p>
              </w:tc>
            </w:tr>
            <w:tr w:rsidR="00600DEE" w:rsidRPr="007463B9" w14:paraId="4153520A"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A744B1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5A7159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21.921</w:t>
                  </w:r>
                </w:p>
              </w:tc>
              <w:tc>
                <w:tcPr>
                  <w:tcW w:w="1767" w:type="dxa"/>
                  <w:tcBorders>
                    <w:top w:val="single" w:sz="4" w:space="0" w:color="FFFFFF"/>
                    <w:left w:val="single" w:sz="4" w:space="0" w:color="FFFFFF"/>
                    <w:bottom w:val="single" w:sz="4" w:space="0" w:color="FFFFFF"/>
                  </w:tcBorders>
                  <w:shd w:val="clear" w:color="auto" w:fill="DBE5F1"/>
                  <w:vAlign w:val="bottom"/>
                </w:tcPr>
                <w:p w14:paraId="4975A54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0.542</w:t>
                  </w:r>
                </w:p>
              </w:tc>
            </w:tr>
            <w:tr w:rsidR="00600DEE" w:rsidRPr="007463B9" w14:paraId="093D1BDC"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47F260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0CE2663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19.632</w:t>
                  </w:r>
                </w:p>
              </w:tc>
              <w:tc>
                <w:tcPr>
                  <w:tcW w:w="1767" w:type="dxa"/>
                  <w:tcBorders>
                    <w:top w:val="single" w:sz="4" w:space="0" w:color="FFFFFF"/>
                    <w:left w:val="single" w:sz="4" w:space="0" w:color="FFFFFF"/>
                    <w:bottom w:val="single" w:sz="4" w:space="0" w:color="FFFFFF"/>
                  </w:tcBorders>
                  <w:shd w:val="clear" w:color="auto" w:fill="DBE5F1"/>
                  <w:vAlign w:val="bottom"/>
                </w:tcPr>
                <w:p w14:paraId="6478CC2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0.486</w:t>
                  </w:r>
                </w:p>
              </w:tc>
            </w:tr>
            <w:tr w:rsidR="00600DEE" w:rsidRPr="007463B9" w14:paraId="79E564B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8628E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47EF8AD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18.414</w:t>
                  </w:r>
                </w:p>
              </w:tc>
              <w:tc>
                <w:tcPr>
                  <w:tcW w:w="1767" w:type="dxa"/>
                  <w:tcBorders>
                    <w:top w:val="single" w:sz="4" w:space="0" w:color="FFFFFF"/>
                    <w:left w:val="single" w:sz="4" w:space="0" w:color="FFFFFF"/>
                    <w:bottom w:val="single" w:sz="4" w:space="0" w:color="FFFFFF"/>
                  </w:tcBorders>
                  <w:shd w:val="clear" w:color="auto" w:fill="DBE5F1"/>
                  <w:vAlign w:val="bottom"/>
                </w:tcPr>
                <w:p w14:paraId="4BAE545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0.456</w:t>
                  </w:r>
                </w:p>
              </w:tc>
            </w:tr>
            <w:tr w:rsidR="00600DEE" w:rsidRPr="007463B9" w14:paraId="371DF563"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055B0A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2266A70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17.843</w:t>
                  </w:r>
                </w:p>
              </w:tc>
              <w:tc>
                <w:tcPr>
                  <w:tcW w:w="1767" w:type="dxa"/>
                  <w:tcBorders>
                    <w:top w:val="single" w:sz="4" w:space="0" w:color="FFFFFF"/>
                    <w:left w:val="single" w:sz="4" w:space="0" w:color="FFFFFF"/>
                    <w:bottom w:val="single" w:sz="4" w:space="0" w:color="FFFFFF"/>
                  </w:tcBorders>
                  <w:shd w:val="clear" w:color="auto" w:fill="DBE5F1"/>
                  <w:vAlign w:val="bottom"/>
                </w:tcPr>
                <w:p w14:paraId="572164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0.441</w:t>
                  </w:r>
                </w:p>
              </w:tc>
            </w:tr>
            <w:tr w:rsidR="00600DEE" w:rsidRPr="007463B9" w14:paraId="6A4F724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35BB7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40A3149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17.687</w:t>
                  </w:r>
                </w:p>
              </w:tc>
              <w:tc>
                <w:tcPr>
                  <w:tcW w:w="1767" w:type="dxa"/>
                  <w:tcBorders>
                    <w:top w:val="single" w:sz="4" w:space="0" w:color="FFFFFF"/>
                    <w:left w:val="single" w:sz="4" w:space="0" w:color="FFFFFF"/>
                    <w:bottom w:val="single" w:sz="4" w:space="0" w:color="FFFFFF"/>
                  </w:tcBorders>
                  <w:shd w:val="clear" w:color="auto" w:fill="DBE5F1"/>
                  <w:vAlign w:val="bottom"/>
                </w:tcPr>
                <w:p w14:paraId="4B5A828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0.438</w:t>
                  </w:r>
                </w:p>
              </w:tc>
            </w:tr>
            <w:tr w:rsidR="00600DEE" w:rsidRPr="007463B9" w14:paraId="1AA7653B"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4DFEE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1DD9F71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17.861</w:t>
                  </w:r>
                </w:p>
              </w:tc>
              <w:tc>
                <w:tcPr>
                  <w:tcW w:w="1767" w:type="dxa"/>
                  <w:tcBorders>
                    <w:top w:val="single" w:sz="4" w:space="0" w:color="FFFFFF"/>
                    <w:left w:val="single" w:sz="4" w:space="0" w:color="FFFFFF"/>
                    <w:bottom w:val="single" w:sz="4" w:space="0" w:color="FFFFFF"/>
                  </w:tcBorders>
                  <w:shd w:val="clear" w:color="auto" w:fill="DBE5F1"/>
                  <w:vAlign w:val="bottom"/>
                </w:tcPr>
                <w:p w14:paraId="4DE9BA9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0.442</w:t>
                  </w:r>
                </w:p>
              </w:tc>
            </w:tr>
            <w:tr w:rsidR="00600DEE" w:rsidRPr="007463B9" w14:paraId="41AA0450"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2E35B6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0735750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18.524</w:t>
                  </w:r>
                </w:p>
              </w:tc>
              <w:tc>
                <w:tcPr>
                  <w:tcW w:w="1767" w:type="dxa"/>
                  <w:tcBorders>
                    <w:top w:val="single" w:sz="4" w:space="0" w:color="FFFFFF"/>
                    <w:left w:val="single" w:sz="4" w:space="0" w:color="FFFFFF"/>
                    <w:bottom w:val="single" w:sz="4" w:space="0" w:color="FFFFFF"/>
                  </w:tcBorders>
                  <w:shd w:val="clear" w:color="auto" w:fill="DBE5F1"/>
                  <w:vAlign w:val="bottom"/>
                </w:tcPr>
                <w:p w14:paraId="28D655E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0.458</w:t>
                  </w:r>
                </w:p>
              </w:tc>
            </w:tr>
            <w:tr w:rsidR="00600DEE" w:rsidRPr="007463B9" w14:paraId="4148B239"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2744D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32DD4C6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21.322</w:t>
                  </w:r>
                </w:p>
              </w:tc>
              <w:tc>
                <w:tcPr>
                  <w:tcW w:w="1767" w:type="dxa"/>
                  <w:tcBorders>
                    <w:top w:val="single" w:sz="4" w:space="0" w:color="FFFFFF"/>
                    <w:left w:val="single" w:sz="4" w:space="0" w:color="FFFFFF"/>
                    <w:bottom w:val="single" w:sz="4" w:space="0" w:color="FFFFFF"/>
                  </w:tcBorders>
                  <w:shd w:val="clear" w:color="auto" w:fill="DBE5F1"/>
                  <w:vAlign w:val="bottom"/>
                </w:tcPr>
                <w:p w14:paraId="6EC972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0.528</w:t>
                  </w:r>
                </w:p>
              </w:tc>
            </w:tr>
            <w:tr w:rsidR="00600DEE" w:rsidRPr="007463B9" w14:paraId="0D8AA048"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CEA0D0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5A03651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24.121</w:t>
                  </w:r>
                </w:p>
              </w:tc>
              <w:tc>
                <w:tcPr>
                  <w:tcW w:w="1767" w:type="dxa"/>
                  <w:tcBorders>
                    <w:top w:val="single" w:sz="4" w:space="0" w:color="FFFFFF"/>
                    <w:left w:val="single" w:sz="4" w:space="0" w:color="FFFFFF"/>
                    <w:bottom w:val="single" w:sz="4" w:space="0" w:color="FFFFFF"/>
                  </w:tcBorders>
                  <w:shd w:val="clear" w:color="auto" w:fill="DBE5F1"/>
                  <w:vAlign w:val="bottom"/>
                </w:tcPr>
                <w:p w14:paraId="4F4B0EF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0.597</w:t>
                  </w:r>
                </w:p>
              </w:tc>
            </w:tr>
            <w:tr w:rsidR="00600DEE" w:rsidRPr="007463B9" w14:paraId="4867106E"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A33AF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4BE5027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26.919</w:t>
                  </w:r>
                </w:p>
              </w:tc>
              <w:tc>
                <w:tcPr>
                  <w:tcW w:w="1767" w:type="dxa"/>
                  <w:tcBorders>
                    <w:top w:val="single" w:sz="4" w:space="0" w:color="FFFFFF"/>
                    <w:left w:val="single" w:sz="4" w:space="0" w:color="FFFFFF"/>
                    <w:bottom w:val="single" w:sz="4" w:space="0" w:color="FFFFFF"/>
                  </w:tcBorders>
                  <w:shd w:val="clear" w:color="auto" w:fill="DBE5F1"/>
                  <w:vAlign w:val="bottom"/>
                </w:tcPr>
                <w:p w14:paraId="2B9D30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0.666</w:t>
                  </w:r>
                </w:p>
              </w:tc>
            </w:tr>
            <w:tr w:rsidR="00600DEE" w:rsidRPr="007463B9" w14:paraId="0F83373E"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4EE168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2CE295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29.718</w:t>
                  </w:r>
                </w:p>
              </w:tc>
              <w:tc>
                <w:tcPr>
                  <w:tcW w:w="1767" w:type="dxa"/>
                  <w:tcBorders>
                    <w:top w:val="single" w:sz="4" w:space="0" w:color="FFFFFF"/>
                    <w:left w:val="single" w:sz="4" w:space="0" w:color="FFFFFF"/>
                    <w:bottom w:val="single" w:sz="4" w:space="0" w:color="FFFFFF"/>
                  </w:tcBorders>
                  <w:shd w:val="clear" w:color="auto" w:fill="DBE5F1"/>
                  <w:vAlign w:val="bottom"/>
                </w:tcPr>
                <w:p w14:paraId="0B8F32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0.735</w:t>
                  </w:r>
                </w:p>
              </w:tc>
            </w:tr>
          </w:tbl>
          <w:p w14:paraId="37EB06C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E702EE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Other costs:</w:t>
            </w:r>
          </w:p>
          <w:p w14:paraId="40C329C2" w14:textId="107317F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Additionally, the next cost component (also named ownership cost) is calculated considering vehicle depreciation and other costs (e.g. tyres wear, oil consumption, vehicle registration, etc.). Data used to estimate these costs is based on the relevant sources for current Polish vehicle fleet referred below.</w:t>
            </w:r>
          </w:p>
          <w:p w14:paraId="2A6B046C"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34F36398" w14:textId="78DB6E1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Calculation results for combustion motor LV </w:t>
            </w:r>
            <w:r w:rsidR="00C65DA8" w:rsidRPr="00C65DA8">
              <w:rPr>
                <w:rFonts w:ascii="Calibri" w:eastAsia="Calibri" w:hAnsi="Calibri" w:cs="Calibri"/>
                <w:color w:val="000000"/>
                <w:sz w:val="20"/>
                <w:szCs w:val="20"/>
                <w:lang w:val="en-GB"/>
              </w:rPr>
              <w:t>in prices as at the beginning of 2020 are</w:t>
            </w:r>
            <w:r w:rsidRPr="0045151D">
              <w:rPr>
                <w:rFonts w:ascii="Calibri" w:eastAsia="Calibri" w:hAnsi="Calibri" w:cs="Calibri"/>
                <w:color w:val="000000"/>
                <w:sz w:val="20"/>
                <w:szCs w:val="20"/>
                <w:lang w:val="en-GB"/>
              </w:rPr>
              <w:t xml:space="preserve"> as follows:</w:t>
            </w:r>
          </w:p>
          <w:p w14:paraId="6D0D1096" w14:textId="77777777" w:rsidR="00A3175F" w:rsidRPr="0045151D" w:rsidRDefault="00A3175F">
            <w:pPr>
              <w:pBdr>
                <w:top w:val="nil"/>
                <w:left w:val="nil"/>
                <w:bottom w:val="nil"/>
                <w:right w:val="nil"/>
                <w:between w:val="nil"/>
              </w:pBdr>
              <w:spacing w:before="120" w:after="120"/>
              <w:jc w:val="both"/>
              <w:rPr>
                <w:rFonts w:ascii="Calibri" w:eastAsia="Calibri" w:hAnsi="Calibri" w:cs="Calibri"/>
                <w:color w:val="000000"/>
                <w:sz w:val="20"/>
                <w:szCs w:val="20"/>
                <w:lang w:val="en-GB"/>
              </w:rPr>
            </w:pPr>
          </w:p>
          <w:tbl>
            <w:tblPr>
              <w:tblStyle w:val="affffffffffffffe"/>
              <w:tblW w:w="6967" w:type="dxa"/>
              <w:tblLayout w:type="fixed"/>
              <w:tblLook w:val="0000" w:firstRow="0" w:lastRow="0" w:firstColumn="0" w:lastColumn="0" w:noHBand="0" w:noVBand="0"/>
            </w:tblPr>
            <w:tblGrid>
              <w:gridCol w:w="2990"/>
              <w:gridCol w:w="2089"/>
              <w:gridCol w:w="1888"/>
            </w:tblGrid>
            <w:tr w:rsidR="00600DEE" w:rsidRPr="007463B9" w14:paraId="26F34B0B" w14:textId="77777777" w:rsidTr="0093229F">
              <w:trPr>
                <w:trHeight w:hRule="exact" w:val="794"/>
              </w:trPr>
              <w:tc>
                <w:tcPr>
                  <w:tcW w:w="2990" w:type="dxa"/>
                  <w:tcBorders>
                    <w:top w:val="single" w:sz="4" w:space="0" w:color="FFFFFF"/>
                    <w:left w:val="single" w:sz="4" w:space="0" w:color="FFFFFF"/>
                    <w:bottom w:val="single" w:sz="4" w:space="0" w:color="FFFFFF"/>
                  </w:tcBorders>
                  <w:shd w:val="clear" w:color="auto" w:fill="A6A6A6"/>
                  <w:vAlign w:val="center"/>
                </w:tcPr>
                <w:p w14:paraId="784090C9" w14:textId="77777777" w:rsidR="00600DEE" w:rsidRDefault="00641FB5">
                  <w:pPr>
                    <w:rPr>
                      <w:rFonts w:ascii="Calibri" w:eastAsia="Calibri" w:hAnsi="Calibri" w:cs="Calibri"/>
                      <w:b/>
                      <w:color w:val="FFFFFF"/>
                      <w:sz w:val="18"/>
                      <w:szCs w:val="18"/>
                    </w:rPr>
                  </w:pPr>
                  <w:proofErr w:type="spellStart"/>
                  <w:r>
                    <w:rPr>
                      <w:rFonts w:ascii="Calibri" w:eastAsia="Calibri" w:hAnsi="Calibri" w:cs="Calibri"/>
                      <w:b/>
                      <w:color w:val="FFFFFF"/>
                      <w:sz w:val="18"/>
                      <w:szCs w:val="18"/>
                    </w:rPr>
                    <w:t>Other</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total</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yearly</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costs</w:t>
                  </w:r>
                  <w:proofErr w:type="spellEnd"/>
                </w:p>
              </w:tc>
              <w:tc>
                <w:tcPr>
                  <w:tcW w:w="2089" w:type="dxa"/>
                  <w:tcBorders>
                    <w:top w:val="single" w:sz="4" w:space="0" w:color="FFFFFF"/>
                    <w:left w:val="single" w:sz="4" w:space="0" w:color="FFFFFF"/>
                    <w:bottom w:val="single" w:sz="4" w:space="0" w:color="FFFFFF"/>
                  </w:tcBorders>
                  <w:shd w:val="clear" w:color="auto" w:fill="A6A6A6"/>
                  <w:vAlign w:val="center"/>
                </w:tcPr>
                <w:p w14:paraId="5FFF75AA"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Including taxes, fees and customs duties</w:t>
                  </w:r>
                </w:p>
              </w:tc>
              <w:tc>
                <w:tcPr>
                  <w:tcW w:w="1888" w:type="dxa"/>
                  <w:tcBorders>
                    <w:top w:val="single" w:sz="4" w:space="0" w:color="FFFFFF"/>
                    <w:left w:val="single" w:sz="4" w:space="0" w:color="FFFFFF"/>
                    <w:bottom w:val="single" w:sz="4" w:space="0" w:color="FFFFFF"/>
                  </w:tcBorders>
                  <w:shd w:val="clear" w:color="auto" w:fill="A6A6A6"/>
                  <w:vAlign w:val="center"/>
                </w:tcPr>
                <w:p w14:paraId="6651E454"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Net of taxes,</w:t>
                  </w:r>
                </w:p>
                <w:p w14:paraId="6EB16818"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fees and customs duties</w:t>
                  </w:r>
                </w:p>
              </w:tc>
            </w:tr>
            <w:tr w:rsidR="00600DEE" w:rsidRPr="007463B9" w14:paraId="005C0BD4" w14:textId="77777777" w:rsidTr="00C65DA8">
              <w:trPr>
                <w:trHeight w:hRule="exact" w:val="454"/>
              </w:trPr>
              <w:tc>
                <w:tcPr>
                  <w:tcW w:w="2990" w:type="dxa"/>
                  <w:tcBorders>
                    <w:top w:val="single" w:sz="4" w:space="0" w:color="FFFFFF"/>
                    <w:left w:val="single" w:sz="4" w:space="0" w:color="FFFFFF"/>
                    <w:bottom w:val="single" w:sz="4" w:space="0" w:color="FFFFFF"/>
                  </w:tcBorders>
                  <w:shd w:val="clear" w:color="auto" w:fill="DBE5F1"/>
                  <w:vAlign w:val="center"/>
                </w:tcPr>
                <w:p w14:paraId="5E92B53E"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 Mandatory Driver's Liability insurance</w:t>
                  </w:r>
                </w:p>
              </w:tc>
              <w:tc>
                <w:tcPr>
                  <w:tcW w:w="2089" w:type="dxa"/>
                  <w:tcBorders>
                    <w:top w:val="single" w:sz="4" w:space="0" w:color="FFFFFF"/>
                    <w:left w:val="single" w:sz="4" w:space="0" w:color="FFFFFF"/>
                    <w:bottom w:val="single" w:sz="4" w:space="0" w:color="FFFFFF"/>
                  </w:tcBorders>
                  <w:shd w:val="clear" w:color="auto" w:fill="DBE5F1"/>
                  <w:vAlign w:val="center"/>
                </w:tcPr>
                <w:p w14:paraId="3D3FF9F8"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681</w:t>
                  </w:r>
                </w:p>
              </w:tc>
              <w:tc>
                <w:tcPr>
                  <w:tcW w:w="1888" w:type="dxa"/>
                  <w:tcBorders>
                    <w:top w:val="single" w:sz="4" w:space="0" w:color="FFFFFF"/>
                    <w:left w:val="single" w:sz="4" w:space="0" w:color="FFFFFF"/>
                    <w:bottom w:val="single" w:sz="4" w:space="0" w:color="FFFFFF"/>
                  </w:tcBorders>
                  <w:shd w:val="clear" w:color="auto" w:fill="DBE5F1"/>
                  <w:vAlign w:val="center"/>
                </w:tcPr>
                <w:p w14:paraId="5A656EE4"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681</w:t>
                  </w:r>
                </w:p>
              </w:tc>
            </w:tr>
            <w:tr w:rsidR="00600DEE" w:rsidRPr="007463B9" w14:paraId="102F4FFA"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663E862D"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 Tires changes</w:t>
                  </w:r>
                </w:p>
              </w:tc>
              <w:tc>
                <w:tcPr>
                  <w:tcW w:w="2089" w:type="dxa"/>
                  <w:tcBorders>
                    <w:top w:val="single" w:sz="4" w:space="0" w:color="FFFFFF"/>
                    <w:left w:val="single" w:sz="4" w:space="0" w:color="FFFFFF"/>
                    <w:bottom w:val="single" w:sz="4" w:space="0" w:color="FFFFFF"/>
                  </w:tcBorders>
                  <w:shd w:val="clear" w:color="auto" w:fill="DBE5F1"/>
                  <w:vAlign w:val="center"/>
                </w:tcPr>
                <w:p w14:paraId="07AE551A"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216</w:t>
                  </w:r>
                </w:p>
              </w:tc>
              <w:tc>
                <w:tcPr>
                  <w:tcW w:w="1888" w:type="dxa"/>
                  <w:tcBorders>
                    <w:top w:val="single" w:sz="4" w:space="0" w:color="FFFFFF"/>
                    <w:left w:val="single" w:sz="4" w:space="0" w:color="FFFFFF"/>
                    <w:bottom w:val="single" w:sz="4" w:space="0" w:color="FFFFFF"/>
                  </w:tcBorders>
                  <w:shd w:val="clear" w:color="auto" w:fill="DBE5F1"/>
                  <w:vAlign w:val="center"/>
                </w:tcPr>
                <w:p w14:paraId="460385C2"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176</w:t>
                  </w:r>
                </w:p>
              </w:tc>
            </w:tr>
            <w:tr w:rsidR="00600DEE" w:rsidRPr="007463B9" w14:paraId="35A286B5" w14:textId="77777777" w:rsidTr="0093229F">
              <w:trPr>
                <w:trHeight w:hRule="exact" w:val="454"/>
              </w:trPr>
              <w:tc>
                <w:tcPr>
                  <w:tcW w:w="2990" w:type="dxa"/>
                  <w:tcBorders>
                    <w:top w:val="single" w:sz="4" w:space="0" w:color="FFFFFF"/>
                    <w:left w:val="single" w:sz="4" w:space="0" w:color="FFFFFF"/>
                    <w:bottom w:val="single" w:sz="4" w:space="0" w:color="FFFFFF"/>
                  </w:tcBorders>
                  <w:shd w:val="clear" w:color="auto" w:fill="DBE5F1"/>
                  <w:vAlign w:val="center"/>
                </w:tcPr>
                <w:p w14:paraId="021BDDE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 Mandatory technical examination &amp; fee</w:t>
                  </w:r>
                </w:p>
              </w:tc>
              <w:tc>
                <w:tcPr>
                  <w:tcW w:w="2089" w:type="dxa"/>
                  <w:tcBorders>
                    <w:top w:val="single" w:sz="4" w:space="0" w:color="FFFFFF"/>
                    <w:left w:val="single" w:sz="4" w:space="0" w:color="FFFFFF"/>
                    <w:bottom w:val="single" w:sz="4" w:space="0" w:color="FFFFFF"/>
                  </w:tcBorders>
                  <w:shd w:val="clear" w:color="auto" w:fill="DBE5F1"/>
                  <w:vAlign w:val="center"/>
                </w:tcPr>
                <w:p w14:paraId="021C7D40"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100</w:t>
                  </w:r>
                </w:p>
              </w:tc>
              <w:tc>
                <w:tcPr>
                  <w:tcW w:w="1888" w:type="dxa"/>
                  <w:tcBorders>
                    <w:top w:val="single" w:sz="4" w:space="0" w:color="FFFFFF"/>
                    <w:left w:val="single" w:sz="4" w:space="0" w:color="FFFFFF"/>
                    <w:bottom w:val="single" w:sz="4" w:space="0" w:color="FFFFFF"/>
                  </w:tcBorders>
                  <w:shd w:val="clear" w:color="auto" w:fill="DBE5F1"/>
                  <w:vAlign w:val="center"/>
                </w:tcPr>
                <w:p w14:paraId="19FDB8A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100</w:t>
                  </w:r>
                </w:p>
              </w:tc>
            </w:tr>
            <w:tr w:rsidR="00600DEE" w:rsidRPr="007463B9" w14:paraId="591C9376"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37169302"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 Oil, filters and fluids</w:t>
                  </w:r>
                </w:p>
              </w:tc>
              <w:tc>
                <w:tcPr>
                  <w:tcW w:w="2089" w:type="dxa"/>
                  <w:tcBorders>
                    <w:top w:val="single" w:sz="4" w:space="0" w:color="FFFFFF"/>
                    <w:left w:val="single" w:sz="4" w:space="0" w:color="FFFFFF"/>
                    <w:bottom w:val="single" w:sz="4" w:space="0" w:color="FFFFFF"/>
                  </w:tcBorders>
                  <w:shd w:val="clear" w:color="auto" w:fill="DBE5F1"/>
                  <w:vAlign w:val="center"/>
                </w:tcPr>
                <w:p w14:paraId="78127F67"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250</w:t>
                  </w:r>
                </w:p>
              </w:tc>
              <w:tc>
                <w:tcPr>
                  <w:tcW w:w="1888" w:type="dxa"/>
                  <w:tcBorders>
                    <w:top w:val="single" w:sz="4" w:space="0" w:color="FFFFFF"/>
                    <w:left w:val="single" w:sz="4" w:space="0" w:color="FFFFFF"/>
                    <w:bottom w:val="single" w:sz="4" w:space="0" w:color="FFFFFF"/>
                  </w:tcBorders>
                  <w:shd w:val="clear" w:color="auto" w:fill="DBE5F1"/>
                  <w:vAlign w:val="center"/>
                </w:tcPr>
                <w:p w14:paraId="78AE7DC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203</w:t>
                  </w:r>
                </w:p>
              </w:tc>
            </w:tr>
            <w:tr w:rsidR="00600DEE" w:rsidRPr="007463B9" w14:paraId="3C98F5C9"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3851F10E"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Other</w:t>
                  </w:r>
                </w:p>
              </w:tc>
              <w:tc>
                <w:tcPr>
                  <w:tcW w:w="2089" w:type="dxa"/>
                  <w:tcBorders>
                    <w:top w:val="single" w:sz="4" w:space="0" w:color="FFFFFF"/>
                    <w:left w:val="single" w:sz="4" w:space="0" w:color="FFFFFF"/>
                    <w:bottom w:val="single" w:sz="4" w:space="0" w:color="FFFFFF"/>
                  </w:tcBorders>
                  <w:shd w:val="clear" w:color="auto" w:fill="DBE5F1"/>
                  <w:vAlign w:val="center"/>
                </w:tcPr>
                <w:p w14:paraId="3A99821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2,000</w:t>
                  </w:r>
                </w:p>
              </w:tc>
              <w:tc>
                <w:tcPr>
                  <w:tcW w:w="1888" w:type="dxa"/>
                  <w:tcBorders>
                    <w:top w:val="single" w:sz="4" w:space="0" w:color="FFFFFF"/>
                    <w:left w:val="single" w:sz="4" w:space="0" w:color="FFFFFF"/>
                    <w:bottom w:val="single" w:sz="4" w:space="0" w:color="FFFFFF"/>
                  </w:tcBorders>
                  <w:shd w:val="clear" w:color="auto" w:fill="DBE5F1"/>
                  <w:vAlign w:val="center"/>
                </w:tcPr>
                <w:p w14:paraId="2E20D505"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1,626</w:t>
                  </w:r>
                </w:p>
              </w:tc>
            </w:tr>
            <w:tr w:rsidR="00600DEE" w:rsidRPr="007463B9" w14:paraId="603BDADE"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5319F91C" w14:textId="77777777" w:rsidR="00600DEE" w:rsidRPr="0045151D" w:rsidRDefault="00600DEE">
                  <w:pPr>
                    <w:spacing w:before="20"/>
                    <w:rPr>
                      <w:rFonts w:ascii="Calibri" w:eastAsia="Calibri" w:hAnsi="Calibri" w:cs="Calibri"/>
                      <w:color w:val="4F81BD"/>
                      <w:sz w:val="18"/>
                      <w:szCs w:val="18"/>
                      <w:lang w:val="en-GB"/>
                    </w:rPr>
                  </w:pPr>
                </w:p>
              </w:tc>
              <w:tc>
                <w:tcPr>
                  <w:tcW w:w="2089" w:type="dxa"/>
                  <w:tcBorders>
                    <w:top w:val="single" w:sz="4" w:space="0" w:color="FFFFFF"/>
                    <w:left w:val="single" w:sz="4" w:space="0" w:color="FFFFFF"/>
                    <w:bottom w:val="single" w:sz="4" w:space="0" w:color="FFFFFF"/>
                  </w:tcBorders>
                  <w:shd w:val="clear" w:color="auto" w:fill="DBE5F1"/>
                  <w:vAlign w:val="center"/>
                </w:tcPr>
                <w:p w14:paraId="26767FE4" w14:textId="77777777" w:rsidR="00600DEE" w:rsidRPr="0045151D" w:rsidRDefault="00600DEE">
                  <w:pPr>
                    <w:jc w:val="center"/>
                    <w:rPr>
                      <w:rFonts w:ascii="Calibri" w:eastAsia="Calibri" w:hAnsi="Calibri" w:cs="Calibri"/>
                      <w:i/>
                      <w:color w:val="4F81BD"/>
                      <w:sz w:val="18"/>
                      <w:szCs w:val="18"/>
                      <w:lang w:val="en-GB"/>
                    </w:rPr>
                  </w:pPr>
                </w:p>
              </w:tc>
              <w:tc>
                <w:tcPr>
                  <w:tcW w:w="1888" w:type="dxa"/>
                  <w:tcBorders>
                    <w:top w:val="single" w:sz="4" w:space="0" w:color="FFFFFF"/>
                    <w:left w:val="single" w:sz="4" w:space="0" w:color="FFFFFF"/>
                    <w:bottom w:val="single" w:sz="4" w:space="0" w:color="FFFFFF"/>
                  </w:tcBorders>
                  <w:shd w:val="clear" w:color="auto" w:fill="DBE5F1"/>
                  <w:vAlign w:val="center"/>
                </w:tcPr>
                <w:p w14:paraId="2B1503B4" w14:textId="77777777" w:rsidR="00600DEE" w:rsidRPr="0045151D" w:rsidRDefault="00600DEE">
                  <w:pPr>
                    <w:jc w:val="center"/>
                    <w:rPr>
                      <w:rFonts w:ascii="Calibri" w:eastAsia="Calibri" w:hAnsi="Calibri" w:cs="Calibri"/>
                      <w:i/>
                      <w:color w:val="4F81BD"/>
                      <w:sz w:val="18"/>
                      <w:szCs w:val="18"/>
                      <w:lang w:val="en-GB"/>
                    </w:rPr>
                  </w:pPr>
                </w:p>
              </w:tc>
            </w:tr>
            <w:tr w:rsidR="00600DEE" w:rsidRPr="007463B9" w14:paraId="6A8FCF38"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7348659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Sub-total  (PLN/km) (*)</w:t>
                  </w:r>
                </w:p>
              </w:tc>
              <w:tc>
                <w:tcPr>
                  <w:tcW w:w="2089" w:type="dxa"/>
                  <w:tcBorders>
                    <w:top w:val="single" w:sz="4" w:space="0" w:color="FFFFFF"/>
                    <w:left w:val="single" w:sz="4" w:space="0" w:color="FFFFFF"/>
                    <w:bottom w:val="single" w:sz="4" w:space="0" w:color="FFFFFF"/>
                  </w:tcBorders>
                  <w:shd w:val="clear" w:color="auto" w:fill="DBE5F1"/>
                  <w:vAlign w:val="center"/>
                </w:tcPr>
                <w:p w14:paraId="3B6F389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0.374</w:t>
                  </w:r>
                </w:p>
              </w:tc>
              <w:tc>
                <w:tcPr>
                  <w:tcW w:w="1888" w:type="dxa"/>
                  <w:tcBorders>
                    <w:top w:val="single" w:sz="4" w:space="0" w:color="FFFFFF"/>
                    <w:left w:val="single" w:sz="4" w:space="0" w:color="FFFFFF"/>
                    <w:bottom w:val="single" w:sz="4" w:space="0" w:color="FFFFFF"/>
                  </w:tcBorders>
                  <w:shd w:val="clear" w:color="auto" w:fill="DBE5F1"/>
                  <w:vAlign w:val="center"/>
                </w:tcPr>
                <w:p w14:paraId="34DBAD30"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0.321</w:t>
                  </w:r>
                </w:p>
              </w:tc>
            </w:tr>
            <w:tr w:rsidR="00600DEE" w:rsidRPr="007463B9" w14:paraId="1279D6FA"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2A0D8DCF" w14:textId="77777777" w:rsidR="00600DEE" w:rsidRPr="0045151D" w:rsidRDefault="00600DEE">
                  <w:pPr>
                    <w:rPr>
                      <w:rFonts w:ascii="Calibri" w:eastAsia="Calibri" w:hAnsi="Calibri" w:cs="Calibri"/>
                      <w:color w:val="4F81BD"/>
                      <w:sz w:val="18"/>
                      <w:szCs w:val="18"/>
                      <w:lang w:val="en-GB"/>
                    </w:rPr>
                  </w:pPr>
                </w:p>
              </w:tc>
              <w:tc>
                <w:tcPr>
                  <w:tcW w:w="2089" w:type="dxa"/>
                  <w:tcBorders>
                    <w:top w:val="single" w:sz="4" w:space="0" w:color="FFFFFF"/>
                    <w:left w:val="single" w:sz="4" w:space="0" w:color="FFFFFF"/>
                    <w:bottom w:val="single" w:sz="4" w:space="0" w:color="FFFFFF"/>
                  </w:tcBorders>
                  <w:shd w:val="clear" w:color="auto" w:fill="DBE5F1"/>
                  <w:vAlign w:val="center"/>
                </w:tcPr>
                <w:p w14:paraId="6505F857" w14:textId="77777777" w:rsidR="00600DEE" w:rsidRPr="0045151D" w:rsidRDefault="00600DEE">
                  <w:pPr>
                    <w:jc w:val="center"/>
                    <w:rPr>
                      <w:rFonts w:ascii="Calibri" w:eastAsia="Calibri" w:hAnsi="Calibri" w:cs="Calibri"/>
                      <w:i/>
                      <w:color w:val="4F81BD"/>
                      <w:sz w:val="18"/>
                      <w:szCs w:val="18"/>
                      <w:lang w:val="en-GB"/>
                    </w:rPr>
                  </w:pPr>
                </w:p>
              </w:tc>
              <w:tc>
                <w:tcPr>
                  <w:tcW w:w="1888" w:type="dxa"/>
                  <w:tcBorders>
                    <w:top w:val="single" w:sz="4" w:space="0" w:color="FFFFFF"/>
                    <w:left w:val="single" w:sz="4" w:space="0" w:color="FFFFFF"/>
                    <w:bottom w:val="single" w:sz="4" w:space="0" w:color="FFFFFF"/>
                  </w:tcBorders>
                  <w:shd w:val="clear" w:color="auto" w:fill="DBE5F1"/>
                  <w:vAlign w:val="center"/>
                </w:tcPr>
                <w:p w14:paraId="31152003" w14:textId="77777777" w:rsidR="00600DEE" w:rsidRPr="0045151D" w:rsidRDefault="00600DEE">
                  <w:pPr>
                    <w:jc w:val="center"/>
                    <w:rPr>
                      <w:rFonts w:ascii="Calibri" w:eastAsia="Calibri" w:hAnsi="Calibri" w:cs="Calibri"/>
                      <w:i/>
                      <w:color w:val="4F81BD"/>
                      <w:sz w:val="18"/>
                      <w:szCs w:val="18"/>
                      <w:lang w:val="en-GB"/>
                    </w:rPr>
                  </w:pPr>
                </w:p>
              </w:tc>
            </w:tr>
            <w:tr w:rsidR="00600DEE" w:rsidRPr="007463B9" w14:paraId="12DBFFE4"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6738FE0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Depreciation (PLN/km) (**)</w:t>
                  </w:r>
                </w:p>
              </w:tc>
              <w:tc>
                <w:tcPr>
                  <w:tcW w:w="2089" w:type="dxa"/>
                  <w:tcBorders>
                    <w:top w:val="single" w:sz="4" w:space="0" w:color="FFFFFF"/>
                    <w:left w:val="single" w:sz="4" w:space="0" w:color="FFFFFF"/>
                    <w:bottom w:val="single" w:sz="4" w:space="0" w:color="FFFFFF"/>
                  </w:tcBorders>
                  <w:shd w:val="clear" w:color="auto" w:fill="DBE5F1"/>
                  <w:vAlign w:val="center"/>
                </w:tcPr>
                <w:p w14:paraId="107617C8"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0.64</w:t>
                  </w:r>
                </w:p>
              </w:tc>
              <w:tc>
                <w:tcPr>
                  <w:tcW w:w="1888" w:type="dxa"/>
                  <w:tcBorders>
                    <w:top w:val="single" w:sz="4" w:space="0" w:color="FFFFFF"/>
                    <w:left w:val="single" w:sz="4" w:space="0" w:color="FFFFFF"/>
                    <w:bottom w:val="single" w:sz="4" w:space="0" w:color="FFFFFF"/>
                  </w:tcBorders>
                  <w:shd w:val="clear" w:color="auto" w:fill="DBE5F1"/>
                  <w:vAlign w:val="center"/>
                </w:tcPr>
                <w:p w14:paraId="1D7B00D7"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0.49</w:t>
                  </w:r>
                </w:p>
              </w:tc>
            </w:tr>
            <w:tr w:rsidR="00600DEE" w:rsidRPr="007463B9" w14:paraId="3B0C936A" w14:textId="77777777" w:rsidTr="0093229F">
              <w:trPr>
                <w:trHeight w:hRule="exact" w:val="284"/>
              </w:trPr>
              <w:tc>
                <w:tcPr>
                  <w:tcW w:w="2990" w:type="dxa"/>
                  <w:tcBorders>
                    <w:top w:val="single" w:sz="4" w:space="0" w:color="FFFFFF"/>
                    <w:left w:val="single" w:sz="4" w:space="0" w:color="FFFFFF"/>
                    <w:bottom w:val="single" w:sz="4" w:space="0" w:color="FFFFFF"/>
                  </w:tcBorders>
                  <w:shd w:val="clear" w:color="auto" w:fill="95B3D7"/>
                  <w:vAlign w:val="center"/>
                </w:tcPr>
                <w:p w14:paraId="1CF481C2" w14:textId="77777777" w:rsidR="00600DEE" w:rsidRPr="0045151D" w:rsidRDefault="00641FB5">
                  <w:pP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TOTAL OTHERS (PLN/km)</w:t>
                  </w:r>
                </w:p>
              </w:tc>
              <w:tc>
                <w:tcPr>
                  <w:tcW w:w="2089" w:type="dxa"/>
                  <w:tcBorders>
                    <w:top w:val="single" w:sz="4" w:space="0" w:color="FFFFFF"/>
                    <w:left w:val="single" w:sz="4" w:space="0" w:color="FFFFFF"/>
                    <w:bottom w:val="single" w:sz="4" w:space="0" w:color="FFFFFF"/>
                  </w:tcBorders>
                  <w:shd w:val="clear" w:color="auto" w:fill="95B3D7"/>
                  <w:vAlign w:val="center"/>
                </w:tcPr>
                <w:p w14:paraId="6B229E3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1.017</w:t>
                  </w:r>
                </w:p>
              </w:tc>
              <w:tc>
                <w:tcPr>
                  <w:tcW w:w="1888" w:type="dxa"/>
                  <w:tcBorders>
                    <w:top w:val="single" w:sz="4" w:space="0" w:color="FFFFFF"/>
                    <w:left w:val="single" w:sz="4" w:space="0" w:color="FFFFFF"/>
                    <w:bottom w:val="single" w:sz="4" w:space="0" w:color="FFFFFF"/>
                  </w:tcBorders>
                  <w:shd w:val="clear" w:color="auto" w:fill="95B3D7"/>
                  <w:vAlign w:val="center"/>
                </w:tcPr>
                <w:p w14:paraId="2A1D2476"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0.811</w:t>
                  </w:r>
                </w:p>
              </w:tc>
            </w:tr>
          </w:tbl>
          <w:p w14:paraId="20E34910" w14:textId="77777777" w:rsidR="00A3175F" w:rsidRPr="0045151D" w:rsidRDefault="00A3175F">
            <w:pPr>
              <w:ind w:right="170"/>
              <w:jc w:val="both"/>
              <w:rPr>
                <w:rFonts w:ascii="Calibri" w:eastAsia="Calibri" w:hAnsi="Calibri" w:cs="Calibri"/>
                <w:b/>
                <w:i/>
                <w:sz w:val="16"/>
                <w:szCs w:val="16"/>
                <w:lang w:val="en-GB"/>
              </w:rPr>
            </w:pPr>
          </w:p>
          <w:p w14:paraId="2D768825" w14:textId="77777777" w:rsidR="0093229F" w:rsidRPr="0045151D" w:rsidRDefault="00641FB5">
            <w:p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Sources: </w:t>
            </w:r>
          </w:p>
          <w:p w14:paraId="2FAC7D02"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https://rankomat.pl/samochod/ile-kosztu</w:t>
            </w:r>
            <w:hyperlink r:id="rId160">
              <w:r w:rsidRPr="0045151D">
                <w:rPr>
                  <w:rFonts w:ascii="Calibri" w:eastAsia="Calibri" w:hAnsi="Calibri" w:cs="Calibri"/>
                  <w:b/>
                  <w:sz w:val="16"/>
                  <w:szCs w:val="16"/>
                  <w:lang w:val="en-GB"/>
                </w:rPr>
                <w:t>je-ubezpieczenie-samochodu-1</w:t>
              </w:r>
            </w:hyperlink>
            <w:r w:rsidRPr="0045151D">
              <w:rPr>
                <w:rFonts w:ascii="Calibri" w:eastAsia="Calibri" w:hAnsi="Calibri" w:cs="Calibri"/>
                <w:b/>
                <w:i/>
                <w:sz w:val="16"/>
                <w:szCs w:val="16"/>
                <w:lang w:val="en-GB"/>
              </w:rPr>
              <w:t>;</w:t>
            </w:r>
          </w:p>
          <w:p w14:paraId="07446F80"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w:t>
            </w:r>
            <w:hyperlink r:id="rId161">
              <w:r w:rsidRPr="0045151D">
                <w:rPr>
                  <w:rFonts w:ascii="Calibri" w:eastAsia="Calibri" w:hAnsi="Calibri" w:cs="Calibri"/>
                  <w:b/>
                  <w:i/>
                  <w:sz w:val="16"/>
                  <w:szCs w:val="16"/>
                  <w:lang w:val="en-GB"/>
                </w:rPr>
                <w:t>https://www.oponeo.pl/artykul/ile-kosztuje-wymiana-opon</w:t>
              </w:r>
            </w:hyperlink>
            <w:r w:rsidRPr="0045151D">
              <w:rPr>
                <w:rFonts w:ascii="Calibri" w:eastAsia="Calibri" w:hAnsi="Calibri" w:cs="Calibri"/>
                <w:b/>
                <w:i/>
                <w:sz w:val="16"/>
                <w:szCs w:val="16"/>
                <w:lang w:val="en-GB"/>
              </w:rPr>
              <w:t>;</w:t>
            </w:r>
          </w:p>
          <w:p w14:paraId="677636B2"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w:t>
            </w:r>
            <w:hyperlink r:id="rId162">
              <w:r w:rsidRPr="0045151D">
                <w:rPr>
                  <w:rFonts w:ascii="Calibri" w:eastAsia="Calibri" w:hAnsi="Calibri" w:cs="Calibri"/>
                  <w:b/>
                  <w:i/>
                  <w:sz w:val="16"/>
                  <w:szCs w:val="16"/>
                  <w:lang w:val="en-GB"/>
                </w:rPr>
                <w:t>https://kb.pl/porady/ile-kosztuje-przeglad-samochodu-sprawdz-aktualne-ceny-_mot/</w:t>
              </w:r>
            </w:hyperlink>
            <w:r w:rsidRPr="0045151D">
              <w:rPr>
                <w:rFonts w:ascii="Calibri" w:eastAsia="Calibri" w:hAnsi="Calibri" w:cs="Calibri"/>
                <w:b/>
                <w:i/>
                <w:sz w:val="16"/>
                <w:szCs w:val="16"/>
                <w:lang w:val="en-GB"/>
              </w:rPr>
              <w:t>;</w:t>
            </w:r>
          </w:p>
          <w:p w14:paraId="3D1D4985"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w:t>
            </w:r>
            <w:hyperlink r:id="rId163">
              <w:r w:rsidRPr="0045151D">
                <w:rPr>
                  <w:rFonts w:ascii="Calibri" w:eastAsia="Calibri" w:hAnsi="Calibri" w:cs="Calibri"/>
                  <w:b/>
                  <w:i/>
                  <w:sz w:val="16"/>
                  <w:szCs w:val="16"/>
                  <w:lang w:val="en-GB"/>
                </w:rPr>
                <w:t>https://www.motofakty.pl/artykul/ile-kosztuje-wymiana-oleju-w-samochodzie.html</w:t>
              </w:r>
            </w:hyperlink>
            <w:r w:rsidRPr="0045151D">
              <w:rPr>
                <w:rFonts w:ascii="Calibri" w:eastAsia="Calibri" w:hAnsi="Calibri" w:cs="Calibri"/>
                <w:b/>
                <w:i/>
                <w:sz w:val="16"/>
                <w:szCs w:val="16"/>
                <w:lang w:val="en-GB"/>
              </w:rPr>
              <w:t xml:space="preserve">; </w:t>
            </w:r>
          </w:p>
          <w:p w14:paraId="279A3AA6" w14:textId="77777777" w:rsidR="0093229F" w:rsidRPr="0093229F" w:rsidRDefault="0093229F" w:rsidP="00D5736B">
            <w:pPr>
              <w:pStyle w:val="Akapitzlist"/>
              <w:numPr>
                <w:ilvl w:val="0"/>
                <w:numId w:val="85"/>
              </w:numPr>
              <w:ind w:right="170"/>
              <w:jc w:val="both"/>
              <w:rPr>
                <w:rFonts w:ascii="Calibri" w:eastAsia="Calibri" w:hAnsi="Calibri" w:cs="Calibri"/>
                <w:b/>
                <w:i/>
                <w:sz w:val="16"/>
                <w:szCs w:val="16"/>
              </w:rPr>
            </w:pPr>
            <w:r w:rsidRPr="0093229F">
              <w:rPr>
                <w:rFonts w:ascii="Calibri" w:eastAsia="Calibri" w:hAnsi="Calibri" w:cs="Calibri"/>
                <w:b/>
                <w:i/>
                <w:sz w:val="16"/>
                <w:szCs w:val="16"/>
              </w:rPr>
              <w:t>https://www.bankier.pl/smart/koszty-eksploatacji-samochodu-ile-kosztuje-utrzymanie-samochodu, wiosna 2021</w:t>
            </w:r>
          </w:p>
          <w:p w14:paraId="0C5CED8C" w14:textId="77777777" w:rsidR="00600DEE" w:rsidRDefault="00641FB5">
            <w:pPr>
              <w:ind w:right="170"/>
              <w:jc w:val="both"/>
              <w:rPr>
                <w:rFonts w:ascii="Calibri" w:eastAsia="Calibri" w:hAnsi="Calibri" w:cs="Calibri"/>
                <w:b/>
                <w:i/>
                <w:sz w:val="16"/>
                <w:szCs w:val="16"/>
              </w:rPr>
            </w:pPr>
            <w:r>
              <w:rPr>
                <w:rFonts w:ascii="Calibri" w:eastAsia="Calibri" w:hAnsi="Calibri" w:cs="Calibri"/>
                <w:b/>
                <w:i/>
                <w:sz w:val="16"/>
                <w:szCs w:val="16"/>
              </w:rPr>
              <w:t xml:space="preserve">(*) </w:t>
            </w:r>
            <w:proofErr w:type="spellStart"/>
            <w:r>
              <w:rPr>
                <w:rFonts w:ascii="Calibri" w:eastAsia="Calibri" w:hAnsi="Calibri" w:cs="Calibri"/>
                <w:b/>
                <w:i/>
                <w:sz w:val="16"/>
                <w:szCs w:val="16"/>
              </w:rPr>
              <w:t>Assuming</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average</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annual</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mileage</w:t>
            </w:r>
            <w:proofErr w:type="spellEnd"/>
            <w:r>
              <w:rPr>
                <w:rFonts w:ascii="Calibri" w:eastAsia="Calibri" w:hAnsi="Calibri" w:cs="Calibri"/>
                <w:b/>
                <w:i/>
                <w:sz w:val="16"/>
                <w:szCs w:val="16"/>
              </w:rPr>
              <w:t xml:space="preserve"> for LV </w:t>
            </w:r>
            <w:proofErr w:type="spellStart"/>
            <w:r>
              <w:rPr>
                <w:rFonts w:ascii="Calibri" w:eastAsia="Calibri" w:hAnsi="Calibri" w:cs="Calibri"/>
                <w:b/>
                <w:i/>
                <w:sz w:val="16"/>
                <w:szCs w:val="16"/>
              </w:rPr>
              <w:t>based</w:t>
            </w:r>
            <w:proofErr w:type="spellEnd"/>
            <w:r>
              <w:rPr>
                <w:rFonts w:ascii="Calibri" w:eastAsia="Calibri" w:hAnsi="Calibri" w:cs="Calibri"/>
                <w:b/>
                <w:i/>
                <w:sz w:val="16"/>
                <w:szCs w:val="16"/>
              </w:rPr>
              <w:t xml:space="preserve"> on „Prognozy eksperckie zmian aktywności sektora transportu drogowego (w kontekście ustawy o systemie zarządzania emisjami gazów cieplarnianych i innych substancji)", ITS 2017).</w:t>
            </w:r>
            <w:r>
              <w:rPr>
                <w:rFonts w:ascii="Calibri" w:eastAsia="Calibri" w:hAnsi="Calibri" w:cs="Calibri"/>
                <w:b/>
                <w:i/>
                <w:sz w:val="16"/>
                <w:szCs w:val="16"/>
              </w:rPr>
              <w:tab/>
              <w:t xml:space="preserve"> </w:t>
            </w:r>
          </w:p>
          <w:p w14:paraId="6411DA11" w14:textId="1FBB494E" w:rsidR="00600DEE" w:rsidRPr="0045151D" w:rsidRDefault="00641FB5">
            <w:p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Depreciation: own calculations based on average price of passenger car net of taxes, fees and customs duties (SAMAR: </w:t>
            </w:r>
            <w:hyperlink r:id="rId164">
              <w:r w:rsidRPr="0045151D">
                <w:rPr>
                  <w:rFonts w:ascii="Calibri" w:eastAsia="Calibri" w:hAnsi="Calibri" w:cs="Calibri"/>
                  <w:b/>
                  <w:i/>
                  <w:color w:val="0000FF"/>
                  <w:sz w:val="16"/>
                  <w:szCs w:val="16"/>
                  <w:u w:val="single"/>
                  <w:lang w:val="en-GB"/>
                </w:rPr>
                <w:t>https://www.motofakty.pl/artykul/ceny-aut-w-2019-r-nowe-samochody-w-polsce-byly-drozsze-niz-w-2018.html</w:t>
              </w:r>
            </w:hyperlink>
            <w:r w:rsidRPr="0045151D">
              <w:rPr>
                <w:rFonts w:ascii="Calibri" w:eastAsia="Calibri" w:hAnsi="Calibri" w:cs="Calibri"/>
                <w:b/>
                <w:i/>
                <w:sz w:val="16"/>
                <w:szCs w:val="16"/>
                <w:lang w:val="en-GB"/>
              </w:rPr>
              <w:t>) and considering average LV life (</w:t>
            </w:r>
            <w:hyperlink r:id="rId165" w:anchor=":~:text=Key%20observations,the%20EU%20is%2011.6%20years">
              <w:r w:rsidRPr="0045151D">
                <w:rPr>
                  <w:rFonts w:ascii="Calibri" w:eastAsia="Calibri" w:hAnsi="Calibri" w:cs="Calibri"/>
                  <w:b/>
                  <w:i/>
                  <w:color w:val="0000FF"/>
                  <w:sz w:val="16"/>
                  <w:szCs w:val="16"/>
                  <w:u w:val="single"/>
                  <w:lang w:val="en-GB"/>
                </w:rPr>
                <w:t>https://www.acea.be/statistics/article/average-vehicleage#:~:text=Key%20observations,the%20EU%20is%2011.6%20years</w:t>
              </w:r>
            </w:hyperlink>
            <w:r w:rsidRPr="0045151D">
              <w:rPr>
                <w:rFonts w:ascii="Calibri" w:eastAsia="Calibri" w:hAnsi="Calibri" w:cs="Calibri"/>
                <w:b/>
                <w:i/>
                <w:sz w:val="16"/>
                <w:szCs w:val="16"/>
                <w:lang w:val="en-GB"/>
              </w:rPr>
              <w:t>) and average annual mileage referred above.</w:t>
            </w:r>
            <w:r w:rsidRPr="0045151D">
              <w:rPr>
                <w:rFonts w:ascii="Calibri" w:eastAsia="Calibri" w:hAnsi="Calibri" w:cs="Calibri"/>
                <w:b/>
                <w:i/>
                <w:sz w:val="16"/>
                <w:szCs w:val="16"/>
                <w:lang w:val="en-GB"/>
              </w:rPr>
              <w:tab/>
            </w:r>
          </w:p>
          <w:p w14:paraId="6EF7FA0B" w14:textId="3A40677D" w:rsidR="00A3175F" w:rsidRPr="0045151D" w:rsidRDefault="00A3175F">
            <w:pPr>
              <w:ind w:right="170"/>
              <w:jc w:val="both"/>
              <w:rPr>
                <w:rFonts w:ascii="Calibri" w:eastAsia="Calibri" w:hAnsi="Calibri" w:cs="Calibri"/>
                <w:b/>
                <w:i/>
                <w:sz w:val="16"/>
                <w:szCs w:val="16"/>
                <w:lang w:val="en-GB"/>
              </w:rPr>
            </w:pPr>
          </w:p>
          <w:p w14:paraId="1BE79F96" w14:textId="2D098E38" w:rsidR="00600DEE" w:rsidRPr="0045151D" w:rsidRDefault="00641FB5" w:rsidP="00701BA3">
            <w:pPr>
              <w:pBdr>
                <w:top w:val="nil"/>
                <w:left w:val="nil"/>
                <w:bottom w:val="nil"/>
                <w:right w:val="nil"/>
                <w:between w:val="nil"/>
              </w:pBdr>
              <w:spacing w:before="120" w:after="18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Calculation results for combustion motor HGV </w:t>
            </w:r>
            <w:r w:rsidR="00C65DA8" w:rsidRPr="00C65DA8">
              <w:rPr>
                <w:rFonts w:ascii="Calibri" w:eastAsia="Calibri" w:hAnsi="Calibri" w:cs="Calibri"/>
                <w:color w:val="000000"/>
                <w:sz w:val="20"/>
                <w:szCs w:val="20"/>
                <w:lang w:val="en-GB"/>
              </w:rPr>
              <w:t xml:space="preserve">in prices as at the beginning of 2020 </w:t>
            </w:r>
            <w:r w:rsidRPr="0045151D">
              <w:rPr>
                <w:rFonts w:ascii="Calibri" w:eastAsia="Calibri" w:hAnsi="Calibri" w:cs="Calibri"/>
                <w:color w:val="000000"/>
                <w:sz w:val="20"/>
                <w:szCs w:val="20"/>
                <w:lang w:val="en-GB"/>
              </w:rPr>
              <w:t>are as follows:</w:t>
            </w:r>
          </w:p>
          <w:tbl>
            <w:tblPr>
              <w:tblStyle w:val="afffffffffffffff"/>
              <w:tblW w:w="6050" w:type="dxa"/>
              <w:tblLayout w:type="fixed"/>
              <w:tblLook w:val="0000" w:firstRow="0" w:lastRow="0" w:firstColumn="0" w:lastColumn="0" w:noHBand="0" w:noVBand="0"/>
            </w:tblPr>
            <w:tblGrid>
              <w:gridCol w:w="2043"/>
              <w:gridCol w:w="1427"/>
              <w:gridCol w:w="1290"/>
              <w:gridCol w:w="1290"/>
            </w:tblGrid>
            <w:tr w:rsidR="00600DEE" w:rsidRPr="007463B9" w14:paraId="5F081AF7" w14:textId="77777777" w:rsidTr="00701BA3">
              <w:trPr>
                <w:trHeight w:hRule="exact" w:val="1021"/>
              </w:trPr>
              <w:tc>
                <w:tcPr>
                  <w:tcW w:w="2043" w:type="dxa"/>
                  <w:tcBorders>
                    <w:top w:val="single" w:sz="4" w:space="0" w:color="FFFFFF"/>
                    <w:left w:val="single" w:sz="4" w:space="0" w:color="FFFFFF"/>
                    <w:bottom w:val="single" w:sz="4" w:space="0" w:color="FFFFFF"/>
                  </w:tcBorders>
                  <w:shd w:val="clear" w:color="auto" w:fill="A6A6A6"/>
                  <w:vAlign w:val="center"/>
                </w:tcPr>
                <w:p w14:paraId="1FE1F611" w14:textId="77777777" w:rsidR="00600DEE" w:rsidRDefault="00641FB5">
                  <w:pPr>
                    <w:rPr>
                      <w:rFonts w:ascii="Calibri" w:eastAsia="Calibri" w:hAnsi="Calibri" w:cs="Calibri"/>
                      <w:b/>
                      <w:color w:val="FFFFFF"/>
                      <w:sz w:val="18"/>
                      <w:szCs w:val="18"/>
                    </w:rPr>
                  </w:pPr>
                  <w:proofErr w:type="spellStart"/>
                  <w:r>
                    <w:rPr>
                      <w:rFonts w:ascii="Calibri" w:eastAsia="Calibri" w:hAnsi="Calibri" w:cs="Calibri"/>
                      <w:b/>
                      <w:color w:val="FFFFFF"/>
                      <w:sz w:val="18"/>
                      <w:szCs w:val="18"/>
                    </w:rPr>
                    <w:t>Other</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total</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yearly</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costs</w:t>
                  </w:r>
                  <w:proofErr w:type="spellEnd"/>
                </w:p>
              </w:tc>
              <w:tc>
                <w:tcPr>
                  <w:tcW w:w="1427" w:type="dxa"/>
                  <w:tcBorders>
                    <w:top w:val="single" w:sz="4" w:space="0" w:color="FFFFFF"/>
                    <w:left w:val="single" w:sz="4" w:space="0" w:color="FFFFFF"/>
                    <w:bottom w:val="single" w:sz="4" w:space="0" w:color="FFFFFF"/>
                  </w:tcBorders>
                  <w:shd w:val="clear" w:color="auto" w:fill="A6A6A6"/>
                  <w:vAlign w:val="center"/>
                </w:tcPr>
                <w:p w14:paraId="3AA9A2F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Including taxes, fees and customs duties</w:t>
                  </w:r>
                </w:p>
              </w:tc>
              <w:tc>
                <w:tcPr>
                  <w:tcW w:w="1290" w:type="dxa"/>
                  <w:tcBorders>
                    <w:top w:val="single" w:sz="4" w:space="0" w:color="FFFFFF"/>
                    <w:left w:val="single" w:sz="4" w:space="0" w:color="FFFFFF"/>
                    <w:bottom w:val="single" w:sz="4" w:space="0" w:color="FFFFFF"/>
                  </w:tcBorders>
                  <w:shd w:val="clear" w:color="auto" w:fill="A6A6A6"/>
                  <w:vAlign w:val="center"/>
                </w:tcPr>
                <w:p w14:paraId="18DDF82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Net of taxes,</w:t>
                  </w:r>
                </w:p>
                <w:p w14:paraId="1685FE3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fees and customs duties</w:t>
                  </w:r>
                </w:p>
              </w:tc>
              <w:tc>
                <w:tcPr>
                  <w:tcW w:w="1290" w:type="dxa"/>
                  <w:tcBorders>
                    <w:top w:val="single" w:sz="4" w:space="0" w:color="FFFFFF"/>
                    <w:left w:val="single" w:sz="4" w:space="0" w:color="FFFFFF"/>
                    <w:bottom w:val="single" w:sz="4" w:space="0" w:color="FFFFFF"/>
                  </w:tcBorders>
                  <w:shd w:val="clear" w:color="auto" w:fill="A6A6A6"/>
                </w:tcPr>
                <w:p w14:paraId="2D770642"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w:t>
                  </w:r>
                  <w:proofErr w:type="spellStart"/>
                  <w:r w:rsidRPr="0045151D">
                    <w:rPr>
                      <w:rFonts w:ascii="Calibri" w:eastAsia="Calibri" w:hAnsi="Calibri" w:cs="Calibri"/>
                      <w:b/>
                      <w:color w:val="FFFFFF"/>
                      <w:sz w:val="18"/>
                      <w:szCs w:val="18"/>
                      <w:lang w:val="en-GB"/>
                    </w:rPr>
                    <w:t>vehkm</w:t>
                  </w:r>
                  <w:proofErr w:type="spellEnd"/>
                  <w:r w:rsidRPr="0045151D">
                    <w:rPr>
                      <w:rFonts w:ascii="Calibri" w:eastAsia="Calibri" w:hAnsi="Calibri" w:cs="Calibri"/>
                      <w:b/>
                      <w:color w:val="FFFFFF"/>
                      <w:sz w:val="18"/>
                      <w:szCs w:val="18"/>
                      <w:lang w:val="en-GB"/>
                    </w:rPr>
                    <w:t>, all taxes excluded</w:t>
                  </w:r>
                </w:p>
                <w:p w14:paraId="4A37F03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t>
                  </w:r>
                </w:p>
              </w:tc>
            </w:tr>
            <w:tr w:rsidR="00600DEE" w:rsidRPr="007463B9" w14:paraId="484028C5"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54FF6885"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Depreciation or loss of market value of the vehicle stock </w:t>
                  </w:r>
                </w:p>
              </w:tc>
              <w:tc>
                <w:tcPr>
                  <w:tcW w:w="1427" w:type="dxa"/>
                  <w:tcBorders>
                    <w:top w:val="single" w:sz="4" w:space="0" w:color="FFFFFF"/>
                    <w:left w:val="single" w:sz="4" w:space="0" w:color="FFFFFF"/>
                    <w:bottom w:val="single" w:sz="4" w:space="0" w:color="FFFFFF"/>
                  </w:tcBorders>
                  <w:shd w:val="clear" w:color="auto" w:fill="DBE5F1"/>
                  <w:vAlign w:val="bottom"/>
                </w:tcPr>
                <w:p w14:paraId="65599AA5"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400,000</w:t>
                  </w:r>
                </w:p>
              </w:tc>
              <w:tc>
                <w:tcPr>
                  <w:tcW w:w="1290" w:type="dxa"/>
                  <w:tcBorders>
                    <w:top w:val="single" w:sz="4" w:space="0" w:color="FFFFFF"/>
                    <w:left w:val="single" w:sz="4" w:space="0" w:color="FFFFFF"/>
                    <w:bottom w:val="single" w:sz="4" w:space="0" w:color="FFFFFF"/>
                  </w:tcBorders>
                  <w:shd w:val="clear" w:color="auto" w:fill="DBE5F1"/>
                  <w:vAlign w:val="bottom"/>
                </w:tcPr>
                <w:p w14:paraId="398E8E1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320,397</w:t>
                  </w:r>
                </w:p>
              </w:tc>
              <w:tc>
                <w:tcPr>
                  <w:tcW w:w="1290" w:type="dxa"/>
                  <w:tcBorders>
                    <w:top w:val="single" w:sz="4" w:space="0" w:color="FFFFFF"/>
                    <w:left w:val="single" w:sz="4" w:space="0" w:color="FFFFFF"/>
                    <w:bottom w:val="single" w:sz="4" w:space="0" w:color="FFFFFF"/>
                  </w:tcBorders>
                  <w:shd w:val="clear" w:color="auto" w:fill="DBE5F1"/>
                  <w:vAlign w:val="bottom"/>
                </w:tcPr>
                <w:p w14:paraId="2CEE2CF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0.986</w:t>
                  </w:r>
                </w:p>
              </w:tc>
            </w:tr>
            <w:tr w:rsidR="00600DEE" w:rsidRPr="007463B9" w14:paraId="05B5D948"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6068DF0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Operating materials</w:t>
                  </w:r>
                </w:p>
              </w:tc>
              <w:tc>
                <w:tcPr>
                  <w:tcW w:w="1427" w:type="dxa"/>
                  <w:tcBorders>
                    <w:top w:val="single" w:sz="4" w:space="0" w:color="FFFFFF"/>
                    <w:left w:val="single" w:sz="4" w:space="0" w:color="FFFFFF"/>
                    <w:bottom w:val="single" w:sz="4" w:space="0" w:color="FFFFFF"/>
                  </w:tcBorders>
                  <w:shd w:val="clear" w:color="auto" w:fill="DBE5F1"/>
                  <w:vAlign w:val="bottom"/>
                </w:tcPr>
                <w:p w14:paraId="324060F0"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3,000</w:t>
                  </w:r>
                </w:p>
              </w:tc>
              <w:tc>
                <w:tcPr>
                  <w:tcW w:w="1290" w:type="dxa"/>
                  <w:tcBorders>
                    <w:top w:val="single" w:sz="4" w:space="0" w:color="FFFFFF"/>
                    <w:left w:val="single" w:sz="4" w:space="0" w:color="FFFFFF"/>
                    <w:bottom w:val="single" w:sz="4" w:space="0" w:color="FFFFFF"/>
                  </w:tcBorders>
                  <w:shd w:val="clear" w:color="auto" w:fill="DBE5F1"/>
                  <w:vAlign w:val="bottom"/>
                </w:tcPr>
                <w:p w14:paraId="6AD3B1C6"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2,439</w:t>
                  </w:r>
                </w:p>
              </w:tc>
              <w:tc>
                <w:tcPr>
                  <w:tcW w:w="1290" w:type="dxa"/>
                  <w:tcBorders>
                    <w:top w:val="single" w:sz="4" w:space="0" w:color="FFFFFF"/>
                    <w:left w:val="single" w:sz="4" w:space="0" w:color="FFFFFF"/>
                    <w:bottom w:val="single" w:sz="4" w:space="0" w:color="FFFFFF"/>
                  </w:tcBorders>
                  <w:shd w:val="clear" w:color="auto" w:fill="DBE5F1"/>
                  <w:vAlign w:val="bottom"/>
                </w:tcPr>
                <w:p w14:paraId="5657E9EC"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0.075</w:t>
                  </w:r>
                </w:p>
              </w:tc>
            </w:tr>
            <w:tr w:rsidR="00600DEE" w:rsidRPr="007463B9" w14:paraId="020B9D37"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2C5D4AC4"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Tires </w:t>
                  </w:r>
                </w:p>
              </w:tc>
              <w:tc>
                <w:tcPr>
                  <w:tcW w:w="1427" w:type="dxa"/>
                  <w:tcBorders>
                    <w:top w:val="single" w:sz="4" w:space="0" w:color="FFFFFF"/>
                    <w:left w:val="single" w:sz="4" w:space="0" w:color="FFFFFF"/>
                    <w:bottom w:val="single" w:sz="4" w:space="0" w:color="FFFFFF"/>
                  </w:tcBorders>
                  <w:shd w:val="clear" w:color="auto" w:fill="DBE5F1"/>
                  <w:vAlign w:val="bottom"/>
                </w:tcPr>
                <w:p w14:paraId="120A101B"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 </w:t>
                  </w:r>
                </w:p>
              </w:tc>
              <w:tc>
                <w:tcPr>
                  <w:tcW w:w="1290" w:type="dxa"/>
                  <w:tcBorders>
                    <w:top w:val="single" w:sz="4" w:space="0" w:color="FFFFFF"/>
                    <w:left w:val="single" w:sz="4" w:space="0" w:color="FFFFFF"/>
                    <w:bottom w:val="single" w:sz="4" w:space="0" w:color="FFFFFF"/>
                  </w:tcBorders>
                  <w:shd w:val="clear" w:color="auto" w:fill="DBE5F1"/>
                  <w:vAlign w:val="bottom"/>
                </w:tcPr>
                <w:p w14:paraId="2718998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 </w:t>
                  </w:r>
                </w:p>
              </w:tc>
              <w:tc>
                <w:tcPr>
                  <w:tcW w:w="1290" w:type="dxa"/>
                  <w:tcBorders>
                    <w:top w:val="single" w:sz="4" w:space="0" w:color="FFFFFF"/>
                    <w:left w:val="single" w:sz="4" w:space="0" w:color="FFFFFF"/>
                    <w:bottom w:val="single" w:sz="4" w:space="0" w:color="FFFFFF"/>
                  </w:tcBorders>
                  <w:shd w:val="clear" w:color="auto" w:fill="DBE5F1"/>
                  <w:vAlign w:val="bottom"/>
                </w:tcPr>
                <w:p w14:paraId="75C7837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0.147</w:t>
                  </w:r>
                </w:p>
              </w:tc>
            </w:tr>
            <w:tr w:rsidR="00600DEE" w:rsidRPr="007463B9" w14:paraId="73CB27D9"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129AFBF5" w14:textId="77777777" w:rsidR="00600DEE" w:rsidRPr="0045151D" w:rsidRDefault="00641FB5">
                  <w:pPr>
                    <w:spacing w:before="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Vehicle insurance (OCP, OC, AC) </w:t>
                  </w:r>
                </w:p>
                <w:p w14:paraId="5EC0A997" w14:textId="77777777" w:rsidR="00600DEE" w:rsidRPr="0045151D" w:rsidRDefault="00600DEE">
                  <w:pPr>
                    <w:rPr>
                      <w:rFonts w:ascii="Calibri" w:eastAsia="Calibri" w:hAnsi="Calibri" w:cs="Calibri"/>
                      <w:color w:val="4F81BD"/>
                      <w:sz w:val="18"/>
                      <w:szCs w:val="18"/>
                      <w:lang w:val="en-GB"/>
                    </w:rPr>
                  </w:pPr>
                </w:p>
              </w:tc>
              <w:tc>
                <w:tcPr>
                  <w:tcW w:w="1427" w:type="dxa"/>
                  <w:tcBorders>
                    <w:top w:val="single" w:sz="4" w:space="0" w:color="FFFFFF"/>
                    <w:left w:val="single" w:sz="4" w:space="0" w:color="FFFFFF"/>
                    <w:bottom w:val="single" w:sz="4" w:space="0" w:color="FFFFFF"/>
                  </w:tcBorders>
                  <w:shd w:val="clear" w:color="auto" w:fill="DBE5F1"/>
                  <w:vAlign w:val="bottom"/>
                </w:tcPr>
                <w:p w14:paraId="2036F08E"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8,000</w:t>
                  </w:r>
                </w:p>
              </w:tc>
              <w:tc>
                <w:tcPr>
                  <w:tcW w:w="1290" w:type="dxa"/>
                  <w:tcBorders>
                    <w:top w:val="single" w:sz="4" w:space="0" w:color="FFFFFF"/>
                    <w:left w:val="single" w:sz="4" w:space="0" w:color="FFFFFF"/>
                    <w:bottom w:val="single" w:sz="4" w:space="0" w:color="FFFFFF"/>
                  </w:tcBorders>
                  <w:shd w:val="clear" w:color="auto" w:fill="DBE5F1"/>
                  <w:vAlign w:val="bottom"/>
                </w:tcPr>
                <w:p w14:paraId="76B7443C"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8,000</w:t>
                  </w:r>
                </w:p>
              </w:tc>
              <w:tc>
                <w:tcPr>
                  <w:tcW w:w="1290" w:type="dxa"/>
                  <w:tcBorders>
                    <w:top w:val="single" w:sz="4" w:space="0" w:color="FFFFFF"/>
                    <w:left w:val="single" w:sz="4" w:space="0" w:color="FFFFFF"/>
                    <w:bottom w:val="single" w:sz="4" w:space="0" w:color="FFFFFF"/>
                  </w:tcBorders>
                  <w:shd w:val="clear" w:color="auto" w:fill="DBE5F1"/>
                  <w:vAlign w:val="bottom"/>
                </w:tcPr>
                <w:p w14:paraId="6FC1AB07"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0.246</w:t>
                  </w:r>
                </w:p>
              </w:tc>
            </w:tr>
            <w:tr w:rsidR="00600DEE" w:rsidRPr="007463B9" w14:paraId="7DB12720" w14:textId="77777777" w:rsidTr="00701BA3">
              <w:trPr>
                <w:trHeight w:hRule="exact" w:val="567"/>
              </w:trPr>
              <w:tc>
                <w:tcPr>
                  <w:tcW w:w="2043" w:type="dxa"/>
                  <w:tcBorders>
                    <w:top w:val="single" w:sz="4" w:space="0" w:color="FFFFFF"/>
                    <w:left w:val="single" w:sz="4" w:space="0" w:color="FFFFFF"/>
                    <w:bottom w:val="single" w:sz="4" w:space="0" w:color="FFFFFF"/>
                  </w:tcBorders>
                  <w:shd w:val="clear" w:color="auto" w:fill="95B3D7"/>
                  <w:vAlign w:val="center"/>
                </w:tcPr>
                <w:p w14:paraId="4B409024" w14:textId="77777777" w:rsidR="00600DEE" w:rsidRPr="0045151D" w:rsidRDefault="00641FB5">
                  <w:pP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TOTAL OTHERS (PLN/km)</w:t>
                  </w:r>
                </w:p>
              </w:tc>
              <w:tc>
                <w:tcPr>
                  <w:tcW w:w="1427" w:type="dxa"/>
                  <w:tcBorders>
                    <w:top w:val="single" w:sz="4" w:space="0" w:color="FFFFFF"/>
                    <w:left w:val="single" w:sz="4" w:space="0" w:color="FFFFFF"/>
                    <w:bottom w:val="single" w:sz="4" w:space="0" w:color="FFFFFF"/>
                  </w:tcBorders>
                  <w:shd w:val="clear" w:color="auto" w:fill="95B3D7"/>
                  <w:vAlign w:val="bottom"/>
                </w:tcPr>
                <w:p w14:paraId="06E69823" w14:textId="77777777" w:rsidR="00600DEE" w:rsidRPr="0045151D" w:rsidRDefault="00600DEE">
                  <w:pPr>
                    <w:jc w:val="center"/>
                    <w:rPr>
                      <w:rFonts w:ascii="Calibri" w:eastAsia="Calibri" w:hAnsi="Calibri" w:cs="Calibri"/>
                      <w:b/>
                      <w:color w:val="FFFFFF"/>
                      <w:sz w:val="18"/>
                      <w:szCs w:val="18"/>
                      <w:lang w:val="en-GB"/>
                    </w:rPr>
                  </w:pPr>
                </w:p>
              </w:tc>
              <w:tc>
                <w:tcPr>
                  <w:tcW w:w="1290" w:type="dxa"/>
                  <w:tcBorders>
                    <w:top w:val="single" w:sz="4" w:space="0" w:color="FFFFFF"/>
                    <w:left w:val="single" w:sz="4" w:space="0" w:color="FFFFFF"/>
                    <w:bottom w:val="single" w:sz="4" w:space="0" w:color="FFFFFF"/>
                  </w:tcBorders>
                  <w:shd w:val="clear" w:color="auto" w:fill="95B3D7"/>
                  <w:vAlign w:val="bottom"/>
                </w:tcPr>
                <w:p w14:paraId="57672F22" w14:textId="77777777" w:rsidR="00600DEE" w:rsidRPr="0045151D" w:rsidRDefault="00600DEE">
                  <w:pPr>
                    <w:jc w:val="center"/>
                    <w:rPr>
                      <w:rFonts w:ascii="Calibri" w:eastAsia="Calibri" w:hAnsi="Calibri" w:cs="Calibri"/>
                      <w:b/>
                      <w:color w:val="FFFFFF"/>
                      <w:sz w:val="18"/>
                      <w:szCs w:val="18"/>
                      <w:lang w:val="en-GB"/>
                    </w:rPr>
                  </w:pPr>
                </w:p>
              </w:tc>
              <w:tc>
                <w:tcPr>
                  <w:tcW w:w="1290" w:type="dxa"/>
                  <w:tcBorders>
                    <w:top w:val="single" w:sz="4" w:space="0" w:color="FFFFFF"/>
                    <w:left w:val="single" w:sz="4" w:space="0" w:color="FFFFFF"/>
                    <w:bottom w:val="single" w:sz="4" w:space="0" w:color="FFFFFF"/>
                  </w:tcBorders>
                  <w:shd w:val="clear" w:color="auto" w:fill="95B3D7"/>
                  <w:vAlign w:val="bottom"/>
                </w:tcPr>
                <w:p w14:paraId="2C8822F0"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1.454</w:t>
                  </w:r>
                </w:p>
              </w:tc>
            </w:tr>
          </w:tbl>
          <w:p w14:paraId="103703F1" w14:textId="77777777" w:rsidR="00600DEE" w:rsidRPr="0045151D" w:rsidRDefault="00641FB5">
            <w:pPr>
              <w:ind w:right="170"/>
              <w:jc w:val="both"/>
              <w:rPr>
                <w:rFonts w:ascii="Calibri" w:eastAsia="Calibri" w:hAnsi="Calibri" w:cs="Calibri"/>
                <w:b/>
                <w:i/>
                <w:sz w:val="10"/>
                <w:szCs w:val="10"/>
                <w:lang w:val="en-GB"/>
              </w:rPr>
            </w:pPr>
            <w:r w:rsidRPr="0045151D">
              <w:rPr>
                <w:rFonts w:ascii="Calibri" w:eastAsia="Calibri" w:hAnsi="Calibri" w:cs="Calibri"/>
                <w:b/>
                <w:i/>
                <w:sz w:val="16"/>
                <w:szCs w:val="16"/>
                <w:lang w:val="en-GB"/>
              </w:rPr>
              <w:t>Sources:</w:t>
            </w:r>
            <w:r w:rsidRPr="0045151D">
              <w:rPr>
                <w:lang w:val="en-GB"/>
              </w:rPr>
              <w:t xml:space="preserve"> </w:t>
            </w:r>
            <w:hyperlink r:id="rId166">
              <w:r w:rsidRPr="0045151D">
                <w:rPr>
                  <w:rFonts w:ascii="Calibri" w:eastAsia="Calibri" w:hAnsi="Calibri" w:cs="Calibri"/>
                  <w:b/>
                  <w:i/>
                  <w:color w:val="0000FF"/>
                  <w:sz w:val="16"/>
                  <w:szCs w:val="16"/>
                  <w:u w:val="single"/>
                  <w:lang w:val="en-GB"/>
                </w:rPr>
                <w:t xml:space="preserve">Jak </w:t>
              </w:r>
              <w:proofErr w:type="spellStart"/>
              <w:r w:rsidRPr="0045151D">
                <w:rPr>
                  <w:rFonts w:ascii="Calibri" w:eastAsia="Calibri" w:hAnsi="Calibri" w:cs="Calibri"/>
                  <w:b/>
                  <w:i/>
                  <w:color w:val="0000FF"/>
                  <w:sz w:val="16"/>
                  <w:szCs w:val="16"/>
                  <w:u w:val="single"/>
                  <w:lang w:val="en-GB"/>
                </w:rPr>
                <w:t>wyznaczyć</w:t>
              </w:r>
              <w:proofErr w:type="spellEnd"/>
              <w:r w:rsidRPr="0045151D">
                <w:rPr>
                  <w:rFonts w:ascii="Calibri" w:eastAsia="Calibri" w:hAnsi="Calibri" w:cs="Calibri"/>
                  <w:b/>
                  <w:i/>
                  <w:color w:val="0000FF"/>
                  <w:sz w:val="16"/>
                  <w:szCs w:val="16"/>
                  <w:u w:val="single"/>
                  <w:lang w:val="en-GB"/>
                </w:rPr>
                <w:t xml:space="preserve"> </w:t>
              </w:r>
              <w:proofErr w:type="spellStart"/>
              <w:r w:rsidRPr="0045151D">
                <w:rPr>
                  <w:rFonts w:ascii="Calibri" w:eastAsia="Calibri" w:hAnsi="Calibri" w:cs="Calibri"/>
                  <w:b/>
                  <w:i/>
                  <w:color w:val="0000FF"/>
                  <w:sz w:val="16"/>
                  <w:szCs w:val="16"/>
                  <w:u w:val="single"/>
                  <w:lang w:val="en-GB"/>
                </w:rPr>
                <w:t>stawkę</w:t>
              </w:r>
              <w:proofErr w:type="spellEnd"/>
              <w:r w:rsidRPr="0045151D">
                <w:rPr>
                  <w:rFonts w:ascii="Calibri" w:eastAsia="Calibri" w:hAnsi="Calibri" w:cs="Calibri"/>
                  <w:b/>
                  <w:i/>
                  <w:color w:val="0000FF"/>
                  <w:sz w:val="16"/>
                  <w:szCs w:val="16"/>
                  <w:u w:val="single"/>
                  <w:lang w:val="en-GB"/>
                </w:rPr>
                <w:t xml:space="preserve"> za km </w:t>
              </w:r>
              <w:proofErr w:type="spellStart"/>
              <w:r w:rsidRPr="0045151D">
                <w:rPr>
                  <w:rFonts w:ascii="Calibri" w:eastAsia="Calibri" w:hAnsi="Calibri" w:cs="Calibri"/>
                  <w:b/>
                  <w:i/>
                  <w:color w:val="0000FF"/>
                  <w:sz w:val="16"/>
                  <w:szCs w:val="16"/>
                  <w:u w:val="single"/>
                  <w:lang w:val="en-GB"/>
                </w:rPr>
                <w:t>zlecenia</w:t>
              </w:r>
              <w:proofErr w:type="spellEnd"/>
              <w:r w:rsidRPr="0045151D">
                <w:rPr>
                  <w:rFonts w:ascii="Calibri" w:eastAsia="Calibri" w:hAnsi="Calibri" w:cs="Calibri"/>
                  <w:b/>
                  <w:i/>
                  <w:color w:val="0000FF"/>
                  <w:sz w:val="16"/>
                  <w:szCs w:val="16"/>
                  <w:u w:val="single"/>
                  <w:lang w:val="en-GB"/>
                </w:rPr>
                <w:t xml:space="preserve"> </w:t>
              </w:r>
              <w:proofErr w:type="spellStart"/>
              <w:r w:rsidRPr="0045151D">
                <w:rPr>
                  <w:rFonts w:ascii="Calibri" w:eastAsia="Calibri" w:hAnsi="Calibri" w:cs="Calibri"/>
                  <w:b/>
                  <w:i/>
                  <w:color w:val="0000FF"/>
                  <w:sz w:val="16"/>
                  <w:szCs w:val="16"/>
                  <w:u w:val="single"/>
                  <w:lang w:val="en-GB"/>
                </w:rPr>
                <w:t>transportowego</w:t>
              </w:r>
              <w:proofErr w:type="spellEnd"/>
              <w:r w:rsidRPr="0045151D">
                <w:rPr>
                  <w:rFonts w:ascii="Calibri" w:eastAsia="Calibri" w:hAnsi="Calibri" w:cs="Calibri"/>
                  <w:b/>
                  <w:i/>
                  <w:color w:val="0000FF"/>
                  <w:sz w:val="16"/>
                  <w:szCs w:val="16"/>
                  <w:u w:val="single"/>
                  <w:lang w:val="en-GB"/>
                </w:rPr>
                <w:t xml:space="preserve">? - </w:t>
              </w:r>
              <w:proofErr w:type="spellStart"/>
              <w:r w:rsidRPr="0045151D">
                <w:rPr>
                  <w:rFonts w:ascii="Calibri" w:eastAsia="Calibri" w:hAnsi="Calibri" w:cs="Calibri"/>
                  <w:b/>
                  <w:i/>
                  <w:color w:val="0000FF"/>
                  <w:sz w:val="16"/>
                  <w:szCs w:val="16"/>
                  <w:u w:val="single"/>
                  <w:lang w:val="en-GB"/>
                </w:rPr>
                <w:t>FireTMS</w:t>
              </w:r>
              <w:proofErr w:type="spellEnd"/>
            </w:hyperlink>
            <w:r w:rsidRPr="0045151D">
              <w:rPr>
                <w:rFonts w:ascii="Calibri" w:eastAsia="Calibri" w:hAnsi="Calibri" w:cs="Calibri"/>
                <w:b/>
                <w:i/>
                <w:sz w:val="8"/>
                <w:szCs w:val="8"/>
                <w:lang w:val="en-GB"/>
              </w:rPr>
              <w:t xml:space="preserve"> </w:t>
            </w:r>
            <w:r w:rsidRPr="0045151D">
              <w:rPr>
                <w:rFonts w:ascii="Calibri" w:eastAsia="Calibri" w:hAnsi="Calibri" w:cs="Calibri"/>
                <w:b/>
                <w:i/>
                <w:sz w:val="10"/>
                <w:szCs w:val="10"/>
                <w:lang w:val="en-GB"/>
              </w:rPr>
              <w:t xml:space="preserve"> </w:t>
            </w:r>
          </w:p>
          <w:p w14:paraId="299EFE35" w14:textId="4AB51219" w:rsidR="00600DEE" w:rsidRDefault="00641FB5">
            <w:pPr>
              <w:ind w:right="170"/>
              <w:jc w:val="both"/>
              <w:rPr>
                <w:rFonts w:ascii="Calibri" w:eastAsia="Calibri" w:hAnsi="Calibri" w:cs="Calibri"/>
                <w:b/>
                <w:i/>
                <w:sz w:val="16"/>
                <w:szCs w:val="16"/>
              </w:rPr>
            </w:pPr>
            <w:r>
              <w:rPr>
                <w:rFonts w:ascii="Calibri" w:eastAsia="Calibri" w:hAnsi="Calibri" w:cs="Calibri"/>
                <w:b/>
                <w:i/>
                <w:sz w:val="16"/>
                <w:szCs w:val="16"/>
              </w:rPr>
              <w:t xml:space="preserve">(*) </w:t>
            </w:r>
            <w:proofErr w:type="spellStart"/>
            <w:r>
              <w:rPr>
                <w:rFonts w:ascii="Calibri" w:eastAsia="Calibri" w:hAnsi="Calibri" w:cs="Calibri"/>
                <w:b/>
                <w:i/>
                <w:sz w:val="16"/>
                <w:szCs w:val="16"/>
              </w:rPr>
              <w:t>Assuming</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average</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annual</w:t>
            </w:r>
            <w:proofErr w:type="spellEnd"/>
            <w:r>
              <w:rPr>
                <w:rFonts w:ascii="Calibri" w:eastAsia="Calibri" w:hAnsi="Calibri" w:cs="Calibri"/>
                <w:b/>
                <w:i/>
                <w:sz w:val="16"/>
                <w:szCs w:val="16"/>
              </w:rPr>
              <w:t xml:space="preserve"> </w:t>
            </w:r>
            <w:proofErr w:type="spellStart"/>
            <w:r>
              <w:rPr>
                <w:rFonts w:ascii="Calibri" w:eastAsia="Calibri" w:hAnsi="Calibri" w:cs="Calibri"/>
                <w:b/>
                <w:i/>
                <w:sz w:val="16"/>
                <w:szCs w:val="16"/>
              </w:rPr>
              <w:t>mileage</w:t>
            </w:r>
            <w:proofErr w:type="spellEnd"/>
            <w:r>
              <w:rPr>
                <w:rFonts w:ascii="Calibri" w:eastAsia="Calibri" w:hAnsi="Calibri" w:cs="Calibri"/>
                <w:b/>
                <w:i/>
                <w:sz w:val="16"/>
                <w:szCs w:val="16"/>
              </w:rPr>
              <w:t xml:space="preserve"> for HGV </w:t>
            </w:r>
            <w:proofErr w:type="spellStart"/>
            <w:r>
              <w:rPr>
                <w:rFonts w:ascii="Calibri" w:eastAsia="Calibri" w:hAnsi="Calibri" w:cs="Calibri"/>
                <w:b/>
                <w:i/>
                <w:sz w:val="16"/>
                <w:szCs w:val="16"/>
              </w:rPr>
              <w:t>based</w:t>
            </w:r>
            <w:proofErr w:type="spellEnd"/>
            <w:r>
              <w:rPr>
                <w:rFonts w:ascii="Calibri" w:eastAsia="Calibri" w:hAnsi="Calibri" w:cs="Calibri"/>
                <w:b/>
                <w:i/>
                <w:sz w:val="16"/>
                <w:szCs w:val="16"/>
              </w:rPr>
              <w:t xml:space="preserve"> on „Prognozy eksperckie zmian aktywności sektora transportu drogowego (w kontekście ustawy o systemie zarządzania emisjami gazów cieplarnianych </w:t>
            </w:r>
            <w:r w:rsidR="00C65DA8">
              <w:rPr>
                <w:rFonts w:ascii="Calibri" w:eastAsia="Calibri" w:hAnsi="Calibri" w:cs="Calibri"/>
                <w:b/>
                <w:i/>
                <w:sz w:val="16"/>
                <w:szCs w:val="16"/>
              </w:rPr>
              <w:t>i innych substancji)", ITS 2017</w:t>
            </w:r>
            <w:r>
              <w:rPr>
                <w:rFonts w:ascii="Calibri" w:eastAsia="Calibri" w:hAnsi="Calibri" w:cs="Calibri"/>
                <w:b/>
                <w:i/>
                <w:sz w:val="16"/>
                <w:szCs w:val="16"/>
              </w:rPr>
              <w:t>.</w:t>
            </w:r>
            <w:r>
              <w:rPr>
                <w:rFonts w:ascii="Calibri" w:eastAsia="Calibri" w:hAnsi="Calibri" w:cs="Calibri"/>
                <w:b/>
                <w:i/>
                <w:sz w:val="16"/>
                <w:szCs w:val="16"/>
              </w:rPr>
              <w:tab/>
              <w:t xml:space="preserve"> </w:t>
            </w:r>
          </w:p>
          <w:p w14:paraId="3FC06EB1" w14:textId="77777777" w:rsidR="00701BA3" w:rsidRDefault="00701BA3">
            <w:pPr>
              <w:pBdr>
                <w:top w:val="nil"/>
                <w:left w:val="nil"/>
                <w:bottom w:val="nil"/>
                <w:right w:val="nil"/>
                <w:between w:val="nil"/>
              </w:pBdr>
              <w:spacing w:before="120"/>
              <w:jc w:val="both"/>
              <w:rPr>
                <w:rFonts w:ascii="Calibri" w:eastAsia="Calibri" w:hAnsi="Calibri" w:cs="Calibri"/>
                <w:color w:val="000000"/>
                <w:sz w:val="20"/>
                <w:szCs w:val="20"/>
                <w:u w:val="single"/>
              </w:rPr>
            </w:pPr>
          </w:p>
          <w:p w14:paraId="538AFFEF" w14:textId="08C9C613"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VOC assumptions for combustion motor LVs and HGVs</w:t>
            </w:r>
          </w:p>
          <w:p w14:paraId="16895502" w14:textId="77777777"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Finally, </w:t>
            </w:r>
            <w:r w:rsidRPr="0045151D">
              <w:rPr>
                <w:rFonts w:ascii="Calibri" w:eastAsia="Calibri" w:hAnsi="Calibri" w:cs="Calibri"/>
                <w:b/>
                <w:color w:val="000000"/>
                <w:sz w:val="20"/>
                <w:szCs w:val="20"/>
                <w:lang w:val="en-GB"/>
              </w:rPr>
              <w:t>total VOCs for LV and HGV</w:t>
            </w:r>
            <w:r w:rsidRPr="0045151D">
              <w:rPr>
                <w:rFonts w:ascii="Calibri" w:eastAsia="Calibri" w:hAnsi="Calibri" w:cs="Calibri"/>
                <w:color w:val="000000"/>
                <w:sz w:val="20"/>
                <w:szCs w:val="20"/>
                <w:lang w:val="en-GB"/>
              </w:rPr>
              <w:t xml:space="preserve"> (unit costs in Appendix A) are estimated as the sum of fuel consumption costs (as a function of travel speed) plus other costs (both net of any taxes, customs duties and public fees), both components as presented above. Those correspond to a road under good conditions (i.e. pavement after construction/rehabilitation) and on flat terrain. </w:t>
            </w:r>
          </w:p>
          <w:p w14:paraId="2D8EF7C2" w14:textId="77777777" w:rsidR="00600DEE" w:rsidRPr="0045151D" w:rsidRDefault="00600DEE">
            <w:pPr>
              <w:pBdr>
                <w:top w:val="nil"/>
                <w:left w:val="nil"/>
                <w:bottom w:val="nil"/>
                <w:right w:val="nil"/>
                <w:between w:val="nil"/>
              </w:pBdr>
              <w:spacing w:before="60"/>
              <w:jc w:val="both"/>
              <w:rPr>
                <w:rFonts w:ascii="Calibri" w:eastAsia="Calibri" w:hAnsi="Calibri" w:cs="Calibri"/>
                <w:color w:val="000000"/>
                <w:sz w:val="20"/>
                <w:szCs w:val="20"/>
                <w:lang w:val="en-GB"/>
              </w:rPr>
            </w:pPr>
          </w:p>
          <w:p w14:paraId="76C1A27B"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3025A313"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74501C2E"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4C130604"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60C392A2" w14:textId="1FBDB69A"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Therefore, the relevant factors related to other road conditions and types of terrain were estimated as presented below:</w:t>
            </w:r>
          </w:p>
          <w:p w14:paraId="28520154" w14:textId="77777777"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u w:val="single"/>
                <w:lang w:val="en-GB"/>
              </w:rPr>
            </w:pPr>
          </w:p>
          <w:p w14:paraId="49DD43CB" w14:textId="6D09B76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Road gradient:</w:t>
            </w:r>
          </w:p>
          <w:p w14:paraId="487E8EA6" w14:textId="50047DC4"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considered that a hilly terrain increases fuel consumption by 15% for LV. For HGV, the related factor is obtained based on the fuel consumptions equations. </w:t>
            </w:r>
          </w:p>
          <w:p w14:paraId="5759A2DE" w14:textId="1CE9464F" w:rsidR="00701BA3" w:rsidRDefault="00701BA3" w:rsidP="00701BA3">
            <w:pPr>
              <w:pBdr>
                <w:top w:val="nil"/>
                <w:left w:val="nil"/>
                <w:bottom w:val="nil"/>
                <w:right w:val="nil"/>
                <w:between w:val="nil"/>
              </w:pBdr>
              <w:spacing w:before="60" w:after="120"/>
              <w:jc w:val="both"/>
              <w:rPr>
                <w:rFonts w:ascii="Calibri" w:eastAsia="Calibri" w:hAnsi="Calibri" w:cs="Calibri"/>
                <w:color w:val="000000"/>
                <w:sz w:val="20"/>
                <w:szCs w:val="20"/>
                <w:lang w:val="en-GB"/>
              </w:rPr>
            </w:pPr>
          </w:p>
          <w:p w14:paraId="3C3B1300" w14:textId="77777777" w:rsidR="00C25D65" w:rsidRPr="0045151D" w:rsidRDefault="00C25D65" w:rsidP="00701BA3">
            <w:pPr>
              <w:pBdr>
                <w:top w:val="nil"/>
                <w:left w:val="nil"/>
                <w:bottom w:val="nil"/>
                <w:right w:val="nil"/>
                <w:between w:val="nil"/>
              </w:pBdr>
              <w:spacing w:before="60" w:after="120"/>
              <w:jc w:val="both"/>
              <w:rPr>
                <w:rFonts w:ascii="Calibri" w:eastAsia="Calibri" w:hAnsi="Calibri" w:cs="Calibri"/>
                <w:color w:val="000000"/>
                <w:sz w:val="20"/>
                <w:szCs w:val="20"/>
                <w:lang w:val="en-GB"/>
              </w:rPr>
            </w:pPr>
          </w:p>
          <w:p w14:paraId="3A335038" w14:textId="72B127E9"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respective multiplying factors to be applied to overall VOC are presented below:</w:t>
            </w:r>
          </w:p>
          <w:p w14:paraId="1154F901"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tbl>
            <w:tblPr>
              <w:tblStyle w:val="afffffffffffffff0"/>
              <w:tblW w:w="3395" w:type="dxa"/>
              <w:tblLayout w:type="fixed"/>
              <w:tblLook w:val="0400" w:firstRow="0" w:lastRow="0" w:firstColumn="0" w:lastColumn="0" w:noHBand="0" w:noVBand="1"/>
            </w:tblPr>
            <w:tblGrid>
              <w:gridCol w:w="1694"/>
              <w:gridCol w:w="850"/>
              <w:gridCol w:w="851"/>
            </w:tblGrid>
            <w:tr w:rsidR="00600DEE" w:rsidRPr="007463B9" w14:paraId="5F387746" w14:textId="77777777" w:rsidTr="00701BA3">
              <w:trPr>
                <w:trHeight w:val="454"/>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5D994CFC"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5D2B34D0"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5D960486"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w:t>
                  </w:r>
                </w:p>
              </w:tc>
            </w:tr>
            <w:tr w:rsidR="00600DEE" w:rsidRPr="007463B9" w14:paraId="4429497E" w14:textId="77777777" w:rsidTr="00701BA3">
              <w:trPr>
                <w:trHeigh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1444962B"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2641AC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4070D8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r>
            <w:tr w:rsidR="00600DEE" w:rsidRPr="007463B9" w14:paraId="1B6857D0" w14:textId="77777777" w:rsidTr="00701BA3">
              <w:trPr>
                <w:trHeigh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7EF53B37" w14:textId="77777777" w:rsidR="00600DEE" w:rsidRPr="0045151D" w:rsidRDefault="00641FB5" w:rsidP="008A523C">
                  <w:pPr>
                    <w:spacing w:before="100" w:beforeAutospacing="1"/>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20EDA20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1.032</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576D692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1.200</w:t>
                  </w:r>
                </w:p>
              </w:tc>
            </w:tr>
          </w:tbl>
          <w:p w14:paraId="0CFD7B17" w14:textId="1938CD08" w:rsidR="00600DEE" w:rsidRPr="0045151D" w:rsidRDefault="00641FB5" w:rsidP="008A523C">
            <w:pPr>
              <w:pBdr>
                <w:top w:val="nil"/>
                <w:left w:val="nil"/>
                <w:bottom w:val="nil"/>
                <w:right w:val="nil"/>
                <w:between w:val="nil"/>
              </w:pBdr>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 xml:space="preserve">Sources: own work based mainly on </w:t>
            </w:r>
            <w:hyperlink r:id="rId167" w:anchor=":~:text=The%20fuel%20economy%20on%20flat,to%20that%20of%20hilly%20routes.&amp;text=The%20experimental%20results%20showed%20that,an%20increase%20in%20trip%20time.">
              <w:r w:rsidRPr="0045151D">
                <w:rPr>
                  <w:rFonts w:ascii="Calibri" w:eastAsia="Calibri" w:hAnsi="Calibri" w:cs="Calibri"/>
                  <w:b/>
                  <w:i/>
                  <w:color w:val="0000FF"/>
                  <w:sz w:val="16"/>
                  <w:szCs w:val="16"/>
                  <w:u w:val="single"/>
                  <w:lang w:val="en-GB"/>
                </w:rPr>
                <w:t xml:space="preserve">Minimizing vehicle fuel consumption on hilly roads based on dynamic programming - Min Zhou, Hui </w:t>
              </w:r>
              <w:proofErr w:type="spellStart"/>
              <w:r w:rsidRPr="0045151D">
                <w:rPr>
                  <w:rFonts w:ascii="Calibri" w:eastAsia="Calibri" w:hAnsi="Calibri" w:cs="Calibri"/>
                  <w:b/>
                  <w:i/>
                  <w:color w:val="0000FF"/>
                  <w:sz w:val="16"/>
                  <w:szCs w:val="16"/>
                  <w:u w:val="single"/>
                  <w:lang w:val="en-GB"/>
                </w:rPr>
                <w:t>Jin</w:t>
              </w:r>
              <w:proofErr w:type="spellEnd"/>
              <w:r w:rsidRPr="0045151D">
                <w:rPr>
                  <w:rFonts w:ascii="Calibri" w:eastAsia="Calibri" w:hAnsi="Calibri" w:cs="Calibri"/>
                  <w:b/>
                  <w:i/>
                  <w:color w:val="0000FF"/>
                  <w:sz w:val="16"/>
                  <w:szCs w:val="16"/>
                  <w:u w:val="single"/>
                  <w:lang w:val="en-GB"/>
                </w:rPr>
                <w:t>, Feng Ding, 2017 (sagepub.com)</w:t>
              </w:r>
            </w:hyperlink>
            <w:r w:rsidRPr="0045151D">
              <w:rPr>
                <w:rFonts w:ascii="Calibri" w:eastAsia="Calibri" w:hAnsi="Calibri" w:cs="Calibri"/>
                <w:b/>
                <w:i/>
                <w:color w:val="0000FF"/>
                <w:sz w:val="16"/>
                <w:szCs w:val="16"/>
                <w:lang w:val="en-GB"/>
              </w:rPr>
              <w:t xml:space="preserve"> </w:t>
            </w:r>
            <w:r w:rsidRPr="0045151D">
              <w:rPr>
                <w:rFonts w:ascii="Calibri" w:eastAsia="Calibri" w:hAnsi="Calibri" w:cs="Calibri"/>
                <w:b/>
                <w:i/>
                <w:color w:val="000000"/>
                <w:sz w:val="16"/>
                <w:szCs w:val="16"/>
                <w:lang w:val="en-GB"/>
              </w:rPr>
              <w:t xml:space="preserve">for LV; and “EMEP/EEA air pollutant emission inventory guidebook, 2019, 1.A.3.b.i-iv Road Transport Appendix 4 Emission Factors 2019 (Sept. 2020)” for HGV. </w:t>
            </w:r>
          </w:p>
          <w:p w14:paraId="331E76E9" w14:textId="32C49BAB" w:rsidR="00701BA3" w:rsidRPr="0045151D" w:rsidRDefault="00701BA3">
            <w:pPr>
              <w:pBdr>
                <w:top w:val="nil"/>
                <w:left w:val="nil"/>
                <w:bottom w:val="nil"/>
                <w:right w:val="nil"/>
                <w:between w:val="nil"/>
              </w:pBdr>
              <w:spacing w:before="60"/>
              <w:jc w:val="both"/>
              <w:rPr>
                <w:rFonts w:ascii="Calibri" w:eastAsia="Calibri" w:hAnsi="Calibri" w:cs="Calibri"/>
                <w:b/>
                <w:i/>
                <w:color w:val="000000"/>
                <w:sz w:val="16"/>
                <w:szCs w:val="16"/>
                <w:lang w:val="en-GB"/>
              </w:rPr>
            </w:pPr>
          </w:p>
          <w:p w14:paraId="3B94AC7D" w14:textId="51AA082F" w:rsidR="00701BA3" w:rsidRPr="0045151D" w:rsidRDefault="00701BA3">
            <w:pPr>
              <w:pBdr>
                <w:top w:val="nil"/>
                <w:left w:val="nil"/>
                <w:bottom w:val="nil"/>
                <w:right w:val="nil"/>
                <w:between w:val="nil"/>
              </w:pBdr>
              <w:spacing w:before="60"/>
              <w:jc w:val="both"/>
              <w:rPr>
                <w:rFonts w:ascii="Calibri" w:eastAsia="Calibri" w:hAnsi="Calibri" w:cs="Calibri"/>
                <w:b/>
                <w:i/>
                <w:color w:val="000000"/>
                <w:sz w:val="16"/>
                <w:szCs w:val="16"/>
                <w:lang w:val="en-GB"/>
              </w:rPr>
            </w:pPr>
          </w:p>
          <w:p w14:paraId="0308C593"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7367E17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Road condition</w:t>
            </w:r>
          </w:p>
          <w:p w14:paraId="73428B31" w14:textId="40560EA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Based on "Optimisation of Maintenance", (OECD/ITF 2012, p. 12), the following factors were obtained. The multiplying factors presented below are to be applied to overall VOC:</w:t>
            </w:r>
          </w:p>
          <w:p w14:paraId="407D76A2" w14:textId="283D0DC1"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494563FA" w14:textId="061956E0"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152675D1" w14:textId="7F828D5E"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4E764310" w14:textId="29F796A7"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56B7119C" w14:textId="77777777"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5AE2D0B5" w14:textId="40237D21"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Road </w:t>
            </w:r>
            <w:r w:rsidR="00C65DA8">
              <w:rPr>
                <w:rFonts w:ascii="Calibri" w:eastAsia="Calibri" w:hAnsi="Calibri" w:cs="Calibri"/>
                <w:color w:val="000000"/>
                <w:sz w:val="20"/>
                <w:szCs w:val="20"/>
                <w:lang w:val="en-GB"/>
              </w:rPr>
              <w:t>condition</w:t>
            </w:r>
            <w:r w:rsidRPr="0045151D">
              <w:rPr>
                <w:rFonts w:ascii="Calibri" w:eastAsia="Calibri" w:hAnsi="Calibri" w:cs="Calibri"/>
                <w:color w:val="000000"/>
                <w:sz w:val="20"/>
                <w:szCs w:val="20"/>
                <w:lang w:val="en-GB"/>
              </w:rPr>
              <w:t xml:space="preserve"> costs multiplying factors for combustion motor vehicles (LV, HGV): </w:t>
            </w:r>
          </w:p>
          <w:p w14:paraId="3651E59E" w14:textId="77777777" w:rsidR="008A523C" w:rsidRPr="0045151D" w:rsidRDefault="008A523C">
            <w:pPr>
              <w:pBdr>
                <w:top w:val="nil"/>
                <w:left w:val="nil"/>
                <w:bottom w:val="nil"/>
                <w:right w:val="nil"/>
                <w:between w:val="nil"/>
              </w:pBdr>
              <w:spacing w:before="120"/>
              <w:jc w:val="both"/>
              <w:rPr>
                <w:rFonts w:ascii="Calibri" w:eastAsia="Calibri" w:hAnsi="Calibri" w:cs="Calibri"/>
                <w:color w:val="000000"/>
                <w:sz w:val="20"/>
                <w:szCs w:val="20"/>
                <w:lang w:val="en-GB"/>
              </w:rPr>
            </w:pPr>
          </w:p>
          <w:tbl>
            <w:tblPr>
              <w:tblStyle w:val="afffffffffffffff1"/>
              <w:tblW w:w="5605" w:type="dxa"/>
              <w:tblLayout w:type="fixed"/>
              <w:tblLook w:val="0400" w:firstRow="0" w:lastRow="0" w:firstColumn="0" w:lastColumn="0" w:noHBand="0" w:noVBand="1"/>
            </w:tblPr>
            <w:tblGrid>
              <w:gridCol w:w="2695"/>
              <w:gridCol w:w="1351"/>
              <w:gridCol w:w="1559"/>
            </w:tblGrid>
            <w:tr w:rsidR="00600DEE" w:rsidRPr="007463B9" w14:paraId="672CE2B8"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4A6D9DF9"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condition</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6A523AB6"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6FA34F7A"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w:t>
                  </w:r>
                </w:p>
              </w:tc>
            </w:tr>
            <w:tr w:rsidR="00600DEE" w:rsidRPr="007463B9" w14:paraId="270A19F6"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002A029"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Good (after construction/rehabilitation)</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FC70D4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25522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r>
            <w:tr w:rsidR="00600DEE" w:rsidRPr="007463B9" w14:paraId="307D53BF"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992B60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Degraded, </w:t>
                  </w:r>
                </w:p>
                <w:p w14:paraId="1C5E0535"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Speed (km/h)</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DFA93D9" w14:textId="77777777" w:rsidR="00600DEE" w:rsidRPr="0045151D" w:rsidRDefault="00600DEE">
                  <w:pPr>
                    <w:jc w:val="center"/>
                    <w:rPr>
                      <w:rFonts w:ascii="Calibri" w:eastAsia="Calibri" w:hAnsi="Calibri" w:cs="Calibri"/>
                      <w:color w:val="4F81BD"/>
                      <w:sz w:val="18"/>
                      <w:szCs w:val="18"/>
                      <w:lang w:val="en-GB"/>
                    </w:rPr>
                  </w:pP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106E49D" w14:textId="77777777" w:rsidR="00600DEE" w:rsidRPr="0045151D" w:rsidRDefault="00600DEE">
                  <w:pPr>
                    <w:jc w:val="center"/>
                    <w:rPr>
                      <w:rFonts w:ascii="Calibri" w:eastAsia="Calibri" w:hAnsi="Calibri" w:cs="Calibri"/>
                      <w:color w:val="4F81BD"/>
                      <w:sz w:val="18"/>
                      <w:szCs w:val="18"/>
                      <w:lang w:val="en-GB"/>
                    </w:rPr>
                  </w:pPr>
                </w:p>
              </w:tc>
            </w:tr>
            <w:tr w:rsidR="00600DEE" w:rsidRPr="007463B9" w14:paraId="50F985C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30291D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4A1BB9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BA5C16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13D7870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F8EED35"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792EB4A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FD5B04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6B84842F"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E62FF96"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6F40F9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C079F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54077197"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5CFF9F5"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6B501A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90D086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44EE11B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C9D8D7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41-50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348DF6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DAE5B3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52FD2E13"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C29936E"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51-60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209E4E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1.131</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09EB11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1.146</w:t>
                  </w:r>
                </w:p>
              </w:tc>
            </w:tr>
            <w:tr w:rsidR="00600DEE" w:rsidRPr="007463B9" w14:paraId="63D820B6"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5DD83DD"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61-70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E18A3E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1.150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253CC7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1.167</w:t>
                  </w:r>
                </w:p>
              </w:tc>
            </w:tr>
            <w:tr w:rsidR="00600DEE" w:rsidRPr="007463B9" w14:paraId="680AC975"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56BCF64"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71-80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400280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50CD31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1.188</w:t>
                  </w:r>
                </w:p>
              </w:tc>
            </w:tr>
            <w:tr w:rsidR="00600DEE" w:rsidRPr="007463B9" w14:paraId="3C696B7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0DF7EE0"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913040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1.188</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98E8AA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1.208</w:t>
                  </w:r>
                </w:p>
              </w:tc>
            </w:tr>
            <w:tr w:rsidR="00600DEE" w:rsidRPr="007463B9" w14:paraId="62F64190"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34D7B8E"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91-100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E89D05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1.206</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80AD76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1.229</w:t>
                  </w:r>
                </w:p>
              </w:tc>
            </w:tr>
            <w:tr w:rsidR="00600DEE" w:rsidRPr="007463B9" w14:paraId="6A2D32BC"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C3E258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101-110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7327B5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6B1B30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r w:rsidR="00600DEE" w:rsidRPr="007463B9" w14:paraId="5885E589"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3003C6C"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B1AEB2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2BD056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r w:rsidR="00600DEE" w:rsidRPr="007463B9" w14:paraId="4A59B4AA"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3C3A8CA"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121-130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42F161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D6E44F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r w:rsidR="00600DEE" w:rsidRPr="007463B9" w14:paraId="375F092F"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E74C94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131-140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15A9BB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C15475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bl>
          <w:p w14:paraId="3E1A97FA" w14:textId="77777777" w:rsidR="00600DEE" w:rsidRPr="0045151D" w:rsidRDefault="00641FB5" w:rsidP="00EB71BA">
            <w:pPr>
              <w:pBdr>
                <w:top w:val="nil"/>
                <w:left w:val="nil"/>
                <w:bottom w:val="nil"/>
                <w:right w:val="nil"/>
                <w:between w:val="nil"/>
              </w:pBdr>
              <w:spacing w:before="120"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Electric LV:</w:t>
            </w:r>
          </w:p>
          <w:p w14:paraId="1D451961" w14:textId="77777777"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Similarly as for combustion motor LV, the electric LV VOC are assumed to be constituted by: (</w:t>
            </w:r>
            <w:proofErr w:type="spellStart"/>
            <w:r w:rsidRPr="0045151D">
              <w:rPr>
                <w:rFonts w:ascii="Calibri" w:eastAsia="Calibri" w:hAnsi="Calibri" w:cs="Calibri"/>
                <w:color w:val="000000"/>
                <w:sz w:val="20"/>
                <w:szCs w:val="20"/>
                <w:lang w:val="en-GB"/>
              </w:rPr>
              <w:t>i</w:t>
            </w:r>
            <w:proofErr w:type="spellEnd"/>
            <w:r w:rsidRPr="0045151D">
              <w:rPr>
                <w:rFonts w:ascii="Calibri" w:eastAsia="Calibri" w:hAnsi="Calibri" w:cs="Calibri"/>
                <w:color w:val="000000"/>
                <w:sz w:val="20"/>
                <w:szCs w:val="20"/>
                <w:lang w:val="en-GB"/>
              </w:rPr>
              <w:t>) electric energy consumption costs; and (ii) other costs.</w:t>
            </w:r>
          </w:p>
          <w:p w14:paraId="7EEB639E" w14:textId="6B80F6B3"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part referring to other costs is assumed to be equivalent as for combustion motor LV (i.e. 0.811 PLN/km</w:t>
            </w:r>
            <w:r w:rsidR="005771F2" w:rsidRPr="005771F2">
              <w:rPr>
                <w:lang w:val="en-US"/>
              </w:rPr>
              <w:t xml:space="preserve"> </w:t>
            </w:r>
            <w:r w:rsidR="005771F2" w:rsidRPr="005771F2">
              <w:rPr>
                <w:rFonts w:ascii="Calibri" w:eastAsia="Calibri" w:hAnsi="Calibri" w:cs="Calibri"/>
                <w:color w:val="000000"/>
                <w:sz w:val="20"/>
                <w:szCs w:val="20"/>
                <w:lang w:val="en-GB"/>
              </w:rPr>
              <w:t>in prices as at the beginning of 2020</w:t>
            </w:r>
            <w:r w:rsidRPr="0045151D">
              <w:rPr>
                <w:rFonts w:ascii="Calibri" w:eastAsia="Calibri" w:hAnsi="Calibri" w:cs="Calibri"/>
                <w:color w:val="000000"/>
                <w:sz w:val="20"/>
                <w:szCs w:val="20"/>
                <w:lang w:val="en-GB"/>
              </w:rPr>
              <w:t>).</w:t>
            </w:r>
          </w:p>
          <w:p w14:paraId="2759AC3F" w14:textId="77777777"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energy consumption costs for electric LV result from multiplying:</w:t>
            </w:r>
          </w:p>
          <w:p w14:paraId="3631AC80" w14:textId="77777777" w:rsidR="00600DEE" w:rsidRPr="0045151D" w:rsidRDefault="00641FB5" w:rsidP="00D5736B">
            <w:pPr>
              <w:numPr>
                <w:ilvl w:val="0"/>
                <w:numId w:val="26"/>
              </w:num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average consumption rate for an average LV of 0.233 kWh/</w:t>
            </w:r>
            <w:proofErr w:type="spellStart"/>
            <w:r w:rsidRPr="0045151D">
              <w:rPr>
                <w:rFonts w:ascii="Calibri" w:eastAsia="Calibri" w:hAnsi="Calibri" w:cs="Calibri"/>
                <w:color w:val="000000"/>
                <w:sz w:val="20"/>
                <w:szCs w:val="20"/>
                <w:lang w:val="en-GB"/>
              </w:rPr>
              <w:t>vehkm</w:t>
            </w:r>
            <w:proofErr w:type="spellEnd"/>
            <w:r w:rsidRPr="0045151D">
              <w:rPr>
                <w:rFonts w:ascii="Calibri" w:eastAsia="Calibri" w:hAnsi="Calibri" w:cs="Calibri"/>
                <w:color w:val="000000"/>
                <w:sz w:val="20"/>
                <w:szCs w:val="20"/>
                <w:lang w:val="en-GB"/>
              </w:rPr>
              <w:t xml:space="preserve"> (as provided in "EIB Project Carbon Footprint Methodologies", July 2020, Tables A1.7 Transport Emissions Factors - Road transport); by </w:t>
            </w:r>
          </w:p>
          <w:p w14:paraId="2AB38C82" w14:textId="6E4ED45D" w:rsidR="00600DEE" w:rsidRPr="0045151D" w:rsidRDefault="00641FB5" w:rsidP="00D5736B">
            <w:pPr>
              <w:numPr>
                <w:ilvl w:val="0"/>
                <w:numId w:val="26"/>
              </w:num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electricity cost (0.2044 PLN/kWh</w:t>
            </w:r>
            <w:r w:rsidR="005771F2">
              <w:rPr>
                <w:rFonts w:ascii="Calibri" w:eastAsia="Calibri" w:hAnsi="Calibri" w:cs="Calibri"/>
                <w:color w:val="000000"/>
                <w:sz w:val="20"/>
                <w:szCs w:val="20"/>
                <w:lang w:val="en-GB"/>
              </w:rPr>
              <w:t xml:space="preserve"> in 2019</w:t>
            </w:r>
            <w:r w:rsidRPr="0045151D">
              <w:rPr>
                <w:rFonts w:ascii="Calibri" w:eastAsia="Calibri" w:hAnsi="Calibri" w:cs="Calibri"/>
                <w:color w:val="000000"/>
                <w:sz w:val="20"/>
                <w:szCs w:val="20"/>
                <w:lang w:val="en-GB"/>
              </w:rPr>
              <w:t xml:space="preserve">). This is based on “Eurostat, Electricity prices components for non-household consumers - annual data </w:t>
            </w:r>
            <w:r w:rsidRPr="0045151D">
              <w:rPr>
                <w:rFonts w:ascii="Calibri" w:eastAsia="Calibri" w:hAnsi="Calibri" w:cs="Calibri"/>
                <w:color w:val="000000"/>
                <w:sz w:val="20"/>
                <w:szCs w:val="20"/>
                <w:lang w:val="en-GB"/>
              </w:rPr>
              <w:lastRenderedPageBreak/>
              <w:t>(from 2007 onwards)”</w:t>
            </w:r>
            <w:r w:rsidRPr="0045151D">
              <w:rPr>
                <w:rFonts w:ascii="Arial" w:eastAsia="Arial" w:hAnsi="Arial" w:cs="Arial"/>
                <w:color w:val="000000"/>
                <w:sz w:val="20"/>
                <w:szCs w:val="20"/>
                <w:lang w:val="en-GB"/>
              </w:rPr>
              <w:t xml:space="preserve"> </w:t>
            </w:r>
            <w:r w:rsidRPr="0045151D">
              <w:rPr>
                <w:rFonts w:ascii="Calibri" w:eastAsia="Calibri" w:hAnsi="Calibri" w:cs="Calibri"/>
                <w:color w:val="000000"/>
                <w:sz w:val="20"/>
                <w:szCs w:val="20"/>
                <w:lang w:val="en-GB"/>
              </w:rPr>
              <w:t>https://ec.europa.eu/eurostat/databrowser/view/NRG_PC_205_C__custom_519166/default/table?lang=en</w:t>
            </w:r>
          </w:p>
          <w:p w14:paraId="42ECDAF5"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61244457"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4A8878D2"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5440147D"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4522212E" w14:textId="378A6B38"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referred "EIB Project Carbon Footprint Methodologies” provides references on average energy consumption rates for different types of electric vehicles (including buses) that might be of use for certain projects’ CBA.</w:t>
            </w:r>
          </w:p>
          <w:p w14:paraId="7A45EF66" w14:textId="395C47E3"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Similarly as for combustion motor LV, the road gradient and road condition impact the above referred costs as described below.</w:t>
            </w:r>
          </w:p>
          <w:p w14:paraId="67FE0DF2" w14:textId="2E135DFF"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 multiplying indicators depending on type of terrain for electric vehicles following same principles as described for combustion motor vehicles. These multiplying factors are to be applied to overall VOC:</w:t>
            </w:r>
          </w:p>
          <w:p w14:paraId="3809CD90" w14:textId="77777777" w:rsidR="00C25D65" w:rsidRPr="0045151D" w:rsidRDefault="00C25D65">
            <w:pPr>
              <w:pBdr>
                <w:top w:val="nil"/>
                <w:left w:val="nil"/>
                <w:bottom w:val="nil"/>
                <w:right w:val="nil"/>
                <w:between w:val="nil"/>
              </w:pBdr>
              <w:spacing w:before="120" w:after="120"/>
              <w:jc w:val="both"/>
              <w:rPr>
                <w:rFonts w:ascii="Calibri" w:eastAsia="Calibri" w:hAnsi="Calibri" w:cs="Calibri"/>
                <w:color w:val="000000"/>
                <w:sz w:val="20"/>
                <w:szCs w:val="20"/>
                <w:lang w:val="en-GB"/>
              </w:rPr>
            </w:pPr>
          </w:p>
          <w:tbl>
            <w:tblPr>
              <w:tblStyle w:val="afffffffffffffff2"/>
              <w:tblW w:w="3395" w:type="dxa"/>
              <w:tblLayout w:type="fixed"/>
              <w:tblLook w:val="0400" w:firstRow="0" w:lastRow="0" w:firstColumn="0" w:lastColumn="0" w:noHBand="0" w:noVBand="1"/>
            </w:tblPr>
            <w:tblGrid>
              <w:gridCol w:w="1694"/>
              <w:gridCol w:w="850"/>
              <w:gridCol w:w="851"/>
            </w:tblGrid>
            <w:tr w:rsidR="00600DEE" w:rsidRPr="007463B9" w14:paraId="2B673F1B" w14:textId="77777777">
              <w:trPr>
                <w:trHeight w:val="309"/>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1869DA5A"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2FEA7594"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50AD8229"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w:t>
                  </w:r>
                </w:p>
              </w:tc>
            </w:tr>
            <w:tr w:rsidR="00600DEE" w:rsidRPr="007463B9" w14:paraId="6054C68C"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32ECAAFA"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3C680D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7ECED88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r>
            <w:tr w:rsidR="00600DEE" w:rsidRPr="007463B9" w14:paraId="66085F8C"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2F51C21A"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6E901FB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1.032</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2A1E43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1.200</w:t>
                  </w:r>
                </w:p>
              </w:tc>
            </w:tr>
          </w:tbl>
          <w:p w14:paraId="4AB6A418" w14:textId="77777777" w:rsidR="00C25D65" w:rsidRDefault="00C25D65">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2AC6FB5C" w14:textId="560CF8EE"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Cost multiplying factors for road condition for electric and hybrid vehicles (LV, city buses) are applied to overall VOC and are based on the principles described for combustion motor LV. </w:t>
            </w:r>
          </w:p>
          <w:p w14:paraId="2EA5CAB2" w14:textId="77777777" w:rsidR="00600DEE" w:rsidRPr="0045151D" w:rsidRDefault="00600DEE">
            <w:pPr>
              <w:pBdr>
                <w:top w:val="nil"/>
                <w:left w:val="nil"/>
                <w:bottom w:val="nil"/>
                <w:right w:val="nil"/>
                <w:between w:val="nil"/>
              </w:pBdr>
              <w:spacing w:before="60"/>
              <w:jc w:val="both"/>
              <w:rPr>
                <w:rFonts w:ascii="Calibri" w:eastAsia="Calibri" w:hAnsi="Calibri" w:cs="Calibri"/>
                <w:color w:val="000000"/>
                <w:sz w:val="20"/>
                <w:szCs w:val="20"/>
                <w:lang w:val="en-GB"/>
              </w:rPr>
            </w:pPr>
          </w:p>
          <w:tbl>
            <w:tblPr>
              <w:tblStyle w:val="afffffffffffffff3"/>
              <w:tblW w:w="5605" w:type="dxa"/>
              <w:tblLayout w:type="fixed"/>
              <w:tblLook w:val="0400" w:firstRow="0" w:lastRow="0" w:firstColumn="0" w:lastColumn="0" w:noHBand="0" w:noVBand="1"/>
            </w:tblPr>
            <w:tblGrid>
              <w:gridCol w:w="2695"/>
              <w:gridCol w:w="1351"/>
              <w:gridCol w:w="1559"/>
            </w:tblGrid>
            <w:tr w:rsidR="00600DEE" w14:paraId="01B8F422" w14:textId="77777777">
              <w:trPr>
                <w:trHeight w:val="337"/>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295DD313"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Road </w:t>
                  </w:r>
                  <w:proofErr w:type="spellStart"/>
                  <w:r>
                    <w:rPr>
                      <w:rFonts w:ascii="Calibri" w:eastAsia="Calibri" w:hAnsi="Calibri" w:cs="Calibri"/>
                      <w:b/>
                      <w:color w:val="FFFFFF"/>
                      <w:sz w:val="18"/>
                      <w:szCs w:val="18"/>
                    </w:rPr>
                    <w:t>condition</w:t>
                  </w:r>
                  <w:proofErr w:type="spellEnd"/>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0F77538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6FCC0A6D" w14:textId="77777777" w:rsidR="00600DEE" w:rsidRDefault="00641FB5">
                  <w:pPr>
                    <w:spacing w:before="20" w:after="20"/>
                    <w:jc w:val="center"/>
                    <w:rPr>
                      <w:rFonts w:ascii="Calibri" w:eastAsia="Calibri" w:hAnsi="Calibri" w:cs="Calibri"/>
                      <w:b/>
                      <w:color w:val="FFFFFF"/>
                      <w:sz w:val="18"/>
                      <w:szCs w:val="18"/>
                    </w:rPr>
                  </w:pPr>
                  <w:proofErr w:type="spellStart"/>
                  <w:r>
                    <w:rPr>
                      <w:rFonts w:ascii="Calibri" w:eastAsia="Calibri" w:hAnsi="Calibri" w:cs="Calibri"/>
                      <w:b/>
                      <w:color w:val="FFFFFF"/>
                      <w:sz w:val="18"/>
                      <w:szCs w:val="18"/>
                    </w:rPr>
                    <w:t>Electric</w:t>
                  </w:r>
                  <w:proofErr w:type="spellEnd"/>
                  <w:r>
                    <w:rPr>
                      <w:rFonts w:ascii="Calibri" w:eastAsia="Calibri" w:hAnsi="Calibri" w:cs="Calibri"/>
                      <w:b/>
                      <w:color w:val="FFFFFF"/>
                      <w:sz w:val="18"/>
                      <w:szCs w:val="18"/>
                    </w:rPr>
                    <w:t xml:space="preserve"> </w:t>
                  </w:r>
                  <w:proofErr w:type="spellStart"/>
                  <w:r>
                    <w:rPr>
                      <w:rFonts w:ascii="Calibri" w:eastAsia="Calibri" w:hAnsi="Calibri" w:cs="Calibri"/>
                      <w:b/>
                      <w:color w:val="FFFFFF"/>
                      <w:sz w:val="18"/>
                      <w:szCs w:val="18"/>
                    </w:rPr>
                    <w:t>bus</w:t>
                  </w:r>
                  <w:proofErr w:type="spellEnd"/>
                </w:p>
              </w:tc>
            </w:tr>
            <w:tr w:rsidR="00600DEE" w14:paraId="516BF7AF"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F7A6BA2"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Good (</w:t>
                  </w:r>
                  <w:proofErr w:type="spellStart"/>
                  <w:r>
                    <w:rPr>
                      <w:rFonts w:ascii="Calibri" w:eastAsia="Calibri" w:hAnsi="Calibri" w:cs="Calibri"/>
                      <w:color w:val="4F81BD"/>
                      <w:sz w:val="18"/>
                      <w:szCs w:val="18"/>
                    </w:rPr>
                    <w:t>after</w:t>
                  </w:r>
                  <w:proofErr w:type="spellEnd"/>
                  <w:r>
                    <w:rPr>
                      <w:rFonts w:ascii="Calibri" w:eastAsia="Calibri" w:hAnsi="Calibri" w:cs="Calibri"/>
                      <w:color w:val="4F81BD"/>
                      <w:sz w:val="18"/>
                      <w:szCs w:val="18"/>
                    </w:rPr>
                    <w:t xml:space="preserve"> </w:t>
                  </w:r>
                  <w:proofErr w:type="spellStart"/>
                  <w:r>
                    <w:rPr>
                      <w:rFonts w:ascii="Calibri" w:eastAsia="Calibri" w:hAnsi="Calibri" w:cs="Calibri"/>
                      <w:color w:val="4F81BD"/>
                      <w:sz w:val="18"/>
                      <w:szCs w:val="18"/>
                    </w:rPr>
                    <w:t>construction</w:t>
                  </w:r>
                  <w:proofErr w:type="spellEnd"/>
                  <w:r>
                    <w:rPr>
                      <w:rFonts w:ascii="Calibri" w:eastAsia="Calibri" w:hAnsi="Calibri" w:cs="Calibri"/>
                      <w:color w:val="4F81BD"/>
                      <w:sz w:val="18"/>
                      <w:szCs w:val="18"/>
                    </w:rPr>
                    <w:t>/</w:t>
                  </w:r>
                  <w:proofErr w:type="spellStart"/>
                  <w:r>
                    <w:rPr>
                      <w:rFonts w:ascii="Calibri" w:eastAsia="Calibri" w:hAnsi="Calibri" w:cs="Calibri"/>
                      <w:color w:val="4F81BD"/>
                      <w:sz w:val="18"/>
                      <w:szCs w:val="18"/>
                    </w:rPr>
                    <w:t>rehabilitation</w:t>
                  </w:r>
                  <w:proofErr w:type="spellEnd"/>
                  <w:r>
                    <w:rPr>
                      <w:rFonts w:ascii="Calibri" w:eastAsia="Calibri" w:hAnsi="Calibri" w:cs="Calibri"/>
                      <w:color w:val="4F81BD"/>
                      <w:sz w:val="18"/>
                      <w:szCs w:val="18"/>
                    </w:rPr>
                    <w:t>)</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67FF0F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54ACB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4FFE7E95"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609C69F" w14:textId="77777777" w:rsidR="00600DEE" w:rsidRDefault="00641FB5">
                  <w:pPr>
                    <w:spacing w:before="20"/>
                    <w:jc w:val="center"/>
                    <w:rPr>
                      <w:rFonts w:ascii="Calibri" w:eastAsia="Calibri" w:hAnsi="Calibri" w:cs="Calibri"/>
                      <w:color w:val="4F81BD"/>
                      <w:sz w:val="18"/>
                      <w:szCs w:val="18"/>
                    </w:rPr>
                  </w:pPr>
                  <w:proofErr w:type="spellStart"/>
                  <w:r>
                    <w:rPr>
                      <w:rFonts w:ascii="Calibri" w:eastAsia="Calibri" w:hAnsi="Calibri" w:cs="Calibri"/>
                      <w:color w:val="4F81BD"/>
                      <w:sz w:val="18"/>
                      <w:szCs w:val="18"/>
                    </w:rPr>
                    <w:t>Degraded</w:t>
                  </w:r>
                  <w:proofErr w:type="spellEnd"/>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01597A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766DB7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r>
          </w:tbl>
          <w:p w14:paraId="714AFADC"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6486B6DE"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1F2240B0"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001851D8" w14:textId="77777777" w:rsidR="00600DEE" w:rsidRDefault="00600DEE">
            <w:pPr>
              <w:pBdr>
                <w:top w:val="nil"/>
                <w:left w:val="nil"/>
                <w:bottom w:val="nil"/>
                <w:right w:val="nil"/>
                <w:between w:val="nil"/>
              </w:pBdr>
              <w:spacing w:before="60"/>
              <w:jc w:val="both"/>
              <w:rPr>
                <w:rFonts w:ascii="Calibri" w:eastAsia="Calibri" w:hAnsi="Calibri" w:cs="Calibri"/>
                <w:b/>
                <w:color w:val="000000"/>
                <w:sz w:val="20"/>
                <w:szCs w:val="20"/>
              </w:rPr>
            </w:pPr>
          </w:p>
        </w:tc>
      </w:tr>
    </w:tbl>
    <w:p w14:paraId="20D29D66" w14:textId="77777777" w:rsidR="00600DEE" w:rsidRPr="0045151D" w:rsidRDefault="00641FB5">
      <w:pPr>
        <w:pStyle w:val="Nagwek1"/>
        <w:rPr>
          <w:rFonts w:ascii="Calibri" w:eastAsia="Calibri" w:hAnsi="Calibri" w:cs="Calibri"/>
          <w:color w:val="0070C0"/>
          <w:lang w:val="pl-PL"/>
        </w:rPr>
      </w:pPr>
      <w:bookmarkStart w:id="132" w:name="_Toc95378020"/>
      <w:r w:rsidRPr="0045151D">
        <w:rPr>
          <w:rFonts w:ascii="Calibri" w:eastAsia="Calibri" w:hAnsi="Calibri" w:cs="Calibri"/>
          <w:color w:val="0070C0"/>
          <w:lang w:val="pl-PL"/>
        </w:rPr>
        <w:lastRenderedPageBreak/>
        <w:t>Załącznik E: Metody obliczania kosztów wypadków drogowych</w:t>
      </w:r>
      <w:r w:rsidRPr="0045151D">
        <w:rPr>
          <w:rFonts w:ascii="Calibri" w:eastAsia="Calibri" w:hAnsi="Calibri" w:cs="Calibri"/>
          <w:color w:val="0070C0"/>
          <w:lang w:val="pl-PL"/>
        </w:rPr>
        <w:br/>
      </w:r>
      <w:r w:rsidRPr="0045151D">
        <w:rPr>
          <w:rFonts w:ascii="Calibri" w:eastAsia="Calibri" w:hAnsi="Calibri" w:cs="Calibri"/>
          <w:i/>
          <w:color w:val="0070C0"/>
          <w:lang w:val="pl-PL"/>
        </w:rPr>
        <w:t xml:space="preserve">Appendix E: </w:t>
      </w:r>
      <w:proofErr w:type="spellStart"/>
      <w:r w:rsidRPr="0045151D">
        <w:rPr>
          <w:rFonts w:ascii="Calibri" w:eastAsia="Calibri" w:hAnsi="Calibri" w:cs="Calibri"/>
          <w:i/>
          <w:color w:val="0070C0"/>
          <w:lang w:val="pl-PL"/>
        </w:rPr>
        <w:t>Methods</w:t>
      </w:r>
      <w:proofErr w:type="spellEnd"/>
      <w:r w:rsidRPr="0045151D">
        <w:rPr>
          <w:rFonts w:ascii="Calibri" w:eastAsia="Calibri" w:hAnsi="Calibri" w:cs="Calibri"/>
          <w:i/>
          <w:color w:val="0070C0"/>
          <w:lang w:val="pl-PL"/>
        </w:rPr>
        <w:t xml:space="preserve"> of </w:t>
      </w:r>
      <w:proofErr w:type="spellStart"/>
      <w:r w:rsidRPr="0045151D">
        <w:rPr>
          <w:rFonts w:ascii="Calibri" w:eastAsia="Calibri" w:hAnsi="Calibri" w:cs="Calibri"/>
          <w:i/>
          <w:color w:val="0070C0"/>
          <w:lang w:val="pl-PL"/>
        </w:rPr>
        <w:t>accidents</w:t>
      </w:r>
      <w:proofErr w:type="spellEnd"/>
      <w:r w:rsidRPr="0045151D">
        <w:rPr>
          <w:rFonts w:ascii="Calibri" w:eastAsia="Calibri" w:hAnsi="Calibri" w:cs="Calibri"/>
          <w:i/>
          <w:color w:val="0070C0"/>
          <w:lang w:val="pl-PL"/>
        </w:rPr>
        <w:t xml:space="preserve"> </w:t>
      </w:r>
      <w:proofErr w:type="spellStart"/>
      <w:r w:rsidRPr="0045151D">
        <w:rPr>
          <w:rFonts w:ascii="Calibri" w:eastAsia="Calibri" w:hAnsi="Calibri" w:cs="Calibri"/>
          <w:i/>
          <w:color w:val="0070C0"/>
          <w:lang w:val="pl-PL"/>
        </w:rPr>
        <w:t>costs</w:t>
      </w:r>
      <w:proofErr w:type="spellEnd"/>
      <w:r w:rsidRPr="0045151D">
        <w:rPr>
          <w:rFonts w:ascii="Calibri" w:eastAsia="Calibri" w:hAnsi="Calibri" w:cs="Calibri"/>
          <w:i/>
          <w:color w:val="0070C0"/>
          <w:lang w:val="pl-PL"/>
        </w:rPr>
        <w:t xml:space="preserve"> </w:t>
      </w:r>
      <w:proofErr w:type="spellStart"/>
      <w:r w:rsidRPr="0045151D">
        <w:rPr>
          <w:rFonts w:ascii="Calibri" w:eastAsia="Calibri" w:hAnsi="Calibri" w:cs="Calibri"/>
          <w:i/>
          <w:color w:val="0070C0"/>
          <w:lang w:val="pl-PL"/>
        </w:rPr>
        <w:t>calculation</w:t>
      </w:r>
      <w:bookmarkEnd w:id="132"/>
      <w:proofErr w:type="spellEnd"/>
    </w:p>
    <w:p w14:paraId="4AED260D" w14:textId="77777777" w:rsidR="00600DEE" w:rsidRDefault="00641FB5">
      <w:pPr>
        <w:rPr>
          <w:rFonts w:ascii="Calibri" w:eastAsia="Calibri" w:hAnsi="Calibri" w:cs="Calibri"/>
          <w:color w:val="4F81BD"/>
          <w:sz w:val="28"/>
          <w:szCs w:val="28"/>
        </w:rPr>
      </w:pPr>
      <w:r>
        <w:rPr>
          <w:rFonts w:ascii="Calibri" w:eastAsia="Calibri" w:hAnsi="Calibri" w:cs="Calibri"/>
          <w:b/>
          <w:color w:val="4F81BD"/>
          <w:sz w:val="28"/>
          <w:szCs w:val="28"/>
        </w:rPr>
        <w:t>Metoda I</w:t>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t xml:space="preserve">        </w:t>
      </w:r>
      <w:r>
        <w:rPr>
          <w:rFonts w:ascii="Calibri" w:eastAsia="Calibri" w:hAnsi="Calibri" w:cs="Calibri"/>
          <w:b/>
          <w:i/>
          <w:color w:val="4F81BD"/>
          <w:sz w:val="28"/>
          <w:szCs w:val="28"/>
        </w:rPr>
        <w:t xml:space="preserve"> Method I</w:t>
      </w:r>
    </w:p>
    <w:tbl>
      <w:tblPr>
        <w:tblStyle w:val="afffffffffffffff4"/>
        <w:tblW w:w="15036" w:type="dxa"/>
        <w:tblInd w:w="-465" w:type="dxa"/>
        <w:tblLayout w:type="fixed"/>
        <w:tblLook w:val="0400" w:firstRow="0" w:lastRow="0" w:firstColumn="0" w:lastColumn="0" w:noHBand="0" w:noVBand="1"/>
      </w:tblPr>
      <w:tblGrid>
        <w:gridCol w:w="8025"/>
        <w:gridCol w:w="7011"/>
      </w:tblGrid>
      <w:tr w:rsidR="00600DEE" w:rsidRPr="007463B9" w14:paraId="6C3CF6AC" w14:textId="77777777" w:rsidTr="00E7601A">
        <w:tc>
          <w:tcPr>
            <w:tcW w:w="8025" w:type="dxa"/>
            <w:tcBorders>
              <w:right w:val="single" w:sz="4" w:space="0" w:color="000000"/>
            </w:tcBorders>
            <w:tcMar>
              <w:left w:w="284" w:type="dxa"/>
              <w:right w:w="284" w:type="dxa"/>
            </w:tcMar>
          </w:tcPr>
          <w:p w14:paraId="06D98BF4"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Uwagi ogólne</w:t>
            </w:r>
          </w:p>
          <w:p w14:paraId="62DAD13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Do oszacowania kosztów wypadków drogowych można zastosować metodykę opartą o prawdopodobieństwo wystąpienia wypadku w odniesieniu do pracy przewozowej (w </w:t>
            </w:r>
            <w:proofErr w:type="spellStart"/>
            <w:r>
              <w:rPr>
                <w:rFonts w:ascii="Calibri" w:eastAsia="Calibri" w:hAnsi="Calibri" w:cs="Calibri"/>
                <w:sz w:val="20"/>
                <w:szCs w:val="20"/>
              </w:rPr>
              <w:t>poj</w:t>
            </w:r>
            <w:proofErr w:type="spellEnd"/>
            <w:r>
              <w:rPr>
                <w:rFonts w:ascii="Calibri" w:eastAsia="Calibri" w:hAnsi="Calibri" w:cs="Calibri"/>
                <w:sz w:val="20"/>
                <w:szCs w:val="20"/>
              </w:rPr>
              <w:t xml:space="preserve">-km oraz wskaźnik wypadkowości dla danej kategorii drogi dla pozostałych zdarzeń – ofiary śmiertelne, ranni, ciężko ranni, lekko ranni). Niniejszy załącznik zawiera tabele ze względnymi wskaźnikami wypadków </w:t>
            </w:r>
            <w:r>
              <w:rPr>
                <w:rFonts w:ascii="Calibri" w:eastAsia="Calibri" w:hAnsi="Calibri" w:cs="Calibri"/>
                <w:b/>
                <w:sz w:val="20"/>
                <w:szCs w:val="20"/>
              </w:rPr>
              <w:t xml:space="preserve">RAI </w:t>
            </w:r>
            <w:r>
              <w:rPr>
                <w:rFonts w:ascii="Calibri" w:eastAsia="Calibri" w:hAnsi="Calibri" w:cs="Calibri"/>
                <w:sz w:val="20"/>
                <w:szCs w:val="20"/>
              </w:rPr>
              <w:t xml:space="preserve">(ang. </w:t>
            </w:r>
            <w:proofErr w:type="spellStart"/>
            <w:r>
              <w:rPr>
                <w:rFonts w:ascii="Calibri" w:eastAsia="Calibri" w:hAnsi="Calibri" w:cs="Calibri"/>
                <w:i/>
                <w:sz w:val="20"/>
                <w:szCs w:val="20"/>
              </w:rPr>
              <w:t>Relative</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Accident</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Indicator</w:t>
            </w:r>
            <w:proofErr w:type="spellEnd"/>
            <w:r>
              <w:rPr>
                <w:rFonts w:ascii="Calibri" w:eastAsia="Calibri" w:hAnsi="Calibri" w:cs="Calibri"/>
                <w:sz w:val="20"/>
                <w:szCs w:val="20"/>
              </w:rPr>
              <w:t>, przygotowane na podstawie metody wskaźników BRD przedstawionej w dalszej części załącznika) oraz wskaźniki dotkliwości wypadków :</w:t>
            </w:r>
          </w:p>
          <w:p w14:paraId="7F988F41" w14:textId="77777777" w:rsidR="00600DEE" w:rsidRDefault="00641FB5" w:rsidP="00D5736B">
            <w:pPr>
              <w:numPr>
                <w:ilvl w:val="0"/>
                <w:numId w:val="51"/>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WR</w:t>
            </w:r>
            <w:r>
              <w:rPr>
                <w:rFonts w:ascii="Calibri" w:eastAsia="Calibri" w:hAnsi="Calibri" w:cs="Calibri"/>
                <w:color w:val="000000"/>
                <w:sz w:val="20"/>
                <w:szCs w:val="20"/>
              </w:rPr>
              <w:t xml:space="preserve"> – średnia liczba rannych poszkodowanych w jednym wypadku drogowym,</w:t>
            </w:r>
          </w:p>
          <w:p w14:paraId="1ABCA8E0" w14:textId="77777777" w:rsidR="00600DEE" w:rsidRDefault="00641FB5" w:rsidP="00D5736B">
            <w:pPr>
              <w:numPr>
                <w:ilvl w:val="0"/>
                <w:numId w:val="51"/>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WCR</w:t>
            </w:r>
            <w:r>
              <w:rPr>
                <w:rFonts w:ascii="Calibri" w:eastAsia="Calibri" w:hAnsi="Calibri" w:cs="Calibri"/>
                <w:color w:val="000000"/>
                <w:sz w:val="20"/>
                <w:szCs w:val="20"/>
              </w:rPr>
              <w:t xml:space="preserve"> – średnia liczba ciężko rannych poszkodowanych w jednym wypadku drogowym,</w:t>
            </w:r>
          </w:p>
          <w:p w14:paraId="52A76161" w14:textId="77777777" w:rsidR="00600DEE" w:rsidRDefault="00641FB5" w:rsidP="00D5736B">
            <w:pPr>
              <w:numPr>
                <w:ilvl w:val="0"/>
                <w:numId w:val="51"/>
              </w:numPr>
              <w:pBdr>
                <w:top w:val="nil"/>
                <w:left w:val="nil"/>
                <w:bottom w:val="nil"/>
                <w:right w:val="nil"/>
                <w:between w:val="nil"/>
              </w:pBdr>
              <w:spacing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 xml:space="preserve">WZ </w:t>
            </w:r>
            <w:r>
              <w:rPr>
                <w:rFonts w:ascii="Calibri" w:eastAsia="Calibri" w:hAnsi="Calibri" w:cs="Calibri"/>
                <w:color w:val="000000"/>
                <w:sz w:val="20"/>
                <w:szCs w:val="20"/>
              </w:rPr>
              <w:t>– średnia liczba ofiar śmiertelnych w jednym wypadku drogowym.</w:t>
            </w:r>
          </w:p>
          <w:p w14:paraId="7A4FB56E"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Powyższe wskaźniki dotkliwości wypadków dotyczą sieci dróg krajowych i opierają się na badaniach ekspertów z Politechniki Gdańskiej przeprowadzonych w oparciu o dane z GDDKiA i Policji z lat 2011 – 2013.</w:t>
            </w:r>
          </w:p>
          <w:p w14:paraId="5EF02C14" w14:textId="71E7C04A"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Metoda została opracowana dla ciągów drogowych dwujezdniowych oraz jednojezdniowych (o długości ok. 10 km lub większej) dróg zamiejskich</w:t>
            </w:r>
            <w:r w:rsidR="00A85726">
              <w:rPr>
                <w:rStyle w:val="Odwoanieprzypisudolnego"/>
                <w:rFonts w:ascii="Calibri" w:eastAsia="Calibri" w:hAnsi="Calibri" w:cs="Calibri"/>
                <w:sz w:val="20"/>
                <w:szCs w:val="20"/>
              </w:rPr>
              <w:footnoteReference w:id="27"/>
            </w:r>
            <w:r>
              <w:rPr>
                <w:rFonts w:ascii="Calibri" w:eastAsia="Calibri" w:hAnsi="Calibri" w:cs="Calibri"/>
                <w:sz w:val="20"/>
                <w:szCs w:val="20"/>
              </w:rPr>
              <w:t xml:space="preserve">. </w:t>
            </w:r>
            <w:r w:rsidR="00A85726">
              <w:rPr>
                <w:rFonts w:ascii="Calibri" w:eastAsia="Calibri" w:hAnsi="Calibri" w:cs="Calibri"/>
                <w:sz w:val="20"/>
                <w:szCs w:val="20"/>
              </w:rPr>
              <w:t xml:space="preserve">W </w:t>
            </w:r>
            <w:r>
              <w:rPr>
                <w:rFonts w:ascii="Calibri" w:eastAsia="Calibri" w:hAnsi="Calibri" w:cs="Calibri"/>
                <w:sz w:val="20"/>
                <w:szCs w:val="20"/>
              </w:rPr>
              <w:t xml:space="preserve">analizie należy uwzględnić wpływ horyzontu prognozy </w:t>
            </w:r>
            <w:proofErr w:type="spellStart"/>
            <w:r>
              <w:rPr>
                <w:rFonts w:ascii="Calibri" w:eastAsia="Calibri" w:hAnsi="Calibri" w:cs="Calibri"/>
                <w:b/>
                <w:i/>
                <w:sz w:val="20"/>
                <w:szCs w:val="20"/>
              </w:rPr>
              <w:t>f</w:t>
            </w:r>
            <w:r>
              <w:rPr>
                <w:rFonts w:ascii="Calibri" w:eastAsia="Calibri" w:hAnsi="Calibri" w:cs="Calibri"/>
                <w:b/>
                <w:i/>
                <w:sz w:val="20"/>
                <w:szCs w:val="20"/>
                <w:vertAlign w:val="subscript"/>
              </w:rPr>
              <w:t>HP</w:t>
            </w:r>
            <w:proofErr w:type="spellEnd"/>
            <w:r>
              <w:rPr>
                <w:rFonts w:ascii="Calibri" w:eastAsia="Calibri" w:hAnsi="Calibri" w:cs="Calibri"/>
                <w:sz w:val="20"/>
                <w:szCs w:val="20"/>
              </w:rPr>
              <w:t xml:space="preserve">, zgodnie z tabelą 1 oraz lokalizacji projektu </w:t>
            </w:r>
            <w:proofErr w:type="spellStart"/>
            <w:r w:rsidR="00A85726">
              <w:rPr>
                <w:rFonts w:ascii="Calibri" w:eastAsia="Calibri" w:hAnsi="Calibri" w:cs="Calibri"/>
                <w:b/>
                <w:i/>
                <w:sz w:val="20"/>
                <w:szCs w:val="20"/>
              </w:rPr>
              <w:t>f</w:t>
            </w:r>
            <w:r>
              <w:rPr>
                <w:rFonts w:ascii="Calibri" w:eastAsia="Calibri" w:hAnsi="Calibri" w:cs="Calibri"/>
                <w:b/>
                <w:sz w:val="20"/>
                <w:szCs w:val="20"/>
                <w:vertAlign w:val="subscript"/>
              </w:rPr>
              <w:t>LDW</w:t>
            </w:r>
            <w:proofErr w:type="spellEnd"/>
            <w:r>
              <w:rPr>
                <w:rFonts w:ascii="Calibri" w:eastAsia="Calibri" w:hAnsi="Calibri" w:cs="Calibri"/>
                <w:b/>
                <w:sz w:val="20"/>
                <w:szCs w:val="20"/>
                <w:vertAlign w:val="subscript"/>
              </w:rPr>
              <w:t xml:space="preserve"> </w:t>
            </w:r>
            <w:r>
              <w:rPr>
                <w:rFonts w:ascii="Calibri" w:eastAsia="Calibri" w:hAnsi="Calibri" w:cs="Calibri"/>
                <w:sz w:val="20"/>
                <w:szCs w:val="20"/>
              </w:rPr>
              <w:t>(w przypadku ciągów jednojezdniowych) – tabela 4 poniżej.</w:t>
            </w:r>
          </w:p>
          <w:p w14:paraId="3ED7E37E" w14:textId="5177D0B2"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Dodatkowo w załączniku tym zamieszczono tabele zawierające </w:t>
            </w:r>
            <w:r w:rsidR="00A85726">
              <w:rPr>
                <w:rFonts w:ascii="Calibri" w:eastAsia="Calibri" w:hAnsi="Calibri" w:cs="Calibri"/>
                <w:sz w:val="20"/>
                <w:szCs w:val="20"/>
              </w:rPr>
              <w:t xml:space="preserve">wskaźniki </w:t>
            </w:r>
            <w:proofErr w:type="spellStart"/>
            <w:r w:rsidR="00A85726">
              <w:rPr>
                <w:rFonts w:ascii="Calibri" w:eastAsia="Calibri" w:hAnsi="Calibri" w:cs="Calibri"/>
                <w:sz w:val="20"/>
                <w:szCs w:val="20"/>
              </w:rPr>
              <w:t>dotkliwośći</w:t>
            </w:r>
            <w:proofErr w:type="spellEnd"/>
            <w:r w:rsidR="00A85726">
              <w:rPr>
                <w:rFonts w:ascii="Calibri" w:eastAsia="Calibri" w:hAnsi="Calibri" w:cs="Calibri"/>
                <w:sz w:val="20"/>
                <w:szCs w:val="20"/>
              </w:rPr>
              <w:t xml:space="preserve"> wypadków </w:t>
            </w:r>
            <w:r>
              <w:rPr>
                <w:rFonts w:ascii="Calibri" w:eastAsia="Calibri" w:hAnsi="Calibri" w:cs="Calibri"/>
                <w:sz w:val="20"/>
                <w:szCs w:val="20"/>
              </w:rPr>
              <w:t>dla dróg wojewódzkich, gminnych i powiatowych.</w:t>
            </w:r>
          </w:p>
          <w:p w14:paraId="31F0A217" w14:textId="77777777" w:rsidR="0090055C" w:rsidRDefault="0090055C">
            <w:pPr>
              <w:spacing w:before="120" w:after="120"/>
              <w:jc w:val="both"/>
              <w:rPr>
                <w:rFonts w:ascii="Calibri" w:eastAsia="Calibri" w:hAnsi="Calibri" w:cs="Calibri"/>
                <w:sz w:val="20"/>
                <w:szCs w:val="20"/>
              </w:rPr>
            </w:pPr>
          </w:p>
          <w:p w14:paraId="7B3F25A6"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lastRenderedPageBreak/>
              <w:t>Liczba wypadków</w:t>
            </w:r>
          </w:p>
          <w:p w14:paraId="40943915" w14:textId="19E1EBDF"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Liczbę wypadków (LW) należy obliczyć poprzez przyjęcie odpowiednich wartości wskaźnika RAI (względny wskaźnik wypadków, wypadki/</w:t>
            </w:r>
            <w:r>
              <w:rPr>
                <w:rFonts w:ascii="Calibri" w:eastAsia="Calibri" w:hAnsi="Calibri" w:cs="Calibri"/>
                <w:b/>
                <w:color w:val="222222"/>
                <w:sz w:val="20"/>
                <w:szCs w:val="20"/>
              </w:rPr>
              <w:t xml:space="preserve"> </w:t>
            </w:r>
            <w:r>
              <w:rPr>
                <w:rFonts w:ascii="Calibri" w:eastAsia="Calibri" w:hAnsi="Calibri" w:cs="Calibri"/>
                <w:color w:val="222222"/>
                <w:sz w:val="20"/>
                <w:szCs w:val="20"/>
              </w:rPr>
              <w:t>10</w:t>
            </w:r>
            <w:r>
              <w:rPr>
                <w:rFonts w:ascii="Calibri" w:eastAsia="Calibri" w:hAnsi="Calibri" w:cs="Calibri"/>
                <w:color w:val="222222"/>
                <w:sz w:val="20"/>
                <w:szCs w:val="20"/>
                <w:vertAlign w:val="superscript"/>
              </w:rPr>
              <w:t>6</w:t>
            </w:r>
            <w:r w:rsidR="00A85726">
              <w:rPr>
                <w:rFonts w:ascii="Calibri" w:eastAsia="Calibri" w:hAnsi="Calibri" w:cs="Calibri"/>
                <w:sz w:val="20"/>
                <w:szCs w:val="20"/>
              </w:rPr>
              <w:t xml:space="preserve"> </w:t>
            </w:r>
            <w:proofErr w:type="spellStart"/>
            <w:r w:rsidR="00A85726">
              <w:rPr>
                <w:rFonts w:ascii="Calibri" w:eastAsia="Calibri" w:hAnsi="Calibri" w:cs="Calibri"/>
                <w:sz w:val="20"/>
                <w:szCs w:val="20"/>
              </w:rPr>
              <w:t>poj</w:t>
            </w:r>
            <w:proofErr w:type="spellEnd"/>
            <w:r w:rsidR="00A85726">
              <w:rPr>
                <w:rFonts w:ascii="Calibri" w:eastAsia="Calibri" w:hAnsi="Calibri" w:cs="Calibri"/>
                <w:sz w:val="20"/>
                <w:szCs w:val="20"/>
              </w:rPr>
              <w:t>-</w:t>
            </w:r>
            <w:r>
              <w:rPr>
                <w:rFonts w:ascii="Calibri" w:eastAsia="Calibri" w:hAnsi="Calibri" w:cs="Calibri"/>
                <w:sz w:val="20"/>
                <w:szCs w:val="20"/>
              </w:rPr>
              <w:t>km/dobę), a następnie przemnożenie go przez prace przewozowe wyrażone w </w:t>
            </w:r>
            <w:proofErr w:type="spellStart"/>
            <w:r>
              <w:rPr>
                <w:rFonts w:ascii="Calibri" w:eastAsia="Calibri" w:hAnsi="Calibri" w:cs="Calibri"/>
                <w:sz w:val="20"/>
                <w:szCs w:val="20"/>
              </w:rPr>
              <w:t>poj</w:t>
            </w:r>
            <w:proofErr w:type="spellEnd"/>
            <w:r>
              <w:rPr>
                <w:rFonts w:ascii="Calibri" w:eastAsia="Calibri" w:hAnsi="Calibri" w:cs="Calibri"/>
                <w:sz w:val="20"/>
                <w:szCs w:val="20"/>
              </w:rPr>
              <w:t xml:space="preserve">-km oraz współczynniki </w:t>
            </w:r>
            <w:proofErr w:type="spellStart"/>
            <w:r>
              <w:rPr>
                <w:rFonts w:ascii="Calibri" w:eastAsia="Calibri" w:hAnsi="Calibri" w:cs="Calibri"/>
                <w:b/>
                <w:i/>
                <w:sz w:val="20"/>
                <w:szCs w:val="20"/>
              </w:rPr>
              <w:t>f</w:t>
            </w:r>
            <w:r>
              <w:rPr>
                <w:rFonts w:ascii="Calibri" w:eastAsia="Calibri" w:hAnsi="Calibri" w:cs="Calibri"/>
                <w:b/>
                <w:i/>
                <w:sz w:val="20"/>
                <w:szCs w:val="20"/>
                <w:vertAlign w:val="subscript"/>
              </w:rPr>
              <w:t>HP</w:t>
            </w:r>
            <w:proofErr w:type="spellEnd"/>
            <w:r>
              <w:rPr>
                <w:rFonts w:ascii="Calibri" w:eastAsia="Calibri" w:hAnsi="Calibri" w:cs="Calibri"/>
                <w:sz w:val="20"/>
                <w:szCs w:val="20"/>
              </w:rPr>
              <w:t> i </w:t>
            </w:r>
            <w:r>
              <w:rPr>
                <w:rFonts w:ascii="Calibri" w:eastAsia="Calibri" w:hAnsi="Calibri" w:cs="Calibri"/>
                <w:b/>
                <w:i/>
                <w:sz w:val="20"/>
                <w:szCs w:val="20"/>
              </w:rPr>
              <w:t>f</w:t>
            </w:r>
            <w:r>
              <w:rPr>
                <w:rFonts w:ascii="Calibri" w:eastAsia="Calibri" w:hAnsi="Calibri" w:cs="Calibri"/>
                <w:b/>
                <w:i/>
                <w:sz w:val="20"/>
                <w:szCs w:val="20"/>
                <w:vertAlign w:val="superscript"/>
              </w:rPr>
              <w:t>(1)</w:t>
            </w:r>
            <w:r>
              <w:rPr>
                <w:rFonts w:ascii="Calibri" w:eastAsia="Calibri" w:hAnsi="Calibri" w:cs="Calibri"/>
                <w:b/>
                <w:i/>
                <w:sz w:val="20"/>
                <w:szCs w:val="20"/>
                <w:vertAlign w:val="subscript"/>
              </w:rPr>
              <w:t xml:space="preserve">LDW </w:t>
            </w:r>
            <w:r>
              <w:rPr>
                <w:rFonts w:ascii="Calibri" w:eastAsia="Calibri" w:hAnsi="Calibri" w:cs="Calibri"/>
                <w:sz w:val="20"/>
                <w:szCs w:val="20"/>
              </w:rPr>
              <w:t>(drugi współczynnik – tylko w przypadku ciągów jednojezdniowych).</w:t>
            </w:r>
          </w:p>
          <w:p w14:paraId="41F53643" w14:textId="77777777" w:rsidR="0090055C" w:rsidRDefault="0090055C" w:rsidP="0090055C">
            <w:pPr>
              <w:spacing w:before="120" w:after="240"/>
              <w:jc w:val="both"/>
              <w:rPr>
                <w:rFonts w:ascii="Calibri" w:eastAsia="Calibri" w:hAnsi="Calibri" w:cs="Calibri"/>
                <w:sz w:val="20"/>
                <w:szCs w:val="20"/>
              </w:rPr>
            </w:pPr>
          </w:p>
          <w:p w14:paraId="115EA423" w14:textId="77777777" w:rsidR="00600DEE" w:rsidRDefault="00600DEE" w:rsidP="00BE5902">
            <w:pPr>
              <w:spacing w:before="120"/>
              <w:jc w:val="both"/>
              <w:rPr>
                <w:rFonts w:ascii="Calibri" w:eastAsia="Calibri" w:hAnsi="Calibri" w:cs="Calibri"/>
                <w:sz w:val="20"/>
                <w:szCs w:val="20"/>
              </w:rPr>
            </w:pPr>
          </w:p>
          <w:p w14:paraId="76CB8D75" w14:textId="77777777" w:rsidR="00600DEE" w:rsidRDefault="00641FB5">
            <w:pPr>
              <w:pBdr>
                <w:top w:val="nil"/>
                <w:left w:val="nil"/>
                <w:bottom w:val="nil"/>
                <w:right w:val="nil"/>
                <w:between w:val="nil"/>
              </w:pBd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1. Współczynnik wpływu horyzontu czasowego prognozy </w:t>
            </w:r>
            <w:proofErr w:type="spellStart"/>
            <w:r>
              <w:rPr>
                <w:rFonts w:ascii="Calibri" w:eastAsia="Calibri" w:hAnsi="Calibri" w:cs="Calibri"/>
                <w:b/>
                <w:color w:val="4F81BD"/>
                <w:sz w:val="20"/>
                <w:szCs w:val="20"/>
              </w:rPr>
              <w:t>f</w:t>
            </w:r>
            <w:r>
              <w:rPr>
                <w:rFonts w:ascii="Calibri" w:eastAsia="Calibri" w:hAnsi="Calibri" w:cs="Calibri"/>
                <w:b/>
                <w:color w:val="4F81BD"/>
                <w:sz w:val="20"/>
                <w:szCs w:val="20"/>
                <w:vertAlign w:val="subscript"/>
              </w:rPr>
              <w:t>HP</w:t>
            </w:r>
            <w:proofErr w:type="spellEnd"/>
          </w:p>
          <w:tbl>
            <w:tblPr>
              <w:tblStyle w:val="afffffffffffffff5"/>
              <w:tblW w:w="6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33"/>
              <w:gridCol w:w="1275"/>
              <w:gridCol w:w="1794"/>
              <w:gridCol w:w="1293"/>
            </w:tblGrid>
            <w:tr w:rsidR="00600DEE" w14:paraId="54F34063" w14:textId="77777777" w:rsidTr="00BE5902">
              <w:trPr>
                <w:trHeight w:hRule="exact" w:val="284"/>
              </w:trPr>
              <w:tc>
                <w:tcPr>
                  <w:tcW w:w="1933" w:type="dxa"/>
                  <w:shd w:val="clear" w:color="auto" w:fill="A6A6A6"/>
                  <w:vAlign w:val="center"/>
                </w:tcPr>
                <w:p w14:paraId="79FEAAE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75" w:type="dxa"/>
                  <w:shd w:val="clear" w:color="auto" w:fill="A6A6A6"/>
                  <w:vAlign w:val="center"/>
                </w:tcPr>
                <w:p w14:paraId="39F035D1"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roofErr w:type="spellEnd"/>
                </w:p>
              </w:tc>
              <w:tc>
                <w:tcPr>
                  <w:tcW w:w="1794" w:type="dxa"/>
                  <w:shd w:val="clear" w:color="auto" w:fill="A6A6A6"/>
                  <w:vAlign w:val="center"/>
                </w:tcPr>
                <w:p w14:paraId="4F4D662C"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93" w:type="dxa"/>
                  <w:shd w:val="clear" w:color="auto" w:fill="A6A6A6"/>
                  <w:vAlign w:val="center"/>
                </w:tcPr>
                <w:p w14:paraId="67557841"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roofErr w:type="spellEnd"/>
                </w:p>
              </w:tc>
            </w:tr>
            <w:tr w:rsidR="00600DEE" w14:paraId="38772454" w14:textId="77777777" w:rsidTr="00BE5902">
              <w:trPr>
                <w:trHeight w:hRule="exact" w:val="284"/>
              </w:trPr>
              <w:tc>
                <w:tcPr>
                  <w:tcW w:w="1933" w:type="dxa"/>
                  <w:shd w:val="clear" w:color="auto" w:fill="DBE5F1"/>
                  <w:vAlign w:val="center"/>
                </w:tcPr>
                <w:p w14:paraId="12F9E99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2009 - 2010</w:t>
                  </w:r>
                </w:p>
              </w:tc>
              <w:tc>
                <w:tcPr>
                  <w:tcW w:w="1275" w:type="dxa"/>
                  <w:shd w:val="clear" w:color="auto" w:fill="DBE5F1"/>
                  <w:vAlign w:val="center"/>
                </w:tcPr>
                <w:p w14:paraId="1882EE3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1794" w:type="dxa"/>
                  <w:shd w:val="clear" w:color="auto" w:fill="DBE5F1"/>
                  <w:vAlign w:val="center"/>
                </w:tcPr>
                <w:p w14:paraId="71FA96B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2030 - 2033</w:t>
                  </w:r>
                </w:p>
              </w:tc>
              <w:tc>
                <w:tcPr>
                  <w:tcW w:w="1293" w:type="dxa"/>
                  <w:shd w:val="clear" w:color="auto" w:fill="DBE5F1"/>
                  <w:vAlign w:val="center"/>
                </w:tcPr>
                <w:p w14:paraId="3573D9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w:t>
                  </w:r>
                </w:p>
              </w:tc>
            </w:tr>
            <w:tr w:rsidR="00600DEE" w14:paraId="0707B3B7" w14:textId="77777777" w:rsidTr="00BE5902">
              <w:trPr>
                <w:trHeight w:hRule="exact" w:val="284"/>
              </w:trPr>
              <w:tc>
                <w:tcPr>
                  <w:tcW w:w="1933" w:type="dxa"/>
                  <w:shd w:val="clear" w:color="auto" w:fill="DBE5F1"/>
                  <w:vAlign w:val="center"/>
                </w:tcPr>
                <w:p w14:paraId="4DB96D5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 xml:space="preserve">2011 - 2016 </w:t>
                  </w:r>
                </w:p>
              </w:tc>
              <w:tc>
                <w:tcPr>
                  <w:tcW w:w="1275" w:type="dxa"/>
                  <w:shd w:val="clear" w:color="auto" w:fill="DBE5F1"/>
                  <w:vAlign w:val="center"/>
                </w:tcPr>
                <w:p w14:paraId="5DA4F06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794" w:type="dxa"/>
                  <w:shd w:val="clear" w:color="auto" w:fill="DBE5F1"/>
                  <w:vAlign w:val="center"/>
                </w:tcPr>
                <w:p w14:paraId="1BA8AAE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2034 - 2039</w:t>
                  </w:r>
                </w:p>
              </w:tc>
              <w:tc>
                <w:tcPr>
                  <w:tcW w:w="1293" w:type="dxa"/>
                  <w:shd w:val="clear" w:color="auto" w:fill="DBE5F1"/>
                  <w:vAlign w:val="center"/>
                </w:tcPr>
                <w:p w14:paraId="30B0BB2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w:t>
                  </w:r>
                </w:p>
              </w:tc>
            </w:tr>
            <w:tr w:rsidR="00600DEE" w14:paraId="7EDCC728" w14:textId="77777777" w:rsidTr="00BE5902">
              <w:trPr>
                <w:trHeight w:hRule="exact" w:val="284"/>
              </w:trPr>
              <w:tc>
                <w:tcPr>
                  <w:tcW w:w="1933" w:type="dxa"/>
                  <w:shd w:val="clear" w:color="auto" w:fill="DBE5F1"/>
                  <w:vAlign w:val="center"/>
                </w:tcPr>
                <w:p w14:paraId="4D8614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2017 - 2021</w:t>
                  </w:r>
                </w:p>
              </w:tc>
              <w:tc>
                <w:tcPr>
                  <w:tcW w:w="1275" w:type="dxa"/>
                  <w:shd w:val="clear" w:color="auto" w:fill="DBE5F1"/>
                  <w:vAlign w:val="center"/>
                </w:tcPr>
                <w:p w14:paraId="2BDF75B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794" w:type="dxa"/>
                  <w:shd w:val="clear" w:color="auto" w:fill="DBE5F1"/>
                  <w:vAlign w:val="center"/>
                </w:tcPr>
                <w:p w14:paraId="36B3BE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2040 - 2045</w:t>
                  </w:r>
                </w:p>
              </w:tc>
              <w:tc>
                <w:tcPr>
                  <w:tcW w:w="1293" w:type="dxa"/>
                  <w:shd w:val="clear" w:color="auto" w:fill="DBE5F1"/>
                  <w:vAlign w:val="center"/>
                </w:tcPr>
                <w:p w14:paraId="289F35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w:t>
                  </w:r>
                </w:p>
              </w:tc>
            </w:tr>
            <w:tr w:rsidR="00600DEE" w14:paraId="77D72AA6" w14:textId="77777777" w:rsidTr="00BE5902">
              <w:trPr>
                <w:trHeight w:hRule="exact" w:val="284"/>
              </w:trPr>
              <w:tc>
                <w:tcPr>
                  <w:tcW w:w="1933" w:type="dxa"/>
                  <w:shd w:val="clear" w:color="auto" w:fill="DBE5F1"/>
                  <w:vAlign w:val="center"/>
                </w:tcPr>
                <w:p w14:paraId="76D138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2022 - 2025</w:t>
                  </w:r>
                </w:p>
              </w:tc>
              <w:tc>
                <w:tcPr>
                  <w:tcW w:w="1275" w:type="dxa"/>
                  <w:shd w:val="clear" w:color="auto" w:fill="DBE5F1"/>
                  <w:vAlign w:val="center"/>
                </w:tcPr>
                <w:p w14:paraId="5368C14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w:t>
                  </w:r>
                </w:p>
              </w:tc>
              <w:tc>
                <w:tcPr>
                  <w:tcW w:w="1794" w:type="dxa"/>
                  <w:shd w:val="clear" w:color="auto" w:fill="DBE5F1"/>
                  <w:vAlign w:val="center"/>
                </w:tcPr>
                <w:p w14:paraId="74CA9C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2046 - 2050</w:t>
                  </w:r>
                </w:p>
              </w:tc>
              <w:tc>
                <w:tcPr>
                  <w:tcW w:w="1293" w:type="dxa"/>
                  <w:shd w:val="clear" w:color="auto" w:fill="DBE5F1"/>
                  <w:vAlign w:val="center"/>
                </w:tcPr>
                <w:p w14:paraId="1BED40A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w:t>
                  </w:r>
                </w:p>
              </w:tc>
            </w:tr>
            <w:tr w:rsidR="00600DEE" w14:paraId="3A4C7971" w14:textId="77777777" w:rsidTr="00BE5902">
              <w:trPr>
                <w:trHeight w:hRule="exact" w:val="284"/>
              </w:trPr>
              <w:tc>
                <w:tcPr>
                  <w:tcW w:w="1933" w:type="dxa"/>
                  <w:shd w:val="clear" w:color="auto" w:fill="DBE5F1"/>
                  <w:vAlign w:val="center"/>
                </w:tcPr>
                <w:p w14:paraId="148C21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2026 - 2029</w:t>
                  </w:r>
                </w:p>
              </w:tc>
              <w:tc>
                <w:tcPr>
                  <w:tcW w:w="1275" w:type="dxa"/>
                  <w:shd w:val="clear" w:color="auto" w:fill="DBE5F1"/>
                  <w:vAlign w:val="center"/>
                </w:tcPr>
                <w:p w14:paraId="5EEF48B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w:t>
                  </w:r>
                </w:p>
              </w:tc>
              <w:tc>
                <w:tcPr>
                  <w:tcW w:w="1794" w:type="dxa"/>
                  <w:shd w:val="clear" w:color="auto" w:fill="DBE5F1"/>
                </w:tcPr>
                <w:p w14:paraId="1CC5FE1C" w14:textId="77777777" w:rsidR="00600DEE" w:rsidRDefault="00600DEE">
                  <w:pPr>
                    <w:jc w:val="both"/>
                    <w:rPr>
                      <w:rFonts w:ascii="Calibri" w:eastAsia="Calibri" w:hAnsi="Calibri" w:cs="Calibri"/>
                      <w:color w:val="4F81BD"/>
                      <w:sz w:val="18"/>
                      <w:szCs w:val="18"/>
                    </w:rPr>
                  </w:pPr>
                </w:p>
              </w:tc>
              <w:tc>
                <w:tcPr>
                  <w:tcW w:w="1293" w:type="dxa"/>
                  <w:shd w:val="clear" w:color="auto" w:fill="DBE5F1"/>
                </w:tcPr>
                <w:p w14:paraId="72B23948" w14:textId="77777777" w:rsidR="00600DEE" w:rsidRDefault="00600DEE">
                  <w:pPr>
                    <w:rPr>
                      <w:rFonts w:ascii="Calibri" w:eastAsia="Calibri" w:hAnsi="Calibri" w:cs="Calibri"/>
                      <w:color w:val="4F81BD"/>
                      <w:sz w:val="18"/>
                      <w:szCs w:val="18"/>
                    </w:rPr>
                  </w:pPr>
                </w:p>
              </w:tc>
            </w:tr>
          </w:tbl>
          <w:p w14:paraId="22DBA850" w14:textId="77777777" w:rsidR="00600DEE" w:rsidRDefault="00641FB5">
            <w:pPr>
              <w:spacing w:before="60" w:after="6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5FD4CABF"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Poniższe tabele zawierają wartości RAI dla ciągów jednojezdniowych i dwujezdniowych oraz przy pomocy następujących danych wejściowych:</w:t>
            </w:r>
          </w:p>
          <w:p w14:paraId="0172D862"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liczba jezdni (dwujezdniowe, jednojezdniowe),</w:t>
            </w:r>
          </w:p>
          <w:p w14:paraId="2DE3D6A8" w14:textId="5F0E5AAF" w:rsidR="00600DEE" w:rsidRDefault="00641FB5" w:rsidP="00A85726">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klasa drogi (</w:t>
            </w:r>
            <w:r w:rsidR="00A85726" w:rsidRPr="00A85726">
              <w:rPr>
                <w:rFonts w:ascii="Calibri" w:eastAsia="Calibri" w:hAnsi="Calibri" w:cs="Calibri"/>
                <w:color w:val="000000"/>
                <w:sz w:val="20"/>
                <w:szCs w:val="20"/>
              </w:rPr>
              <w:t>uwzględniono</w:t>
            </w:r>
            <w:r>
              <w:rPr>
                <w:rFonts w:ascii="Calibri" w:eastAsia="Calibri" w:hAnsi="Calibri" w:cs="Calibri"/>
                <w:color w:val="000000"/>
                <w:sz w:val="20"/>
                <w:szCs w:val="20"/>
              </w:rPr>
              <w:t xml:space="preserve"> następujące klasy: A, S</w:t>
            </w:r>
            <w:r w:rsidR="00A85726">
              <w:rPr>
                <w:rFonts w:ascii="Calibri" w:eastAsia="Calibri" w:hAnsi="Calibri" w:cs="Calibri"/>
                <w:color w:val="000000"/>
                <w:sz w:val="20"/>
                <w:szCs w:val="20"/>
              </w:rPr>
              <w:t xml:space="preserve"> </w:t>
            </w:r>
            <w:r>
              <w:rPr>
                <w:rFonts w:ascii="Calibri" w:eastAsia="Calibri" w:hAnsi="Calibri" w:cs="Calibri"/>
                <w:color w:val="000000"/>
                <w:sz w:val="20"/>
                <w:szCs w:val="20"/>
              </w:rPr>
              <w:t>(i S2+1), GP, G),</w:t>
            </w:r>
          </w:p>
          <w:p w14:paraId="18AEC792"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prognoza ruchu, średnioroczny Średni Dobowy Ruch (SDR),</w:t>
            </w:r>
          </w:p>
          <w:p w14:paraId="042AF789"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lokalizacja (województwo), dotyczy ciągów jednojezdniowych,</w:t>
            </w:r>
          </w:p>
          <w:p w14:paraId="7F66E32C"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obszar zabudowany </w:t>
            </w:r>
            <w:r>
              <w:rPr>
                <w:rFonts w:ascii="Calibri" w:eastAsia="Calibri" w:hAnsi="Calibri" w:cs="Calibri"/>
                <w:b/>
                <w:color w:val="000000"/>
                <w:sz w:val="20"/>
                <w:szCs w:val="20"/>
              </w:rPr>
              <w:t>(z)</w:t>
            </w:r>
            <w:r>
              <w:rPr>
                <w:rFonts w:ascii="Calibri" w:eastAsia="Calibri" w:hAnsi="Calibri" w:cs="Calibri"/>
                <w:color w:val="000000"/>
                <w:sz w:val="20"/>
                <w:szCs w:val="20"/>
              </w:rPr>
              <w:t xml:space="preserve"> / obszar niezabudowany </w:t>
            </w:r>
            <w:r>
              <w:rPr>
                <w:rFonts w:ascii="Calibri" w:eastAsia="Calibri" w:hAnsi="Calibri" w:cs="Calibri"/>
                <w:b/>
                <w:color w:val="000000"/>
                <w:sz w:val="20"/>
                <w:szCs w:val="20"/>
              </w:rPr>
              <w:t>(n)</w:t>
            </w:r>
            <w:r>
              <w:rPr>
                <w:rFonts w:ascii="Calibri" w:eastAsia="Calibri" w:hAnsi="Calibri" w:cs="Calibri"/>
                <w:color w:val="000000"/>
                <w:sz w:val="20"/>
                <w:szCs w:val="20"/>
              </w:rPr>
              <w:t>.</w:t>
            </w:r>
            <w:bookmarkStart w:id="133" w:name="_Ref91590422"/>
            <w:r>
              <w:rPr>
                <w:rFonts w:ascii="Calibri" w:eastAsia="Calibri" w:hAnsi="Calibri" w:cs="Calibri"/>
                <w:color w:val="000000"/>
                <w:sz w:val="20"/>
                <w:szCs w:val="20"/>
                <w:vertAlign w:val="superscript"/>
              </w:rPr>
              <w:footnoteReference w:id="28"/>
            </w:r>
            <w:bookmarkEnd w:id="133"/>
            <w:r>
              <w:rPr>
                <w:rFonts w:ascii="Calibri" w:eastAsia="Calibri" w:hAnsi="Calibri" w:cs="Calibri"/>
                <w:color w:val="000000"/>
                <w:sz w:val="20"/>
                <w:szCs w:val="20"/>
                <w:vertAlign w:val="superscript"/>
              </w:rPr>
              <w:t xml:space="preserve"> </w:t>
            </w:r>
          </w:p>
          <w:p w14:paraId="29261179"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34792234"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2621F72A"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0013CAAC"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1252D5BF"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0EDEA8C7"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0EFD97C2"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24BAA773" w14:textId="198A4732" w:rsidR="00600DEE" w:rsidRDefault="00641FB5" w:rsidP="00E7601A">
            <w:pPr>
              <w:spacing w:after="240"/>
              <w:rPr>
                <w:rFonts w:ascii="Calibri" w:eastAsia="Calibri" w:hAnsi="Calibri" w:cs="Calibri"/>
                <w:b/>
                <w:color w:val="4F81BD"/>
                <w:sz w:val="20"/>
                <w:szCs w:val="20"/>
              </w:rPr>
            </w:pPr>
            <w:r>
              <w:rPr>
                <w:rFonts w:ascii="Calibri" w:eastAsia="Calibri" w:hAnsi="Calibri" w:cs="Calibri"/>
                <w:b/>
                <w:color w:val="4F81BD"/>
                <w:sz w:val="20"/>
                <w:szCs w:val="20"/>
              </w:rPr>
              <w:lastRenderedPageBreak/>
              <w:t>Tabela 2. Wskaźnik RAI dla ciągów drogowych dwujezdniowych (wypadki / 10</w:t>
            </w:r>
            <w:r>
              <w:rPr>
                <w:rFonts w:ascii="Calibri" w:eastAsia="Calibri" w:hAnsi="Calibri" w:cs="Calibri"/>
                <w:b/>
                <w:color w:val="4F81BD"/>
                <w:sz w:val="20"/>
                <w:szCs w:val="20"/>
                <w:vertAlign w:val="superscript"/>
              </w:rPr>
              <w:t>6</w:t>
            </w:r>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poj</w:t>
            </w:r>
            <w:proofErr w:type="spellEnd"/>
            <w:r>
              <w:rPr>
                <w:rFonts w:ascii="Calibri" w:eastAsia="Calibri" w:hAnsi="Calibri" w:cs="Calibri"/>
                <w:b/>
                <w:color w:val="4F81BD"/>
                <w:sz w:val="20"/>
                <w:szCs w:val="20"/>
              </w:rPr>
              <w:t>-km/dobę)</w:t>
            </w:r>
          </w:p>
          <w:tbl>
            <w:tblPr>
              <w:tblStyle w:val="afffffffffffffff6"/>
              <w:tblW w:w="7085" w:type="dxa"/>
              <w:tblLayout w:type="fixed"/>
              <w:tblLook w:val="0400" w:firstRow="0" w:lastRow="0" w:firstColumn="0" w:lastColumn="0" w:noHBand="0" w:noVBand="1"/>
            </w:tblPr>
            <w:tblGrid>
              <w:gridCol w:w="1547"/>
              <w:gridCol w:w="616"/>
              <w:gridCol w:w="616"/>
              <w:gridCol w:w="616"/>
              <w:gridCol w:w="615"/>
              <w:gridCol w:w="615"/>
              <w:gridCol w:w="615"/>
              <w:gridCol w:w="615"/>
              <w:gridCol w:w="615"/>
              <w:gridCol w:w="615"/>
            </w:tblGrid>
            <w:tr w:rsidR="00600DEE" w14:paraId="49204D62" w14:textId="77777777" w:rsidTr="00E7601A">
              <w:trPr>
                <w:trHeight w:hRule="exact" w:val="454"/>
              </w:trPr>
              <w:tc>
                <w:tcPr>
                  <w:tcW w:w="1424"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7B6B17C"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RAI/  SDR</w:t>
                  </w:r>
                </w:p>
              </w:tc>
              <w:tc>
                <w:tcPr>
                  <w:tcW w:w="567" w:type="dxa"/>
                  <w:tcBorders>
                    <w:top w:val="single" w:sz="8" w:space="0" w:color="FFFFFF"/>
                    <w:left w:val="nil"/>
                    <w:bottom w:val="single" w:sz="4" w:space="0" w:color="FFFFFF"/>
                    <w:right w:val="nil"/>
                  </w:tcBorders>
                  <w:shd w:val="clear" w:color="auto" w:fill="A6A6A6"/>
                  <w:vAlign w:val="center"/>
                </w:tcPr>
                <w:p w14:paraId="26C39932"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A2x2</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38D8E104"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A2x3</w:t>
                  </w:r>
                </w:p>
              </w:tc>
              <w:tc>
                <w:tcPr>
                  <w:tcW w:w="567" w:type="dxa"/>
                  <w:tcBorders>
                    <w:top w:val="single" w:sz="8" w:space="0" w:color="FFFFFF"/>
                    <w:left w:val="nil"/>
                    <w:bottom w:val="single" w:sz="4" w:space="0" w:color="FFFFFF"/>
                    <w:right w:val="nil"/>
                  </w:tcBorders>
                  <w:shd w:val="clear" w:color="auto" w:fill="A6A6A6"/>
                  <w:vAlign w:val="center"/>
                </w:tcPr>
                <w:p w14:paraId="733D25B9"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S2+1</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0BDD3128"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S2x2</w:t>
                  </w:r>
                </w:p>
              </w:tc>
              <w:tc>
                <w:tcPr>
                  <w:tcW w:w="567" w:type="dxa"/>
                  <w:tcBorders>
                    <w:top w:val="single" w:sz="8" w:space="0" w:color="FFFFFF"/>
                    <w:left w:val="nil"/>
                    <w:bottom w:val="single" w:sz="4" w:space="0" w:color="FFFFFF"/>
                    <w:right w:val="single" w:sz="8" w:space="0" w:color="FFFFFF"/>
                  </w:tcBorders>
                  <w:shd w:val="clear" w:color="auto" w:fill="A6A6A6"/>
                  <w:vAlign w:val="center"/>
                </w:tcPr>
                <w:p w14:paraId="3FB38441"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S2x3</w:t>
                  </w:r>
                </w:p>
              </w:tc>
              <w:tc>
                <w:tcPr>
                  <w:tcW w:w="567" w:type="dxa"/>
                  <w:tcBorders>
                    <w:top w:val="single" w:sz="8" w:space="0" w:color="FFFFFF"/>
                    <w:left w:val="nil"/>
                    <w:bottom w:val="single" w:sz="4" w:space="0" w:color="FFFFFF"/>
                    <w:right w:val="single" w:sz="8" w:space="0" w:color="FFFFFF"/>
                  </w:tcBorders>
                  <w:shd w:val="clear" w:color="auto" w:fill="A6A6A6"/>
                  <w:vAlign w:val="center"/>
                </w:tcPr>
                <w:p w14:paraId="64E57858"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GP2x2n</w:t>
                  </w:r>
                </w:p>
              </w:tc>
              <w:tc>
                <w:tcPr>
                  <w:tcW w:w="567" w:type="dxa"/>
                  <w:tcBorders>
                    <w:top w:val="single" w:sz="8" w:space="0" w:color="FFFFFF"/>
                    <w:left w:val="nil"/>
                    <w:bottom w:val="single" w:sz="4" w:space="0" w:color="FFFFFF"/>
                    <w:right w:val="nil"/>
                  </w:tcBorders>
                  <w:shd w:val="clear" w:color="auto" w:fill="A6A6A6"/>
                  <w:vAlign w:val="center"/>
                </w:tcPr>
                <w:p w14:paraId="5246B3CA"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GP2x2z</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7D6C34D4"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GP2x3n</w:t>
                  </w:r>
                </w:p>
              </w:tc>
              <w:tc>
                <w:tcPr>
                  <w:tcW w:w="567" w:type="dxa"/>
                  <w:tcBorders>
                    <w:top w:val="single" w:sz="8" w:space="0" w:color="FFFFFF"/>
                    <w:left w:val="nil"/>
                    <w:bottom w:val="single" w:sz="4" w:space="0" w:color="FFFFFF"/>
                    <w:right w:val="single" w:sz="8" w:space="0" w:color="FFFFFF"/>
                  </w:tcBorders>
                  <w:shd w:val="clear" w:color="auto" w:fill="A6A6A6"/>
                  <w:vAlign w:val="center"/>
                </w:tcPr>
                <w:p w14:paraId="3B33B129"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GP2x3z</w:t>
                  </w:r>
                </w:p>
              </w:tc>
            </w:tr>
            <w:tr w:rsidR="00600DEE" w14:paraId="16285C4E"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77457A1F"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0 - 5 000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F6AE914"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0,017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37C7AD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0,018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980292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4B84BE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D44013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4EF1B8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0,289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3FF081F"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0,556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9E7421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0,352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7DF2202"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0,641</w:t>
                  </w:r>
                </w:p>
              </w:tc>
            </w:tr>
            <w:tr w:rsidR="00600DEE" w14:paraId="0EDE382F"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2569CAF1" w14:textId="54E8DFFC"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5 000 - 10 000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69B58A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0A4644A"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DA86D7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17CF899"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259FB98"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115D35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0,166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D5A1B6F"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0,307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4DB2ED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0,200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7A0CCD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0,350</w:t>
                  </w:r>
                </w:p>
              </w:tc>
            </w:tr>
            <w:tr w:rsidR="00600DEE" w14:paraId="63115DF2"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7E1E16C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10 000 - 20 000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35C908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120985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A80A4D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44062D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51B7A7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A35E3D8"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0,105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072D3A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0,178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02E5CA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DA521E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0,198</w:t>
                  </w:r>
                </w:p>
              </w:tc>
            </w:tr>
            <w:tr w:rsidR="00600DEE" w14:paraId="32E2C3D6"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2C4E095F" w14:textId="68A77FF8"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20</w:t>
                  </w:r>
                  <w:r w:rsidR="00E7601A">
                    <w:rPr>
                      <w:rFonts w:ascii="Calibri" w:eastAsia="Calibri" w:hAnsi="Calibri" w:cs="Calibri"/>
                      <w:color w:val="4F81BD"/>
                      <w:sz w:val="15"/>
                      <w:szCs w:val="15"/>
                    </w:rPr>
                    <w:t> </w:t>
                  </w:r>
                  <w:r>
                    <w:rPr>
                      <w:rFonts w:ascii="Calibri" w:eastAsia="Calibri" w:hAnsi="Calibri" w:cs="Calibri"/>
                      <w:color w:val="4F81BD"/>
                      <w:sz w:val="15"/>
                      <w:szCs w:val="15"/>
                    </w:rPr>
                    <w:t>000</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30 000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8CA5009"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46D50E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0C5430C"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AAA05BD"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7AB107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8A3287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0,084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653BCB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0,125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57B726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BE09C8E"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0,134</w:t>
                  </w:r>
                </w:p>
              </w:tc>
            </w:tr>
            <w:tr w:rsidR="00600DEE" w14:paraId="57AC2291"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407FB0D3" w14:textId="52E03123"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30</w:t>
                  </w:r>
                  <w:r w:rsidR="00E7601A">
                    <w:rPr>
                      <w:rFonts w:ascii="Calibri" w:eastAsia="Calibri" w:hAnsi="Calibri" w:cs="Calibri"/>
                      <w:color w:val="4F81BD"/>
                      <w:sz w:val="15"/>
                      <w:szCs w:val="15"/>
                    </w:rPr>
                    <w:t> </w:t>
                  </w:r>
                  <w:r>
                    <w:rPr>
                      <w:rFonts w:ascii="Calibri" w:eastAsia="Calibri" w:hAnsi="Calibri" w:cs="Calibri"/>
                      <w:color w:val="4F81BD"/>
                      <w:sz w:val="15"/>
                      <w:szCs w:val="15"/>
                    </w:rPr>
                    <w:t>000</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DAF5E7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BC74CC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7D9307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224BAE4"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622941E"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799343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0,076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B7407D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0,101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D5E1E0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0,084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EB382C2"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0,106</w:t>
                  </w:r>
                </w:p>
              </w:tc>
            </w:tr>
            <w:tr w:rsidR="00600DEE" w14:paraId="07E8FC54"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01B7099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powyżej 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5F6C0F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654990C"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680346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F6650F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33D0ADE"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7D6B94C"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38F598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D694284"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A29929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0,085</w:t>
                  </w:r>
                </w:p>
              </w:tc>
            </w:tr>
          </w:tbl>
          <w:p w14:paraId="1024DDB6" w14:textId="77777777" w:rsidR="00600DEE" w:rsidRDefault="00641FB5" w:rsidP="00E7601A">
            <w:pPr>
              <w:spacing w:before="120" w:after="120"/>
              <w:rPr>
                <w:rFonts w:ascii="Calibri" w:eastAsia="Calibri" w:hAnsi="Calibri" w:cs="Calibri"/>
                <w:sz w:val="20"/>
                <w:szCs w:val="20"/>
              </w:rPr>
            </w:pPr>
            <w:r>
              <w:rPr>
                <w:rFonts w:ascii="Calibri" w:eastAsia="Calibri" w:hAnsi="Calibri" w:cs="Calibri"/>
                <w:b/>
                <w:i/>
                <w:sz w:val="16"/>
                <w:szCs w:val="16"/>
              </w:rPr>
              <w:t>Źródło: Opracowanie własne na podstawie metody wskaźników BRD</w:t>
            </w:r>
          </w:p>
          <w:p w14:paraId="715A559F" w14:textId="77777777" w:rsidR="00600DEE" w:rsidRDefault="00641FB5">
            <w:pPr>
              <w:spacing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Tabela 3. Wskaźnik RAI dla ciągów drogowych jednojezdniowych (wypadki /</w:t>
            </w:r>
            <w:r>
              <w:rPr>
                <w:rFonts w:ascii="Calibri" w:eastAsia="Calibri" w:hAnsi="Calibri" w:cs="Calibri"/>
                <w:b/>
                <w:color w:val="4F81BD"/>
                <w:sz w:val="20"/>
                <w:szCs w:val="20"/>
              </w:rPr>
              <w:br/>
              <w:t xml:space="preserve">  10</w:t>
            </w:r>
            <w:r>
              <w:rPr>
                <w:rFonts w:ascii="Calibri" w:eastAsia="Calibri" w:hAnsi="Calibri" w:cs="Calibri"/>
                <w:b/>
                <w:color w:val="4F81BD"/>
                <w:sz w:val="20"/>
                <w:szCs w:val="20"/>
                <w:vertAlign w:val="superscript"/>
              </w:rPr>
              <w:t>6</w:t>
            </w:r>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poj</w:t>
            </w:r>
            <w:proofErr w:type="spellEnd"/>
            <w:r>
              <w:rPr>
                <w:rFonts w:ascii="Calibri" w:eastAsia="Calibri" w:hAnsi="Calibri" w:cs="Calibri"/>
                <w:b/>
                <w:color w:val="4F81BD"/>
                <w:sz w:val="20"/>
                <w:szCs w:val="20"/>
              </w:rPr>
              <w:t xml:space="preserve">-km/dobę) </w:t>
            </w:r>
          </w:p>
          <w:tbl>
            <w:tblPr>
              <w:tblStyle w:val="afffffffffffffff7"/>
              <w:tblW w:w="7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72"/>
              <w:gridCol w:w="792"/>
              <w:gridCol w:w="792"/>
              <w:gridCol w:w="791"/>
              <w:gridCol w:w="791"/>
              <w:gridCol w:w="791"/>
              <w:gridCol w:w="791"/>
            </w:tblGrid>
            <w:tr w:rsidR="00600DEE" w14:paraId="1B02E6D2" w14:textId="77777777" w:rsidTr="00E7601A">
              <w:trPr>
                <w:trHeight w:hRule="exact" w:val="284"/>
              </w:trPr>
              <w:tc>
                <w:tcPr>
                  <w:tcW w:w="1360" w:type="dxa"/>
                  <w:tcBorders>
                    <w:bottom w:val="single" w:sz="4" w:space="0" w:color="FFFFFF"/>
                  </w:tcBorders>
                  <w:shd w:val="clear" w:color="auto" w:fill="A6A6A6"/>
                  <w:vAlign w:val="center"/>
                </w:tcPr>
                <w:p w14:paraId="3193B20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RAI/ SDR</w:t>
                  </w:r>
                </w:p>
              </w:tc>
              <w:tc>
                <w:tcPr>
                  <w:tcW w:w="454" w:type="dxa"/>
                  <w:tcBorders>
                    <w:bottom w:val="single" w:sz="4" w:space="0" w:color="FFFFFF"/>
                  </w:tcBorders>
                  <w:shd w:val="clear" w:color="auto" w:fill="A6A6A6"/>
                  <w:vAlign w:val="center"/>
                </w:tcPr>
                <w:p w14:paraId="0A221E7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S1x2n</w:t>
                  </w:r>
                </w:p>
              </w:tc>
              <w:tc>
                <w:tcPr>
                  <w:tcW w:w="454" w:type="dxa"/>
                  <w:tcBorders>
                    <w:bottom w:val="single" w:sz="4" w:space="0" w:color="FFFFFF"/>
                  </w:tcBorders>
                  <w:shd w:val="clear" w:color="auto" w:fill="A6A6A6"/>
                  <w:vAlign w:val="center"/>
                </w:tcPr>
                <w:p w14:paraId="59F6DC12"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S1x2z</w:t>
                  </w:r>
                </w:p>
              </w:tc>
              <w:tc>
                <w:tcPr>
                  <w:tcW w:w="454" w:type="dxa"/>
                  <w:tcBorders>
                    <w:bottom w:val="single" w:sz="4" w:space="0" w:color="FFFFFF"/>
                  </w:tcBorders>
                  <w:shd w:val="clear" w:color="auto" w:fill="A6A6A6"/>
                  <w:vAlign w:val="center"/>
                </w:tcPr>
                <w:p w14:paraId="6E658484"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454" w:type="dxa"/>
                  <w:tcBorders>
                    <w:bottom w:val="single" w:sz="4" w:space="0" w:color="FFFFFF"/>
                  </w:tcBorders>
                  <w:shd w:val="clear" w:color="auto" w:fill="A6A6A6"/>
                  <w:vAlign w:val="center"/>
                </w:tcPr>
                <w:p w14:paraId="47999DF6"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GP1x2z</w:t>
                  </w:r>
                </w:p>
              </w:tc>
              <w:tc>
                <w:tcPr>
                  <w:tcW w:w="454" w:type="dxa"/>
                  <w:tcBorders>
                    <w:bottom w:val="single" w:sz="4" w:space="0" w:color="FFFFFF"/>
                  </w:tcBorders>
                  <w:shd w:val="clear" w:color="auto" w:fill="A6A6A6"/>
                  <w:vAlign w:val="center"/>
                </w:tcPr>
                <w:p w14:paraId="6B4DB052"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G1x2n</w:t>
                  </w:r>
                </w:p>
              </w:tc>
              <w:tc>
                <w:tcPr>
                  <w:tcW w:w="454" w:type="dxa"/>
                  <w:tcBorders>
                    <w:bottom w:val="single" w:sz="4" w:space="0" w:color="FFFFFF"/>
                  </w:tcBorders>
                  <w:shd w:val="clear" w:color="auto" w:fill="A6A6A6"/>
                  <w:vAlign w:val="center"/>
                </w:tcPr>
                <w:p w14:paraId="1E721E58"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G1x2z</w:t>
                  </w:r>
                </w:p>
              </w:tc>
            </w:tr>
            <w:tr w:rsidR="00600DEE" w14:paraId="6CF1D612"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595DB96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0 - 5 000</w:t>
                  </w:r>
                </w:p>
              </w:tc>
              <w:tc>
                <w:tcPr>
                  <w:tcW w:w="454" w:type="dxa"/>
                  <w:tcBorders>
                    <w:top w:val="single" w:sz="4" w:space="0" w:color="FFFFFF"/>
                    <w:bottom w:val="single" w:sz="4" w:space="0" w:color="FFFFFF"/>
                  </w:tcBorders>
                  <w:shd w:val="clear" w:color="auto" w:fill="DBE5F1"/>
                  <w:vAlign w:val="center"/>
                </w:tcPr>
                <w:p w14:paraId="7B9E068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0,065</w:t>
                  </w:r>
                </w:p>
              </w:tc>
              <w:tc>
                <w:tcPr>
                  <w:tcW w:w="454" w:type="dxa"/>
                  <w:tcBorders>
                    <w:top w:val="single" w:sz="4" w:space="0" w:color="FFFFFF"/>
                    <w:bottom w:val="single" w:sz="4" w:space="0" w:color="FFFFFF"/>
                  </w:tcBorders>
                  <w:shd w:val="clear" w:color="auto" w:fill="DBE5F1"/>
                  <w:vAlign w:val="center"/>
                </w:tcPr>
                <w:p w14:paraId="786D0A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0,085</w:t>
                  </w:r>
                </w:p>
              </w:tc>
              <w:tc>
                <w:tcPr>
                  <w:tcW w:w="454" w:type="dxa"/>
                  <w:tcBorders>
                    <w:top w:val="single" w:sz="4" w:space="0" w:color="FFFFFF"/>
                    <w:bottom w:val="single" w:sz="4" w:space="0" w:color="FFFFFF"/>
                  </w:tcBorders>
                  <w:shd w:val="clear" w:color="auto" w:fill="DBE5F1"/>
                  <w:vAlign w:val="center"/>
                </w:tcPr>
                <w:p w14:paraId="0A316B6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0,119</w:t>
                  </w:r>
                </w:p>
              </w:tc>
              <w:tc>
                <w:tcPr>
                  <w:tcW w:w="454" w:type="dxa"/>
                  <w:tcBorders>
                    <w:top w:val="single" w:sz="4" w:space="0" w:color="FFFFFF"/>
                    <w:bottom w:val="single" w:sz="4" w:space="0" w:color="FFFFFF"/>
                  </w:tcBorders>
                  <w:shd w:val="clear" w:color="auto" w:fill="DBE5F1"/>
                  <w:vAlign w:val="center"/>
                </w:tcPr>
                <w:p w14:paraId="24F29E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0,176</w:t>
                  </w:r>
                </w:p>
              </w:tc>
              <w:tc>
                <w:tcPr>
                  <w:tcW w:w="454" w:type="dxa"/>
                  <w:tcBorders>
                    <w:top w:val="single" w:sz="4" w:space="0" w:color="FFFFFF"/>
                    <w:bottom w:val="single" w:sz="4" w:space="0" w:color="FFFFFF"/>
                  </w:tcBorders>
                  <w:shd w:val="clear" w:color="auto" w:fill="DBE5F1"/>
                  <w:vAlign w:val="center"/>
                </w:tcPr>
                <w:p w14:paraId="0AC870C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0,097</w:t>
                  </w:r>
                </w:p>
              </w:tc>
              <w:tc>
                <w:tcPr>
                  <w:tcW w:w="454" w:type="dxa"/>
                  <w:tcBorders>
                    <w:top w:val="single" w:sz="4" w:space="0" w:color="FFFFFF"/>
                    <w:bottom w:val="single" w:sz="4" w:space="0" w:color="FFFFFF"/>
                  </w:tcBorders>
                  <w:shd w:val="clear" w:color="auto" w:fill="DBE5F1"/>
                  <w:vAlign w:val="center"/>
                </w:tcPr>
                <w:p w14:paraId="469C15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0,149</w:t>
                  </w:r>
                </w:p>
              </w:tc>
            </w:tr>
            <w:tr w:rsidR="00600DEE" w14:paraId="1A210057"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14AE531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5000 - 10 000</w:t>
                  </w:r>
                </w:p>
              </w:tc>
              <w:tc>
                <w:tcPr>
                  <w:tcW w:w="454" w:type="dxa"/>
                  <w:tcBorders>
                    <w:top w:val="single" w:sz="4" w:space="0" w:color="FFFFFF"/>
                    <w:bottom w:val="single" w:sz="4" w:space="0" w:color="FFFFFF"/>
                  </w:tcBorders>
                  <w:shd w:val="clear" w:color="auto" w:fill="DBE5F1"/>
                  <w:vAlign w:val="center"/>
                </w:tcPr>
                <w:p w14:paraId="7EB5ADF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0,055</w:t>
                  </w:r>
                </w:p>
              </w:tc>
              <w:tc>
                <w:tcPr>
                  <w:tcW w:w="454" w:type="dxa"/>
                  <w:tcBorders>
                    <w:top w:val="single" w:sz="4" w:space="0" w:color="FFFFFF"/>
                    <w:bottom w:val="single" w:sz="4" w:space="0" w:color="FFFFFF"/>
                  </w:tcBorders>
                  <w:shd w:val="clear" w:color="auto" w:fill="DBE5F1"/>
                  <w:vAlign w:val="center"/>
                </w:tcPr>
                <w:p w14:paraId="1AE06B3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0,071</w:t>
                  </w:r>
                </w:p>
              </w:tc>
              <w:tc>
                <w:tcPr>
                  <w:tcW w:w="454" w:type="dxa"/>
                  <w:tcBorders>
                    <w:top w:val="single" w:sz="4" w:space="0" w:color="FFFFFF"/>
                    <w:bottom w:val="single" w:sz="4" w:space="0" w:color="FFFFFF"/>
                  </w:tcBorders>
                  <w:shd w:val="clear" w:color="auto" w:fill="DBE5F1"/>
                  <w:vAlign w:val="center"/>
                </w:tcPr>
                <w:p w14:paraId="2E7E390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0,099</w:t>
                  </w:r>
                </w:p>
              </w:tc>
              <w:tc>
                <w:tcPr>
                  <w:tcW w:w="454" w:type="dxa"/>
                  <w:tcBorders>
                    <w:top w:val="single" w:sz="4" w:space="0" w:color="FFFFFF"/>
                    <w:bottom w:val="single" w:sz="4" w:space="0" w:color="FFFFFF"/>
                  </w:tcBorders>
                  <w:shd w:val="clear" w:color="auto" w:fill="DBE5F1"/>
                  <w:vAlign w:val="center"/>
                </w:tcPr>
                <w:p w14:paraId="3B5FB5A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0,147</w:t>
                  </w:r>
                </w:p>
              </w:tc>
              <w:tc>
                <w:tcPr>
                  <w:tcW w:w="454" w:type="dxa"/>
                  <w:tcBorders>
                    <w:top w:val="single" w:sz="4" w:space="0" w:color="FFFFFF"/>
                    <w:bottom w:val="single" w:sz="4" w:space="0" w:color="FFFFFF"/>
                  </w:tcBorders>
                  <w:shd w:val="clear" w:color="auto" w:fill="DBE5F1"/>
                  <w:vAlign w:val="center"/>
                </w:tcPr>
                <w:p w14:paraId="61C809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0,081</w:t>
                  </w:r>
                </w:p>
              </w:tc>
              <w:tc>
                <w:tcPr>
                  <w:tcW w:w="454" w:type="dxa"/>
                  <w:tcBorders>
                    <w:top w:val="single" w:sz="4" w:space="0" w:color="FFFFFF"/>
                    <w:bottom w:val="single" w:sz="4" w:space="0" w:color="FFFFFF"/>
                  </w:tcBorders>
                  <w:shd w:val="clear" w:color="auto" w:fill="DBE5F1"/>
                  <w:vAlign w:val="center"/>
                </w:tcPr>
                <w:p w14:paraId="521210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0,125</w:t>
                  </w:r>
                </w:p>
              </w:tc>
            </w:tr>
            <w:tr w:rsidR="00600DEE" w14:paraId="0ED90393"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7F16B6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10 000 - 20 000</w:t>
                  </w:r>
                </w:p>
              </w:tc>
              <w:tc>
                <w:tcPr>
                  <w:tcW w:w="454" w:type="dxa"/>
                  <w:tcBorders>
                    <w:top w:val="single" w:sz="4" w:space="0" w:color="FFFFFF"/>
                    <w:bottom w:val="single" w:sz="4" w:space="0" w:color="FFFFFF"/>
                  </w:tcBorders>
                  <w:shd w:val="clear" w:color="auto" w:fill="DBE5F1"/>
                  <w:vAlign w:val="center"/>
                </w:tcPr>
                <w:p w14:paraId="256C4B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0,048</w:t>
                  </w:r>
                </w:p>
              </w:tc>
              <w:tc>
                <w:tcPr>
                  <w:tcW w:w="454" w:type="dxa"/>
                  <w:tcBorders>
                    <w:top w:val="single" w:sz="4" w:space="0" w:color="FFFFFF"/>
                    <w:bottom w:val="single" w:sz="4" w:space="0" w:color="FFFFFF"/>
                  </w:tcBorders>
                  <w:shd w:val="clear" w:color="auto" w:fill="DBE5F1"/>
                  <w:vAlign w:val="center"/>
                </w:tcPr>
                <w:p w14:paraId="46915AB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0,063</w:t>
                  </w:r>
                </w:p>
              </w:tc>
              <w:tc>
                <w:tcPr>
                  <w:tcW w:w="454" w:type="dxa"/>
                  <w:tcBorders>
                    <w:top w:val="single" w:sz="4" w:space="0" w:color="FFFFFF"/>
                    <w:bottom w:val="single" w:sz="4" w:space="0" w:color="FFFFFF"/>
                  </w:tcBorders>
                  <w:shd w:val="clear" w:color="auto" w:fill="DBE5F1"/>
                  <w:vAlign w:val="center"/>
                </w:tcPr>
                <w:p w14:paraId="515293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0.088</w:t>
                  </w:r>
                </w:p>
              </w:tc>
              <w:tc>
                <w:tcPr>
                  <w:tcW w:w="454" w:type="dxa"/>
                  <w:tcBorders>
                    <w:top w:val="single" w:sz="4" w:space="0" w:color="FFFFFF"/>
                    <w:bottom w:val="single" w:sz="4" w:space="0" w:color="FFFFFF"/>
                  </w:tcBorders>
                  <w:shd w:val="clear" w:color="auto" w:fill="DBE5F1"/>
                  <w:vAlign w:val="center"/>
                </w:tcPr>
                <w:p w14:paraId="67F707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0,131</w:t>
                  </w:r>
                </w:p>
              </w:tc>
              <w:tc>
                <w:tcPr>
                  <w:tcW w:w="454" w:type="dxa"/>
                  <w:tcBorders>
                    <w:top w:val="single" w:sz="4" w:space="0" w:color="FFFFFF"/>
                    <w:bottom w:val="single" w:sz="4" w:space="0" w:color="FFFFFF"/>
                  </w:tcBorders>
                  <w:shd w:val="clear" w:color="auto" w:fill="DBE5F1"/>
                  <w:vAlign w:val="center"/>
                </w:tcPr>
                <w:p w14:paraId="0AE286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0,072</w:t>
                  </w:r>
                </w:p>
              </w:tc>
              <w:tc>
                <w:tcPr>
                  <w:tcW w:w="454" w:type="dxa"/>
                  <w:tcBorders>
                    <w:top w:val="single" w:sz="4" w:space="0" w:color="FFFFFF"/>
                    <w:bottom w:val="single" w:sz="4" w:space="0" w:color="FFFFFF"/>
                  </w:tcBorders>
                  <w:shd w:val="clear" w:color="auto" w:fill="DBE5F1"/>
                  <w:vAlign w:val="center"/>
                </w:tcPr>
                <w:p w14:paraId="2F5299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0,111</w:t>
                  </w:r>
                </w:p>
              </w:tc>
            </w:tr>
            <w:tr w:rsidR="00600DEE" w14:paraId="6B94C78E"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366AD9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20000 - 30 000</w:t>
                  </w:r>
                </w:p>
              </w:tc>
              <w:tc>
                <w:tcPr>
                  <w:tcW w:w="454" w:type="dxa"/>
                  <w:tcBorders>
                    <w:top w:val="single" w:sz="4" w:space="0" w:color="FFFFFF"/>
                    <w:bottom w:val="single" w:sz="4" w:space="0" w:color="FFFFFF"/>
                  </w:tcBorders>
                  <w:shd w:val="clear" w:color="auto" w:fill="DBE5F1"/>
                  <w:vAlign w:val="center"/>
                </w:tcPr>
                <w:p w14:paraId="3C38E87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0,044</w:t>
                  </w:r>
                </w:p>
              </w:tc>
              <w:tc>
                <w:tcPr>
                  <w:tcW w:w="454" w:type="dxa"/>
                  <w:tcBorders>
                    <w:top w:val="single" w:sz="4" w:space="0" w:color="FFFFFF"/>
                    <w:bottom w:val="single" w:sz="4" w:space="0" w:color="FFFFFF"/>
                  </w:tcBorders>
                  <w:shd w:val="clear" w:color="auto" w:fill="DBE5F1"/>
                  <w:vAlign w:val="center"/>
                </w:tcPr>
                <w:p w14:paraId="6E3A1F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0,058</w:t>
                  </w:r>
                </w:p>
              </w:tc>
              <w:tc>
                <w:tcPr>
                  <w:tcW w:w="454" w:type="dxa"/>
                  <w:tcBorders>
                    <w:top w:val="single" w:sz="4" w:space="0" w:color="FFFFFF"/>
                    <w:bottom w:val="single" w:sz="4" w:space="0" w:color="FFFFFF"/>
                  </w:tcBorders>
                  <w:shd w:val="clear" w:color="auto" w:fill="DBE5F1"/>
                  <w:vAlign w:val="center"/>
                </w:tcPr>
                <w:p w14:paraId="46DFF2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0,080</w:t>
                  </w:r>
                </w:p>
              </w:tc>
              <w:tc>
                <w:tcPr>
                  <w:tcW w:w="454" w:type="dxa"/>
                  <w:tcBorders>
                    <w:top w:val="single" w:sz="4" w:space="0" w:color="FFFFFF"/>
                    <w:bottom w:val="single" w:sz="4" w:space="0" w:color="FFFFFF"/>
                  </w:tcBorders>
                  <w:shd w:val="clear" w:color="auto" w:fill="DBE5F1"/>
                  <w:vAlign w:val="center"/>
                </w:tcPr>
                <w:p w14:paraId="18760A3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0,119</w:t>
                  </w:r>
                </w:p>
              </w:tc>
              <w:tc>
                <w:tcPr>
                  <w:tcW w:w="454" w:type="dxa"/>
                  <w:tcBorders>
                    <w:top w:val="single" w:sz="4" w:space="0" w:color="FFFFFF"/>
                    <w:bottom w:val="single" w:sz="4" w:space="0" w:color="FFFFFF"/>
                  </w:tcBorders>
                  <w:shd w:val="clear" w:color="auto" w:fill="DBE5F1"/>
                  <w:vAlign w:val="center"/>
                </w:tcPr>
                <w:p w14:paraId="0373B83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0,066</w:t>
                  </w:r>
                </w:p>
              </w:tc>
              <w:tc>
                <w:tcPr>
                  <w:tcW w:w="454" w:type="dxa"/>
                  <w:tcBorders>
                    <w:top w:val="single" w:sz="4" w:space="0" w:color="FFFFFF"/>
                    <w:bottom w:val="single" w:sz="4" w:space="0" w:color="FFFFFF"/>
                  </w:tcBorders>
                  <w:shd w:val="clear" w:color="auto" w:fill="DBE5F1"/>
                  <w:vAlign w:val="center"/>
                </w:tcPr>
                <w:p w14:paraId="096E67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0,101</w:t>
                  </w:r>
                </w:p>
              </w:tc>
            </w:tr>
            <w:tr w:rsidR="00600DEE" w14:paraId="78CDF7F9"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45B88D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30000 - 40 000</w:t>
                  </w:r>
                </w:p>
              </w:tc>
              <w:tc>
                <w:tcPr>
                  <w:tcW w:w="454" w:type="dxa"/>
                  <w:tcBorders>
                    <w:top w:val="single" w:sz="4" w:space="0" w:color="FFFFFF"/>
                    <w:bottom w:val="single" w:sz="4" w:space="0" w:color="FFFFFF"/>
                  </w:tcBorders>
                  <w:shd w:val="clear" w:color="auto" w:fill="DBE5F1"/>
                  <w:vAlign w:val="center"/>
                </w:tcPr>
                <w:p w14:paraId="5409AA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0,042</w:t>
                  </w:r>
                </w:p>
              </w:tc>
              <w:tc>
                <w:tcPr>
                  <w:tcW w:w="454" w:type="dxa"/>
                  <w:tcBorders>
                    <w:top w:val="single" w:sz="4" w:space="0" w:color="FFFFFF"/>
                    <w:bottom w:val="single" w:sz="4" w:space="0" w:color="FFFFFF"/>
                  </w:tcBorders>
                  <w:shd w:val="clear" w:color="auto" w:fill="DBE5F1"/>
                  <w:vAlign w:val="center"/>
                </w:tcPr>
                <w:p w14:paraId="11F05F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0,054</w:t>
                  </w:r>
                </w:p>
              </w:tc>
              <w:tc>
                <w:tcPr>
                  <w:tcW w:w="454" w:type="dxa"/>
                  <w:tcBorders>
                    <w:top w:val="single" w:sz="4" w:space="0" w:color="FFFFFF"/>
                    <w:bottom w:val="single" w:sz="4" w:space="0" w:color="FFFFFF"/>
                  </w:tcBorders>
                  <w:shd w:val="clear" w:color="auto" w:fill="DBE5F1"/>
                  <w:vAlign w:val="center"/>
                </w:tcPr>
                <w:p w14:paraId="4D92840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0,075</w:t>
                  </w:r>
                </w:p>
              </w:tc>
              <w:tc>
                <w:tcPr>
                  <w:tcW w:w="454" w:type="dxa"/>
                  <w:tcBorders>
                    <w:top w:val="single" w:sz="4" w:space="0" w:color="FFFFFF"/>
                    <w:bottom w:val="single" w:sz="4" w:space="0" w:color="FFFFFF"/>
                  </w:tcBorders>
                  <w:shd w:val="clear" w:color="auto" w:fill="DBE5F1"/>
                  <w:vAlign w:val="center"/>
                </w:tcPr>
                <w:p w14:paraId="08DFCB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0,112</w:t>
                  </w:r>
                </w:p>
              </w:tc>
              <w:tc>
                <w:tcPr>
                  <w:tcW w:w="454" w:type="dxa"/>
                  <w:tcBorders>
                    <w:top w:val="single" w:sz="4" w:space="0" w:color="FFFFFF"/>
                    <w:bottom w:val="single" w:sz="4" w:space="0" w:color="FFFFFF"/>
                  </w:tcBorders>
                  <w:shd w:val="clear" w:color="auto" w:fill="DBE5F1"/>
                  <w:vAlign w:val="center"/>
                </w:tcPr>
                <w:p w14:paraId="0C992C7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0,062</w:t>
                  </w:r>
                </w:p>
              </w:tc>
              <w:tc>
                <w:tcPr>
                  <w:tcW w:w="454" w:type="dxa"/>
                  <w:tcBorders>
                    <w:top w:val="single" w:sz="4" w:space="0" w:color="FFFFFF"/>
                    <w:bottom w:val="single" w:sz="4" w:space="0" w:color="FFFFFF"/>
                  </w:tcBorders>
                  <w:shd w:val="clear" w:color="auto" w:fill="DBE5F1"/>
                  <w:vAlign w:val="center"/>
                </w:tcPr>
                <w:p w14:paraId="6B4CB52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0,094</w:t>
                  </w:r>
                </w:p>
              </w:tc>
            </w:tr>
            <w:tr w:rsidR="00600DEE" w14:paraId="54E745B9" w14:textId="77777777" w:rsidTr="00E7601A">
              <w:trPr>
                <w:trHeight w:hRule="exact" w:val="284"/>
              </w:trPr>
              <w:tc>
                <w:tcPr>
                  <w:tcW w:w="1360" w:type="dxa"/>
                  <w:tcBorders>
                    <w:top w:val="single" w:sz="4" w:space="0" w:color="FFFFFF"/>
                  </w:tcBorders>
                  <w:shd w:val="clear" w:color="auto" w:fill="DBE5F1"/>
                  <w:vAlign w:val="center"/>
                </w:tcPr>
                <w:p w14:paraId="10AEF9D4" w14:textId="77777777" w:rsidR="00600DEE" w:rsidRDefault="00641FB5">
                  <w:pPr>
                    <w:jc w:val="center"/>
                    <w:rPr>
                      <w:rFonts w:ascii="Calibri" w:eastAsia="Calibri" w:hAnsi="Calibri" w:cs="Calibri"/>
                      <w:color w:val="4F81BD"/>
                      <w:sz w:val="18"/>
                      <w:szCs w:val="18"/>
                    </w:rPr>
                  </w:pPr>
                  <w:proofErr w:type="spellStart"/>
                  <w:r>
                    <w:rPr>
                      <w:rFonts w:ascii="Calibri" w:eastAsia="Calibri" w:hAnsi="Calibri" w:cs="Calibri"/>
                      <w:color w:val="4F81BD"/>
                      <w:sz w:val="18"/>
                      <w:szCs w:val="18"/>
                    </w:rPr>
                    <w:t>above</w:t>
                  </w:r>
                  <w:proofErr w:type="spellEnd"/>
                  <w:r>
                    <w:rPr>
                      <w:rFonts w:ascii="Calibri" w:eastAsia="Calibri" w:hAnsi="Calibri" w:cs="Calibri"/>
                      <w:color w:val="4F81BD"/>
                      <w:sz w:val="18"/>
                      <w:szCs w:val="18"/>
                    </w:rPr>
                    <w:t xml:space="preserve"> 40 000</w:t>
                  </w:r>
                </w:p>
              </w:tc>
              <w:tc>
                <w:tcPr>
                  <w:tcW w:w="454" w:type="dxa"/>
                  <w:tcBorders>
                    <w:top w:val="single" w:sz="4" w:space="0" w:color="FFFFFF"/>
                  </w:tcBorders>
                  <w:shd w:val="clear" w:color="auto" w:fill="DBE5F1"/>
                  <w:vAlign w:val="center"/>
                </w:tcPr>
                <w:p w14:paraId="23B302E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0,040</w:t>
                  </w:r>
                </w:p>
              </w:tc>
              <w:tc>
                <w:tcPr>
                  <w:tcW w:w="454" w:type="dxa"/>
                  <w:tcBorders>
                    <w:top w:val="single" w:sz="4" w:space="0" w:color="FFFFFF"/>
                  </w:tcBorders>
                  <w:shd w:val="clear" w:color="auto" w:fill="DBE5F1"/>
                  <w:vAlign w:val="center"/>
                </w:tcPr>
                <w:p w14:paraId="2583E77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0,050</w:t>
                  </w:r>
                </w:p>
              </w:tc>
              <w:tc>
                <w:tcPr>
                  <w:tcW w:w="454" w:type="dxa"/>
                  <w:tcBorders>
                    <w:top w:val="single" w:sz="4" w:space="0" w:color="FFFFFF"/>
                  </w:tcBorders>
                  <w:shd w:val="clear" w:color="auto" w:fill="DBE5F1"/>
                  <w:vAlign w:val="center"/>
                </w:tcPr>
                <w:p w14:paraId="5053578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0,070</w:t>
                  </w:r>
                </w:p>
              </w:tc>
              <w:tc>
                <w:tcPr>
                  <w:tcW w:w="454" w:type="dxa"/>
                  <w:tcBorders>
                    <w:top w:val="single" w:sz="4" w:space="0" w:color="FFFFFF"/>
                  </w:tcBorders>
                  <w:shd w:val="clear" w:color="auto" w:fill="DBE5F1"/>
                  <w:vAlign w:val="center"/>
                </w:tcPr>
                <w:p w14:paraId="2851E90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0,100</w:t>
                  </w:r>
                </w:p>
              </w:tc>
              <w:tc>
                <w:tcPr>
                  <w:tcW w:w="454" w:type="dxa"/>
                  <w:tcBorders>
                    <w:top w:val="single" w:sz="4" w:space="0" w:color="FFFFFF"/>
                  </w:tcBorders>
                  <w:shd w:val="clear" w:color="auto" w:fill="DBE5F1"/>
                  <w:vAlign w:val="center"/>
                </w:tcPr>
                <w:p w14:paraId="696680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c>
                <w:tcPr>
                  <w:tcW w:w="454" w:type="dxa"/>
                  <w:tcBorders>
                    <w:top w:val="single" w:sz="4" w:space="0" w:color="FFFFFF"/>
                  </w:tcBorders>
                  <w:shd w:val="clear" w:color="auto" w:fill="DBE5F1"/>
                  <w:vAlign w:val="center"/>
                </w:tcPr>
                <w:p w14:paraId="1C4D19E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0,090</w:t>
                  </w:r>
                </w:p>
              </w:tc>
            </w:tr>
          </w:tbl>
          <w:p w14:paraId="476ABAC0"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b/>
                <w:i/>
                <w:sz w:val="16"/>
                <w:szCs w:val="16"/>
              </w:rPr>
              <w:t>Źródło: Opracowanie własne na podstawie metody wskaźników BRD</w:t>
            </w:r>
          </w:p>
          <w:p w14:paraId="648B2AD8" w14:textId="77777777" w:rsidR="00600DEE" w:rsidRDefault="00641FB5">
            <w:pPr>
              <w:pBdr>
                <w:top w:val="nil"/>
                <w:left w:val="nil"/>
                <w:bottom w:val="nil"/>
                <w:right w:val="nil"/>
                <w:between w:val="nil"/>
              </w:pBdr>
              <w:spacing w:before="120" w:after="120"/>
              <w:jc w:val="both"/>
              <w:rPr>
                <w:rFonts w:ascii="Calibri" w:eastAsia="Calibri" w:hAnsi="Calibri" w:cs="Calibri"/>
                <w:color w:val="4F81BD"/>
                <w:sz w:val="20"/>
                <w:szCs w:val="20"/>
              </w:rPr>
            </w:pPr>
            <w:r>
              <w:rPr>
                <w:rFonts w:ascii="Calibri" w:eastAsia="Calibri" w:hAnsi="Calibri" w:cs="Calibri"/>
                <w:b/>
                <w:color w:val="4F81BD"/>
                <w:sz w:val="20"/>
                <w:szCs w:val="20"/>
              </w:rPr>
              <w:t>Tabela 4. Współczynnik lokalizacji drogi f</w:t>
            </w:r>
            <w:r>
              <w:rPr>
                <w:rFonts w:ascii="Calibri" w:eastAsia="Calibri" w:hAnsi="Calibri" w:cs="Calibri"/>
                <w:b/>
                <w:color w:val="4F81BD"/>
                <w:sz w:val="20"/>
                <w:szCs w:val="20"/>
                <w:vertAlign w:val="superscript"/>
              </w:rPr>
              <w:t>(1)</w:t>
            </w:r>
            <w:r>
              <w:rPr>
                <w:rFonts w:ascii="Calibri" w:eastAsia="Calibri" w:hAnsi="Calibri" w:cs="Calibri"/>
                <w:b/>
                <w:color w:val="4F81BD"/>
                <w:sz w:val="20"/>
                <w:szCs w:val="20"/>
                <w:vertAlign w:val="subscript"/>
              </w:rPr>
              <w:t>LDW</w:t>
            </w:r>
            <w:r>
              <w:rPr>
                <w:rFonts w:ascii="Calibri" w:eastAsia="Calibri" w:hAnsi="Calibri" w:cs="Calibri"/>
                <w:b/>
                <w:color w:val="4F81BD"/>
                <w:sz w:val="20"/>
                <w:szCs w:val="20"/>
              </w:rPr>
              <w:t xml:space="preserve"> </w:t>
            </w:r>
            <w:r>
              <w:rPr>
                <w:rFonts w:ascii="Calibri" w:eastAsia="Calibri" w:hAnsi="Calibri" w:cs="Calibri"/>
                <w:color w:val="4F81BD"/>
                <w:sz w:val="20"/>
                <w:szCs w:val="20"/>
              </w:rPr>
              <w:t>(dotyczy tylko</w:t>
            </w:r>
            <w:r>
              <w:rPr>
                <w:rFonts w:ascii="Calibri" w:eastAsia="Calibri" w:hAnsi="Calibri" w:cs="Calibri"/>
                <w:b/>
                <w:color w:val="4F81BD"/>
                <w:sz w:val="20"/>
                <w:szCs w:val="20"/>
              </w:rPr>
              <w:t xml:space="preserve"> </w:t>
            </w:r>
            <w:r>
              <w:rPr>
                <w:rFonts w:ascii="Calibri" w:eastAsia="Calibri" w:hAnsi="Calibri" w:cs="Calibri"/>
                <w:color w:val="4F81BD"/>
                <w:sz w:val="20"/>
                <w:szCs w:val="20"/>
              </w:rPr>
              <w:t>dróg jednojezdniowych)</w:t>
            </w:r>
          </w:p>
          <w:tbl>
            <w:tblPr>
              <w:tblStyle w:val="afffffffffffffff8"/>
              <w:tblW w:w="70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44"/>
              <w:gridCol w:w="1134"/>
              <w:gridCol w:w="1910"/>
              <w:gridCol w:w="1895"/>
            </w:tblGrid>
            <w:tr w:rsidR="00600DEE" w14:paraId="42523C38" w14:textId="77777777" w:rsidTr="00E9546C">
              <w:trPr>
                <w:trHeight w:val="227"/>
              </w:trPr>
              <w:tc>
                <w:tcPr>
                  <w:tcW w:w="2144" w:type="dxa"/>
                  <w:shd w:val="clear" w:color="auto" w:fill="A6A6A6"/>
                  <w:vAlign w:val="center"/>
                </w:tcPr>
                <w:p w14:paraId="49F78B2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Województwo</w:t>
                  </w:r>
                </w:p>
              </w:tc>
              <w:tc>
                <w:tcPr>
                  <w:tcW w:w="1134" w:type="dxa"/>
                  <w:shd w:val="clear" w:color="auto" w:fill="A6A6A6"/>
                  <w:vAlign w:val="center"/>
                </w:tcPr>
                <w:p w14:paraId="38A2BD46" w14:textId="77777777" w:rsidR="00600DEE" w:rsidRDefault="00641FB5">
                  <w:pPr>
                    <w:jc w:val="center"/>
                    <w:rPr>
                      <w:rFonts w:ascii="Calibri" w:eastAsia="Calibri" w:hAnsi="Calibri" w:cs="Calibri"/>
                      <w:b/>
                      <w:color w:val="FFFFFF"/>
                      <w:sz w:val="18"/>
                      <w:szCs w:val="18"/>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c>
                <w:tcPr>
                  <w:tcW w:w="1910" w:type="dxa"/>
                  <w:shd w:val="clear" w:color="auto" w:fill="A6A6A6"/>
                  <w:vAlign w:val="center"/>
                </w:tcPr>
                <w:p w14:paraId="5643F94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Województwo</w:t>
                  </w:r>
                </w:p>
              </w:tc>
              <w:tc>
                <w:tcPr>
                  <w:tcW w:w="1895" w:type="dxa"/>
                  <w:shd w:val="clear" w:color="auto" w:fill="A6A6A6"/>
                  <w:vAlign w:val="center"/>
                </w:tcPr>
                <w:p w14:paraId="08BFD4C5" w14:textId="77777777" w:rsidR="00600DEE" w:rsidRDefault="00641FB5">
                  <w:pPr>
                    <w:jc w:val="center"/>
                    <w:rPr>
                      <w:rFonts w:ascii="Calibri" w:eastAsia="Calibri" w:hAnsi="Calibri" w:cs="Calibri"/>
                      <w:b/>
                      <w:color w:val="FFFFFF"/>
                      <w:sz w:val="18"/>
                      <w:szCs w:val="18"/>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r>
            <w:tr w:rsidR="00600DEE" w14:paraId="5467AC37" w14:textId="77777777" w:rsidTr="00E9546C">
              <w:trPr>
                <w:trHeight w:val="227"/>
              </w:trPr>
              <w:tc>
                <w:tcPr>
                  <w:tcW w:w="2144" w:type="dxa"/>
                  <w:shd w:val="clear" w:color="auto" w:fill="DBE5F1"/>
                  <w:vAlign w:val="center"/>
                </w:tcPr>
                <w:p w14:paraId="67DD021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dolnośląskie</w:t>
                  </w:r>
                </w:p>
              </w:tc>
              <w:tc>
                <w:tcPr>
                  <w:tcW w:w="1134" w:type="dxa"/>
                  <w:shd w:val="clear" w:color="auto" w:fill="DBE5F1"/>
                  <w:vAlign w:val="center"/>
                </w:tcPr>
                <w:p w14:paraId="24A60CB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2,342</w:t>
                  </w:r>
                </w:p>
              </w:tc>
              <w:tc>
                <w:tcPr>
                  <w:tcW w:w="1910" w:type="dxa"/>
                  <w:shd w:val="clear" w:color="auto" w:fill="DBE5F1"/>
                  <w:vAlign w:val="center"/>
                </w:tcPr>
                <w:p w14:paraId="1142929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podkarpackie</w:t>
                  </w:r>
                </w:p>
              </w:tc>
              <w:tc>
                <w:tcPr>
                  <w:tcW w:w="1895" w:type="dxa"/>
                  <w:shd w:val="clear" w:color="auto" w:fill="DBE5F1"/>
                  <w:vAlign w:val="center"/>
                </w:tcPr>
                <w:p w14:paraId="41FE50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0CA2F249" w14:textId="77777777" w:rsidTr="00E9546C">
              <w:trPr>
                <w:trHeight w:val="227"/>
              </w:trPr>
              <w:tc>
                <w:tcPr>
                  <w:tcW w:w="2144" w:type="dxa"/>
                  <w:shd w:val="clear" w:color="auto" w:fill="DBE5F1"/>
                  <w:vAlign w:val="center"/>
                </w:tcPr>
                <w:p w14:paraId="2846AC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kujawsko-pomorskie</w:t>
                  </w:r>
                </w:p>
              </w:tc>
              <w:tc>
                <w:tcPr>
                  <w:tcW w:w="1134" w:type="dxa"/>
                  <w:shd w:val="clear" w:color="auto" w:fill="DBE5F1"/>
                  <w:vAlign w:val="center"/>
                </w:tcPr>
                <w:p w14:paraId="3A59262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1,696</w:t>
                  </w:r>
                </w:p>
              </w:tc>
              <w:tc>
                <w:tcPr>
                  <w:tcW w:w="1910" w:type="dxa"/>
                  <w:shd w:val="clear" w:color="auto" w:fill="DBE5F1"/>
                  <w:vAlign w:val="center"/>
                </w:tcPr>
                <w:p w14:paraId="091990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podlaskie</w:t>
                  </w:r>
                </w:p>
              </w:tc>
              <w:tc>
                <w:tcPr>
                  <w:tcW w:w="1895" w:type="dxa"/>
                  <w:shd w:val="clear" w:color="auto" w:fill="DBE5F1"/>
                  <w:vAlign w:val="center"/>
                </w:tcPr>
                <w:p w14:paraId="34CBE1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1,760</w:t>
                  </w:r>
                </w:p>
              </w:tc>
            </w:tr>
            <w:tr w:rsidR="00600DEE" w14:paraId="17109394" w14:textId="77777777" w:rsidTr="00E9546C">
              <w:trPr>
                <w:trHeight w:val="227"/>
              </w:trPr>
              <w:tc>
                <w:tcPr>
                  <w:tcW w:w="2144" w:type="dxa"/>
                  <w:shd w:val="clear" w:color="auto" w:fill="DBE5F1"/>
                  <w:vAlign w:val="center"/>
                </w:tcPr>
                <w:p w14:paraId="623588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lubelskie</w:t>
                  </w:r>
                </w:p>
              </w:tc>
              <w:tc>
                <w:tcPr>
                  <w:tcW w:w="1134" w:type="dxa"/>
                  <w:shd w:val="clear" w:color="auto" w:fill="DBE5F1"/>
                  <w:vAlign w:val="center"/>
                </w:tcPr>
                <w:p w14:paraId="3AC08AE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2,405</w:t>
                  </w:r>
                </w:p>
              </w:tc>
              <w:tc>
                <w:tcPr>
                  <w:tcW w:w="1910" w:type="dxa"/>
                  <w:shd w:val="clear" w:color="auto" w:fill="DBE5F1"/>
                  <w:vAlign w:val="center"/>
                </w:tcPr>
                <w:p w14:paraId="079CB1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pomorskie</w:t>
                  </w:r>
                </w:p>
              </w:tc>
              <w:tc>
                <w:tcPr>
                  <w:tcW w:w="1895" w:type="dxa"/>
                  <w:shd w:val="clear" w:color="auto" w:fill="DBE5F1"/>
                  <w:vAlign w:val="center"/>
                </w:tcPr>
                <w:p w14:paraId="21460A9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2,317</w:t>
                  </w:r>
                </w:p>
              </w:tc>
            </w:tr>
            <w:tr w:rsidR="00600DEE" w14:paraId="5F8660E5" w14:textId="77777777" w:rsidTr="00E9546C">
              <w:trPr>
                <w:trHeight w:val="227"/>
              </w:trPr>
              <w:tc>
                <w:tcPr>
                  <w:tcW w:w="2144" w:type="dxa"/>
                  <w:shd w:val="clear" w:color="auto" w:fill="DBE5F1"/>
                  <w:vAlign w:val="center"/>
                </w:tcPr>
                <w:p w14:paraId="71FA570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lubuskie</w:t>
                  </w:r>
                </w:p>
              </w:tc>
              <w:tc>
                <w:tcPr>
                  <w:tcW w:w="1134" w:type="dxa"/>
                  <w:shd w:val="clear" w:color="auto" w:fill="DBE5F1"/>
                  <w:vAlign w:val="center"/>
                </w:tcPr>
                <w:p w14:paraId="2BE88AB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1,742</w:t>
                  </w:r>
                </w:p>
              </w:tc>
              <w:tc>
                <w:tcPr>
                  <w:tcW w:w="1910" w:type="dxa"/>
                  <w:shd w:val="clear" w:color="auto" w:fill="DBE5F1"/>
                  <w:vAlign w:val="center"/>
                </w:tcPr>
                <w:p w14:paraId="131E88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śląskie</w:t>
                  </w:r>
                </w:p>
              </w:tc>
              <w:tc>
                <w:tcPr>
                  <w:tcW w:w="1895" w:type="dxa"/>
                  <w:shd w:val="clear" w:color="auto" w:fill="DBE5F1"/>
                  <w:vAlign w:val="center"/>
                </w:tcPr>
                <w:p w14:paraId="1557ACA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2,833</w:t>
                  </w:r>
                </w:p>
              </w:tc>
            </w:tr>
            <w:tr w:rsidR="00600DEE" w14:paraId="6A967187" w14:textId="77777777" w:rsidTr="00E9546C">
              <w:trPr>
                <w:trHeight w:val="227"/>
              </w:trPr>
              <w:tc>
                <w:tcPr>
                  <w:tcW w:w="2144" w:type="dxa"/>
                  <w:shd w:val="clear" w:color="auto" w:fill="DBE5F1"/>
                  <w:vAlign w:val="center"/>
                </w:tcPr>
                <w:p w14:paraId="41402B2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łódzkie</w:t>
                  </w:r>
                </w:p>
              </w:tc>
              <w:tc>
                <w:tcPr>
                  <w:tcW w:w="1134" w:type="dxa"/>
                  <w:shd w:val="clear" w:color="auto" w:fill="DBE5F1"/>
                  <w:vAlign w:val="center"/>
                </w:tcPr>
                <w:p w14:paraId="55C52C1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2,701</w:t>
                  </w:r>
                </w:p>
              </w:tc>
              <w:tc>
                <w:tcPr>
                  <w:tcW w:w="1910" w:type="dxa"/>
                  <w:shd w:val="clear" w:color="auto" w:fill="DBE5F1"/>
                  <w:vAlign w:val="center"/>
                </w:tcPr>
                <w:p w14:paraId="0839914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świętokrzyskie</w:t>
                  </w:r>
                </w:p>
              </w:tc>
              <w:tc>
                <w:tcPr>
                  <w:tcW w:w="1895" w:type="dxa"/>
                  <w:shd w:val="clear" w:color="auto" w:fill="DBE5F1"/>
                  <w:vAlign w:val="center"/>
                </w:tcPr>
                <w:p w14:paraId="238619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2FA0FF68" w14:textId="77777777" w:rsidTr="00E9546C">
              <w:trPr>
                <w:trHeight w:val="227"/>
              </w:trPr>
              <w:tc>
                <w:tcPr>
                  <w:tcW w:w="2144" w:type="dxa"/>
                  <w:shd w:val="clear" w:color="auto" w:fill="DBE5F1"/>
                  <w:vAlign w:val="center"/>
                </w:tcPr>
                <w:p w14:paraId="288E2A4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małopolskie</w:t>
                  </w:r>
                </w:p>
              </w:tc>
              <w:tc>
                <w:tcPr>
                  <w:tcW w:w="1134" w:type="dxa"/>
                  <w:shd w:val="clear" w:color="auto" w:fill="DBE5F1"/>
                  <w:vAlign w:val="center"/>
                </w:tcPr>
                <w:p w14:paraId="70F89E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2,788</w:t>
                  </w:r>
                </w:p>
              </w:tc>
              <w:tc>
                <w:tcPr>
                  <w:tcW w:w="1910" w:type="dxa"/>
                  <w:shd w:val="clear" w:color="auto" w:fill="DBE5F1"/>
                  <w:vAlign w:val="center"/>
                </w:tcPr>
                <w:p w14:paraId="0CDD551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warmińsko-mazurskie</w:t>
                  </w:r>
                </w:p>
              </w:tc>
              <w:tc>
                <w:tcPr>
                  <w:tcW w:w="1895" w:type="dxa"/>
                  <w:shd w:val="clear" w:color="auto" w:fill="DBE5F1"/>
                  <w:vAlign w:val="center"/>
                </w:tcPr>
                <w:p w14:paraId="22158BC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2,617</w:t>
                  </w:r>
                </w:p>
              </w:tc>
            </w:tr>
            <w:tr w:rsidR="00600DEE" w14:paraId="3B17456E" w14:textId="77777777" w:rsidTr="00E9546C">
              <w:trPr>
                <w:trHeight w:val="227"/>
              </w:trPr>
              <w:tc>
                <w:tcPr>
                  <w:tcW w:w="2144" w:type="dxa"/>
                  <w:shd w:val="clear" w:color="auto" w:fill="DBE5F1"/>
                  <w:vAlign w:val="center"/>
                </w:tcPr>
                <w:p w14:paraId="4E72FA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mazowieckie</w:t>
                  </w:r>
                </w:p>
              </w:tc>
              <w:tc>
                <w:tcPr>
                  <w:tcW w:w="1134" w:type="dxa"/>
                  <w:shd w:val="clear" w:color="auto" w:fill="DBE5F1"/>
                  <w:vAlign w:val="center"/>
                </w:tcPr>
                <w:p w14:paraId="2C0658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2,096</w:t>
                  </w:r>
                </w:p>
              </w:tc>
              <w:tc>
                <w:tcPr>
                  <w:tcW w:w="1910" w:type="dxa"/>
                  <w:shd w:val="clear" w:color="auto" w:fill="DBE5F1"/>
                  <w:vAlign w:val="center"/>
                </w:tcPr>
                <w:p w14:paraId="0A8A31B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wielkopolskie</w:t>
                  </w:r>
                </w:p>
              </w:tc>
              <w:tc>
                <w:tcPr>
                  <w:tcW w:w="1895" w:type="dxa"/>
                  <w:shd w:val="clear" w:color="auto" w:fill="DBE5F1"/>
                  <w:vAlign w:val="center"/>
                </w:tcPr>
                <w:p w14:paraId="72A18FD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1,936</w:t>
                  </w:r>
                </w:p>
              </w:tc>
            </w:tr>
            <w:tr w:rsidR="00600DEE" w14:paraId="2E53138D" w14:textId="77777777" w:rsidTr="00E9546C">
              <w:trPr>
                <w:trHeight w:val="227"/>
              </w:trPr>
              <w:tc>
                <w:tcPr>
                  <w:tcW w:w="2144" w:type="dxa"/>
                  <w:shd w:val="clear" w:color="auto" w:fill="DBE5F1"/>
                  <w:vAlign w:val="center"/>
                </w:tcPr>
                <w:p w14:paraId="06CF543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opolskie</w:t>
                  </w:r>
                </w:p>
              </w:tc>
              <w:tc>
                <w:tcPr>
                  <w:tcW w:w="1134" w:type="dxa"/>
                  <w:shd w:val="clear" w:color="auto" w:fill="DBE5F1"/>
                  <w:vAlign w:val="center"/>
                </w:tcPr>
                <w:p w14:paraId="5ADEB8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2,063</w:t>
                  </w:r>
                </w:p>
              </w:tc>
              <w:tc>
                <w:tcPr>
                  <w:tcW w:w="1910" w:type="dxa"/>
                  <w:shd w:val="clear" w:color="auto" w:fill="DBE5F1"/>
                  <w:vAlign w:val="center"/>
                </w:tcPr>
                <w:p w14:paraId="2D4E07F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zachodniopomorskie</w:t>
                  </w:r>
                </w:p>
              </w:tc>
              <w:tc>
                <w:tcPr>
                  <w:tcW w:w="1895" w:type="dxa"/>
                  <w:shd w:val="clear" w:color="auto" w:fill="DBE5F1"/>
                  <w:vAlign w:val="center"/>
                </w:tcPr>
                <w:p w14:paraId="2593B35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1,886</w:t>
                  </w:r>
                </w:p>
              </w:tc>
            </w:tr>
          </w:tbl>
          <w:p w14:paraId="4421DBFE"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b/>
                <w:i/>
                <w:sz w:val="16"/>
                <w:szCs w:val="16"/>
              </w:rPr>
              <w:t>Źródło: Metoda wskaźników BRD</w:t>
            </w:r>
            <w:r>
              <w:rPr>
                <w:rFonts w:ascii="Calibri" w:eastAsia="Calibri" w:hAnsi="Calibri" w:cs="Calibri"/>
                <w:sz w:val="20"/>
                <w:szCs w:val="20"/>
              </w:rPr>
              <w:t xml:space="preserve"> </w:t>
            </w:r>
          </w:p>
          <w:p w14:paraId="62017BF5" w14:textId="6EC65499"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lastRenderedPageBreak/>
              <w:t>W przypadku, jeśli inwestycja nie obejmuje budowy/przebu</w:t>
            </w:r>
            <w:r w:rsidR="00B57CEF">
              <w:rPr>
                <w:rFonts w:ascii="Calibri" w:eastAsia="Calibri" w:hAnsi="Calibri" w:cs="Calibri"/>
                <w:sz w:val="20"/>
                <w:szCs w:val="20"/>
              </w:rPr>
              <w:t xml:space="preserve">dowy drogi jednojezdniowej, to </w:t>
            </w:r>
            <w:r>
              <w:rPr>
                <w:rFonts w:ascii="Calibri" w:eastAsia="Calibri" w:hAnsi="Calibri" w:cs="Calibri"/>
                <w:sz w:val="20"/>
                <w:szCs w:val="20"/>
              </w:rPr>
              <w:t>dla celów obliczeń sieciowych można zastosować u</w:t>
            </w:r>
            <w:r w:rsidR="00B57CEF">
              <w:rPr>
                <w:rFonts w:ascii="Calibri" w:eastAsia="Calibri" w:hAnsi="Calibri" w:cs="Calibri"/>
                <w:sz w:val="20"/>
                <w:szCs w:val="20"/>
              </w:rPr>
              <w:t>średnioną wartość współczynnika</w:t>
            </w:r>
            <w:r>
              <w:rPr>
                <w:rFonts w:ascii="Calibri" w:eastAsia="Calibri" w:hAnsi="Calibri" w:cs="Calibri"/>
                <w:sz w:val="20"/>
                <w:szCs w:val="20"/>
              </w:rPr>
              <w:t xml:space="preserve"> </w:t>
            </w:r>
            <w:r>
              <w:rPr>
                <w:rFonts w:ascii="Calibri" w:eastAsia="Calibri" w:hAnsi="Calibri" w:cs="Calibri"/>
                <w:b/>
                <w:i/>
                <w:sz w:val="20"/>
                <w:szCs w:val="20"/>
              </w:rPr>
              <w:t>f</w:t>
            </w:r>
            <w:r>
              <w:rPr>
                <w:rFonts w:ascii="Calibri" w:eastAsia="Calibri" w:hAnsi="Calibri" w:cs="Calibri"/>
                <w:b/>
                <w:i/>
                <w:sz w:val="20"/>
                <w:szCs w:val="20"/>
                <w:vertAlign w:val="superscript"/>
              </w:rPr>
              <w:t>(1)</w:t>
            </w:r>
            <w:r>
              <w:rPr>
                <w:rFonts w:ascii="Calibri" w:eastAsia="Calibri" w:hAnsi="Calibri" w:cs="Calibri"/>
                <w:b/>
                <w:i/>
                <w:sz w:val="20"/>
                <w:szCs w:val="20"/>
                <w:vertAlign w:val="subscript"/>
              </w:rPr>
              <w:t xml:space="preserve">LDW </w:t>
            </w:r>
            <w:r>
              <w:rPr>
                <w:rFonts w:ascii="Calibri" w:eastAsia="Calibri" w:hAnsi="Calibri" w:cs="Calibri"/>
                <w:b/>
                <w:sz w:val="20"/>
                <w:szCs w:val="20"/>
              </w:rPr>
              <w:t>= 2,253</w:t>
            </w:r>
            <w:r>
              <w:rPr>
                <w:rFonts w:ascii="Calibri" w:eastAsia="Calibri" w:hAnsi="Calibri" w:cs="Calibri"/>
                <w:b/>
              </w:rPr>
              <w:t xml:space="preserve"> </w:t>
            </w:r>
            <w:r>
              <w:rPr>
                <w:rFonts w:ascii="Calibri" w:eastAsia="Calibri" w:hAnsi="Calibri" w:cs="Calibri"/>
              </w:rPr>
              <w:t>i</w:t>
            </w:r>
            <w:r>
              <w:rPr>
                <w:rFonts w:ascii="Calibri" w:eastAsia="Calibri" w:hAnsi="Calibri" w:cs="Calibri"/>
                <w:b/>
              </w:rPr>
              <w:t> </w:t>
            </w:r>
            <w:r>
              <w:rPr>
                <w:rFonts w:ascii="Calibri" w:eastAsia="Calibri" w:hAnsi="Calibri" w:cs="Calibri"/>
                <w:sz w:val="20"/>
                <w:szCs w:val="20"/>
              </w:rPr>
              <w:t>przyjąć wartości wskaźnika RAI dla dróg jednojezdniowych zgodnie z poniższą tabelą.</w:t>
            </w:r>
          </w:p>
          <w:p w14:paraId="6DFD5A4A" w14:textId="33CA9A8B"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 xml:space="preserve">Tabela 5. Wskaźnik RAI dla ciągów drogowych jednojezdniowych z uwzględnieniem średniego </w:t>
            </w:r>
            <w:r>
              <w:rPr>
                <w:rFonts w:ascii="Calibri" w:eastAsia="Calibri" w:hAnsi="Calibri" w:cs="Calibri"/>
                <w:b/>
                <w:color w:val="4F81BD"/>
              </w:rPr>
              <w:t>f</w:t>
            </w:r>
            <w:r>
              <w:rPr>
                <w:rFonts w:ascii="Calibri" w:eastAsia="Calibri" w:hAnsi="Calibri" w:cs="Calibri"/>
                <w:b/>
                <w:color w:val="4F81BD"/>
                <w:vertAlign w:val="superscript"/>
              </w:rPr>
              <w:t>(1)</w:t>
            </w:r>
            <w:r>
              <w:rPr>
                <w:rFonts w:ascii="Calibri" w:eastAsia="Calibri" w:hAnsi="Calibri" w:cs="Calibri"/>
                <w:b/>
                <w:color w:val="4F81BD"/>
                <w:vertAlign w:val="subscript"/>
              </w:rPr>
              <w:t xml:space="preserve">LDW </w:t>
            </w:r>
            <w:r>
              <w:rPr>
                <w:rFonts w:ascii="Calibri" w:eastAsia="Calibri" w:hAnsi="Calibri" w:cs="Calibri"/>
                <w:b/>
                <w:color w:val="4F81BD"/>
                <w:sz w:val="20"/>
                <w:szCs w:val="20"/>
              </w:rPr>
              <w:t xml:space="preserve"> (wypadki / 10</w:t>
            </w:r>
            <w:r>
              <w:rPr>
                <w:rFonts w:ascii="Calibri" w:eastAsia="Calibri" w:hAnsi="Calibri" w:cs="Calibri"/>
                <w:b/>
                <w:color w:val="4F81BD"/>
                <w:sz w:val="20"/>
                <w:szCs w:val="20"/>
                <w:vertAlign w:val="superscript"/>
              </w:rPr>
              <w:t>6</w:t>
            </w:r>
            <w:r>
              <w:rPr>
                <w:rFonts w:ascii="Calibri" w:eastAsia="Calibri" w:hAnsi="Calibri" w:cs="Calibri"/>
                <w:b/>
                <w:color w:val="4F81BD"/>
                <w:sz w:val="20"/>
                <w:szCs w:val="20"/>
              </w:rPr>
              <w:t xml:space="preserve"> </w:t>
            </w:r>
            <w:proofErr w:type="spellStart"/>
            <w:r>
              <w:rPr>
                <w:rFonts w:ascii="Calibri" w:eastAsia="Calibri" w:hAnsi="Calibri" w:cs="Calibri"/>
                <w:b/>
                <w:color w:val="4F81BD"/>
                <w:sz w:val="20"/>
                <w:szCs w:val="20"/>
              </w:rPr>
              <w:t>poj</w:t>
            </w:r>
            <w:proofErr w:type="spellEnd"/>
            <w:r>
              <w:rPr>
                <w:rFonts w:ascii="Calibri" w:eastAsia="Calibri" w:hAnsi="Calibri" w:cs="Calibri"/>
                <w:b/>
                <w:color w:val="4F81BD"/>
                <w:sz w:val="20"/>
                <w:szCs w:val="20"/>
              </w:rPr>
              <w:t xml:space="preserve">-km/dobę) </w:t>
            </w:r>
          </w:p>
          <w:tbl>
            <w:tblPr>
              <w:tblStyle w:val="afffffffffffffff9"/>
              <w:tblW w:w="7078" w:type="dxa"/>
              <w:tblLayout w:type="fixed"/>
              <w:tblLook w:val="0400" w:firstRow="0" w:lastRow="0" w:firstColumn="0" w:lastColumn="0" w:noHBand="0" w:noVBand="1"/>
            </w:tblPr>
            <w:tblGrid>
              <w:gridCol w:w="2020"/>
              <w:gridCol w:w="843"/>
              <w:gridCol w:w="843"/>
              <w:gridCol w:w="843"/>
              <w:gridCol w:w="843"/>
              <w:gridCol w:w="843"/>
              <w:gridCol w:w="843"/>
            </w:tblGrid>
            <w:tr w:rsidR="00600DEE" w14:paraId="3573CA0F" w14:textId="77777777" w:rsidTr="001147E5">
              <w:trPr>
                <w:trHeight w:hRule="exact" w:val="340"/>
              </w:trPr>
              <w:tc>
                <w:tcPr>
                  <w:tcW w:w="1360"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B7DC57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RAI(LDW)/ SDR</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130E28F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145B24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S1x2z</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09D4B93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40D14226"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36E3923C"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36DC6E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G1x2z</w:t>
                  </w:r>
                </w:p>
              </w:tc>
            </w:tr>
            <w:tr w:rsidR="00600DEE" w14:paraId="1CEC1FFB"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361B61E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0 - 5 000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38723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265C30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4F83F5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2A18A0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A38EE3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518366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0,336</w:t>
                  </w:r>
                </w:p>
              </w:tc>
            </w:tr>
            <w:tr w:rsidR="00600DEE" w14:paraId="0672D3C8"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29939EC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5000 - 10 000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F3DF8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783796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9D483E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8D55D4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C6872B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E04BA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0,282</w:t>
                  </w:r>
                </w:p>
              </w:tc>
            </w:tr>
            <w:tr w:rsidR="00600DEE" w14:paraId="55935C34"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7E3363F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10 000 - 20 000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48FD3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CC1FE0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93BC8C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5918F8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C3BC16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B76547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0,250</w:t>
                  </w:r>
                </w:p>
              </w:tc>
            </w:tr>
            <w:tr w:rsidR="00600DEE" w14:paraId="212FE1D4"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114524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20000 - 30 000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48B05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4714A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93B1B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BACF0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48BB9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F63C2A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0,228</w:t>
                  </w:r>
                </w:p>
              </w:tc>
            </w:tr>
            <w:tr w:rsidR="00600DEE" w14:paraId="590BD743"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44F755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30000 - 40 000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F919D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0535E5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956DD3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472387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CECF5C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99D0D1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0,212</w:t>
                  </w:r>
                </w:p>
              </w:tc>
            </w:tr>
            <w:tr w:rsidR="00600DEE" w14:paraId="1F8FAE0B" w14:textId="77777777" w:rsidTr="001147E5">
              <w:trPr>
                <w:trHeight w:hRule="exact" w:val="340"/>
              </w:trPr>
              <w:tc>
                <w:tcPr>
                  <w:tcW w:w="1360" w:type="dxa"/>
                  <w:tcBorders>
                    <w:top w:val="single" w:sz="4" w:space="0" w:color="FFFFFF"/>
                    <w:left w:val="single" w:sz="8" w:space="0" w:color="FFFFFF"/>
                    <w:bottom w:val="single" w:sz="8" w:space="0" w:color="FFFFFF"/>
                    <w:right w:val="nil"/>
                  </w:tcBorders>
                  <w:shd w:val="clear" w:color="auto" w:fill="DBE5F1"/>
                  <w:vAlign w:val="center"/>
                </w:tcPr>
                <w:p w14:paraId="364E101D" w14:textId="77777777" w:rsidR="00600DEE" w:rsidRDefault="00641FB5">
                  <w:pPr>
                    <w:jc w:val="center"/>
                    <w:rPr>
                      <w:rFonts w:ascii="Calibri" w:eastAsia="Calibri" w:hAnsi="Calibri" w:cs="Calibri"/>
                      <w:color w:val="4F81BD"/>
                      <w:sz w:val="18"/>
                      <w:szCs w:val="18"/>
                    </w:rPr>
                  </w:pPr>
                  <w:proofErr w:type="spellStart"/>
                  <w:r>
                    <w:rPr>
                      <w:rFonts w:ascii="Calibri" w:eastAsia="Calibri" w:hAnsi="Calibri" w:cs="Calibri"/>
                      <w:color w:val="4F81BD"/>
                      <w:sz w:val="18"/>
                      <w:szCs w:val="18"/>
                    </w:rPr>
                    <w:t>above</w:t>
                  </w:r>
                  <w:proofErr w:type="spellEnd"/>
                  <w:r>
                    <w:rPr>
                      <w:rFonts w:ascii="Calibri" w:eastAsia="Calibri" w:hAnsi="Calibri" w:cs="Calibri"/>
                      <w:color w:val="4F81BD"/>
                      <w:sz w:val="18"/>
                      <w:szCs w:val="18"/>
                    </w:rPr>
                    <w:t xml:space="preserve"> 40 000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6BCCFC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1F2594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957F56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0,158</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7E6E268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62C875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F4A46E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0,203</w:t>
                  </w:r>
                </w:p>
              </w:tc>
            </w:tr>
          </w:tbl>
          <w:p w14:paraId="66149B7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b/>
                <w:i/>
                <w:sz w:val="16"/>
                <w:szCs w:val="16"/>
              </w:rPr>
              <w:t>Źródło: Opracowanie własne na podstawie metody wskaźników BRD</w:t>
            </w:r>
          </w:p>
          <w:p w14:paraId="3F9CD1F0"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 xml:space="preserve">Liczba poszkodowanych w wypadku </w:t>
            </w:r>
          </w:p>
          <w:p w14:paraId="7E2EB661"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Tabele ze wskaźnikami WR, WCR oraz WZ dla poszczególnych kategorii dróg, zawierają wskaźniki dotyczące średniej liczby osób poszkodowanych w 1 wypadku (rannych, ciężko rannych oraz ofiar śmiertelnych), wyliczone dla sieci dróg krajowych na podstawie danych o sieci i wypadkach z lat 2011 – 2013. Na ich podstawie można obliczać liczbę rannych (LR), ciężko rannych (LCR) oraz ofiar śmiertelnych (LZ), przemnażając przez liczbę wypadków dla danej kategorii drogi.</w:t>
            </w:r>
          </w:p>
          <w:p w14:paraId="6117B168"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W celu określenia liczby lekko rannych (LLR), należy obliczyć różnicę: LR-LCR. </w:t>
            </w:r>
          </w:p>
          <w:p w14:paraId="64FDBA8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Tabele 6,7 zawierają wartości wskaźników dotkliwości wypadków wyliczone dla dróg krajowych, natomiast tabela 8 dotyczy dróg wojewódzkich, powiatowych i gminnych.</w:t>
            </w:r>
          </w:p>
          <w:p w14:paraId="74E9750D" w14:textId="77777777" w:rsidR="00600DEE" w:rsidRDefault="00600DEE">
            <w:pPr>
              <w:spacing w:before="120" w:after="120"/>
              <w:jc w:val="both"/>
              <w:rPr>
                <w:rFonts w:ascii="Calibri" w:eastAsia="Calibri" w:hAnsi="Calibri" w:cs="Calibri"/>
                <w:sz w:val="20"/>
                <w:szCs w:val="20"/>
              </w:rPr>
            </w:pPr>
          </w:p>
          <w:p w14:paraId="3B3C73C7" w14:textId="77777777" w:rsidR="00600DEE" w:rsidRDefault="00600DEE">
            <w:pPr>
              <w:spacing w:before="120" w:after="120"/>
              <w:jc w:val="both"/>
              <w:rPr>
                <w:rFonts w:ascii="Calibri" w:eastAsia="Calibri" w:hAnsi="Calibri" w:cs="Calibri"/>
                <w:sz w:val="20"/>
                <w:szCs w:val="20"/>
              </w:rPr>
            </w:pPr>
          </w:p>
          <w:p w14:paraId="19325D1B" w14:textId="77777777" w:rsidR="00600DEE" w:rsidRDefault="00600DEE">
            <w:pPr>
              <w:spacing w:before="120" w:after="120"/>
              <w:jc w:val="both"/>
              <w:rPr>
                <w:rFonts w:ascii="Calibri" w:eastAsia="Calibri" w:hAnsi="Calibri" w:cs="Calibri"/>
                <w:sz w:val="20"/>
                <w:szCs w:val="20"/>
              </w:rPr>
            </w:pPr>
          </w:p>
          <w:p w14:paraId="3C2A970C" w14:textId="62A7E53D" w:rsidR="00600DEE" w:rsidRDefault="00600DEE">
            <w:pPr>
              <w:spacing w:before="120" w:after="120"/>
              <w:jc w:val="both"/>
              <w:rPr>
                <w:rFonts w:ascii="Calibri" w:eastAsia="Calibri" w:hAnsi="Calibri" w:cs="Calibri"/>
                <w:sz w:val="20"/>
                <w:szCs w:val="20"/>
              </w:rPr>
            </w:pPr>
          </w:p>
          <w:p w14:paraId="5E1245C7" w14:textId="77777777" w:rsidR="00B57CEF" w:rsidRDefault="00B57CEF">
            <w:pPr>
              <w:spacing w:before="120" w:after="120"/>
              <w:jc w:val="both"/>
              <w:rPr>
                <w:rFonts w:ascii="Calibri" w:eastAsia="Calibri" w:hAnsi="Calibri" w:cs="Calibri"/>
                <w:sz w:val="20"/>
                <w:szCs w:val="20"/>
              </w:rPr>
            </w:pPr>
          </w:p>
          <w:p w14:paraId="48F170B7" w14:textId="3BFD3E47"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lastRenderedPageBreak/>
              <w:t>Tabela 6. Wskaźniki dotkliwości wypadków dla ciągów drogowych dwujezdniowych (liczba osób / wypadek)</w:t>
            </w:r>
          </w:p>
          <w:tbl>
            <w:tblPr>
              <w:tblStyle w:val="afffffffffffffffa"/>
              <w:tblW w:w="7220" w:type="dxa"/>
              <w:tblLayout w:type="fixed"/>
              <w:tblLook w:val="0400" w:firstRow="0" w:lastRow="0" w:firstColumn="0" w:lastColumn="0" w:noHBand="0" w:noVBand="1"/>
            </w:tblPr>
            <w:tblGrid>
              <w:gridCol w:w="557"/>
              <w:gridCol w:w="709"/>
              <w:gridCol w:w="709"/>
              <w:gridCol w:w="709"/>
              <w:gridCol w:w="708"/>
              <w:gridCol w:w="709"/>
              <w:gridCol w:w="709"/>
              <w:gridCol w:w="850"/>
              <w:gridCol w:w="709"/>
              <w:gridCol w:w="851"/>
            </w:tblGrid>
            <w:tr w:rsidR="00600DEE" w14:paraId="505033B9" w14:textId="77777777">
              <w:trPr>
                <w:trHeight w:val="315"/>
              </w:trPr>
              <w:tc>
                <w:tcPr>
                  <w:tcW w:w="557" w:type="dxa"/>
                  <w:tcBorders>
                    <w:top w:val="single" w:sz="8" w:space="0" w:color="FFFFFF"/>
                    <w:left w:val="single" w:sz="8" w:space="0" w:color="FFFFFF"/>
                    <w:bottom w:val="nil"/>
                    <w:right w:val="nil"/>
                  </w:tcBorders>
                  <w:shd w:val="clear" w:color="auto" w:fill="A6A6A6"/>
                  <w:vAlign w:val="center"/>
                </w:tcPr>
                <w:p w14:paraId="717DEFA6" w14:textId="77777777" w:rsidR="00600DEE" w:rsidRDefault="00600DEE">
                  <w:pPr>
                    <w:jc w:val="center"/>
                    <w:rPr>
                      <w:rFonts w:ascii="Calibri" w:eastAsia="Calibri" w:hAnsi="Calibri" w:cs="Calibri"/>
                      <w:b/>
                      <w:color w:val="FFFFFF"/>
                      <w:sz w:val="16"/>
                      <w:szCs w:val="16"/>
                    </w:rPr>
                  </w:pPr>
                </w:p>
              </w:tc>
              <w:tc>
                <w:tcPr>
                  <w:tcW w:w="709" w:type="dxa"/>
                  <w:tcBorders>
                    <w:top w:val="single" w:sz="8" w:space="0" w:color="FFFFFF"/>
                    <w:left w:val="nil"/>
                    <w:bottom w:val="nil"/>
                    <w:right w:val="nil"/>
                  </w:tcBorders>
                  <w:shd w:val="clear" w:color="auto" w:fill="A6A6A6"/>
                  <w:vAlign w:val="center"/>
                </w:tcPr>
                <w:p w14:paraId="075FA4FA"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A2x2</w:t>
                  </w:r>
                </w:p>
              </w:tc>
              <w:tc>
                <w:tcPr>
                  <w:tcW w:w="709"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7B48AD0F"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A2x3</w:t>
                  </w:r>
                </w:p>
              </w:tc>
              <w:tc>
                <w:tcPr>
                  <w:tcW w:w="709" w:type="dxa"/>
                  <w:tcBorders>
                    <w:top w:val="single" w:sz="8" w:space="0" w:color="FFFFFF"/>
                    <w:left w:val="nil"/>
                    <w:bottom w:val="single" w:sz="8" w:space="0" w:color="FFFFFF"/>
                    <w:right w:val="nil"/>
                  </w:tcBorders>
                  <w:shd w:val="clear" w:color="auto" w:fill="A6A6A6"/>
                  <w:vAlign w:val="center"/>
                </w:tcPr>
                <w:p w14:paraId="2E241907"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S2+1</w:t>
                  </w:r>
                </w:p>
              </w:tc>
              <w:tc>
                <w:tcPr>
                  <w:tcW w:w="708"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39E0EFB2"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S2x2</w:t>
                  </w:r>
                </w:p>
              </w:tc>
              <w:tc>
                <w:tcPr>
                  <w:tcW w:w="709" w:type="dxa"/>
                  <w:tcBorders>
                    <w:top w:val="single" w:sz="8" w:space="0" w:color="FFFFFF"/>
                    <w:left w:val="nil"/>
                    <w:bottom w:val="single" w:sz="8" w:space="0" w:color="FFFFFF"/>
                    <w:right w:val="single" w:sz="8" w:space="0" w:color="FFFFFF"/>
                  </w:tcBorders>
                  <w:shd w:val="clear" w:color="auto" w:fill="A6A6A6"/>
                  <w:vAlign w:val="center"/>
                </w:tcPr>
                <w:p w14:paraId="05584474"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S2x3</w:t>
                  </w:r>
                </w:p>
              </w:tc>
              <w:tc>
                <w:tcPr>
                  <w:tcW w:w="709" w:type="dxa"/>
                  <w:tcBorders>
                    <w:top w:val="single" w:sz="8" w:space="0" w:color="FFFFFF"/>
                    <w:left w:val="nil"/>
                    <w:bottom w:val="single" w:sz="8" w:space="0" w:color="FFFFFF"/>
                    <w:right w:val="single" w:sz="8" w:space="0" w:color="FFFFFF"/>
                  </w:tcBorders>
                  <w:shd w:val="clear" w:color="auto" w:fill="A6A6A6"/>
                  <w:vAlign w:val="center"/>
                </w:tcPr>
                <w:p w14:paraId="2646BFE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GP2x2n</w:t>
                  </w:r>
                </w:p>
              </w:tc>
              <w:tc>
                <w:tcPr>
                  <w:tcW w:w="850" w:type="dxa"/>
                  <w:tcBorders>
                    <w:top w:val="single" w:sz="8" w:space="0" w:color="FFFFFF"/>
                    <w:left w:val="nil"/>
                    <w:bottom w:val="single" w:sz="8" w:space="0" w:color="FFFFFF"/>
                    <w:right w:val="nil"/>
                  </w:tcBorders>
                  <w:shd w:val="clear" w:color="auto" w:fill="A6A6A6"/>
                  <w:vAlign w:val="center"/>
                </w:tcPr>
                <w:p w14:paraId="033BD4E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GP2x2z</w:t>
                  </w:r>
                </w:p>
              </w:tc>
              <w:tc>
                <w:tcPr>
                  <w:tcW w:w="709"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2962BA2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GP2x3n</w:t>
                  </w:r>
                </w:p>
              </w:tc>
              <w:tc>
                <w:tcPr>
                  <w:tcW w:w="851" w:type="dxa"/>
                  <w:tcBorders>
                    <w:top w:val="single" w:sz="8" w:space="0" w:color="FFFFFF"/>
                    <w:left w:val="nil"/>
                    <w:bottom w:val="single" w:sz="8" w:space="0" w:color="FFFFFF"/>
                    <w:right w:val="single" w:sz="8" w:space="0" w:color="FFFFFF"/>
                  </w:tcBorders>
                  <w:shd w:val="clear" w:color="auto" w:fill="A6A6A6"/>
                  <w:vAlign w:val="center"/>
                </w:tcPr>
                <w:p w14:paraId="4B8BE154"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GP2x3z</w:t>
                  </w:r>
                </w:p>
              </w:tc>
            </w:tr>
            <w:tr w:rsidR="00600DEE" w14:paraId="2C739258" w14:textId="77777777">
              <w:trPr>
                <w:trHeight w:val="315"/>
              </w:trPr>
              <w:tc>
                <w:tcPr>
                  <w:tcW w:w="557" w:type="dxa"/>
                  <w:tcBorders>
                    <w:top w:val="single" w:sz="8" w:space="0" w:color="FFFFFF"/>
                    <w:left w:val="single" w:sz="8" w:space="0" w:color="FFFFFF"/>
                    <w:bottom w:val="nil"/>
                    <w:right w:val="nil"/>
                  </w:tcBorders>
                  <w:shd w:val="clear" w:color="auto" w:fill="A6A6A6"/>
                  <w:vAlign w:val="center"/>
                </w:tcPr>
                <w:p w14:paraId="2FDD22BD"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WR</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518A810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1,531</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4984D79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1,537</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0850755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2,032</w:t>
                  </w:r>
                </w:p>
              </w:tc>
              <w:tc>
                <w:tcPr>
                  <w:tcW w:w="708" w:type="dxa"/>
                  <w:tcBorders>
                    <w:top w:val="single" w:sz="8" w:space="0" w:color="FFFFFF"/>
                    <w:left w:val="single" w:sz="8" w:space="0" w:color="FFFFFF"/>
                    <w:bottom w:val="single" w:sz="8" w:space="0" w:color="FFFFFF"/>
                    <w:right w:val="nil"/>
                  </w:tcBorders>
                  <w:shd w:val="clear" w:color="auto" w:fill="DBE5F1"/>
                  <w:vAlign w:val="center"/>
                </w:tcPr>
                <w:p w14:paraId="11B2FD4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1,332</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1AAC334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1,333</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5B376555"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1,343</w:t>
                  </w:r>
                </w:p>
              </w:tc>
              <w:tc>
                <w:tcPr>
                  <w:tcW w:w="850" w:type="dxa"/>
                  <w:tcBorders>
                    <w:top w:val="single" w:sz="8" w:space="0" w:color="FFFFFF"/>
                    <w:left w:val="single" w:sz="8" w:space="0" w:color="FFFFFF"/>
                    <w:bottom w:val="single" w:sz="8" w:space="0" w:color="FFFFFF"/>
                    <w:right w:val="nil"/>
                  </w:tcBorders>
                  <w:shd w:val="clear" w:color="auto" w:fill="DBE5F1"/>
                  <w:vAlign w:val="center"/>
                </w:tcPr>
                <w:p w14:paraId="77375F7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1,311</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22566685"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1,390</w:t>
                  </w:r>
                </w:p>
              </w:tc>
              <w:tc>
                <w:tcPr>
                  <w:tcW w:w="851" w:type="dxa"/>
                  <w:tcBorders>
                    <w:top w:val="single" w:sz="8" w:space="0" w:color="FFFFFF"/>
                    <w:left w:val="single" w:sz="8" w:space="0" w:color="FFFFFF"/>
                    <w:bottom w:val="single" w:sz="8" w:space="0" w:color="FFFFFF"/>
                    <w:right w:val="nil"/>
                  </w:tcBorders>
                  <w:shd w:val="clear" w:color="auto" w:fill="DBE5F1"/>
                  <w:vAlign w:val="center"/>
                </w:tcPr>
                <w:p w14:paraId="67A7D3C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1,227</w:t>
                  </w:r>
                </w:p>
              </w:tc>
            </w:tr>
            <w:tr w:rsidR="00600DEE" w14:paraId="7D50C6BE" w14:textId="77777777">
              <w:trPr>
                <w:trHeight w:val="315"/>
              </w:trPr>
              <w:tc>
                <w:tcPr>
                  <w:tcW w:w="557" w:type="dxa"/>
                  <w:tcBorders>
                    <w:top w:val="single" w:sz="8" w:space="0" w:color="FFFFFF"/>
                    <w:left w:val="single" w:sz="8" w:space="0" w:color="FFFFFF"/>
                    <w:bottom w:val="nil"/>
                    <w:right w:val="nil"/>
                  </w:tcBorders>
                  <w:shd w:val="clear" w:color="auto" w:fill="A6A6A6"/>
                  <w:vAlign w:val="center"/>
                </w:tcPr>
                <w:p w14:paraId="68C1FDC7"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WCR</w:t>
                  </w:r>
                </w:p>
              </w:tc>
              <w:tc>
                <w:tcPr>
                  <w:tcW w:w="709" w:type="dxa"/>
                  <w:tcBorders>
                    <w:top w:val="nil"/>
                    <w:left w:val="single" w:sz="8" w:space="0" w:color="FFFFFF"/>
                    <w:bottom w:val="single" w:sz="8" w:space="0" w:color="FFFFFF"/>
                    <w:right w:val="nil"/>
                  </w:tcBorders>
                  <w:shd w:val="clear" w:color="auto" w:fill="DBE5F1"/>
                  <w:vAlign w:val="center"/>
                </w:tcPr>
                <w:p w14:paraId="7531A3E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0,321</w:t>
                  </w:r>
                </w:p>
              </w:tc>
              <w:tc>
                <w:tcPr>
                  <w:tcW w:w="709" w:type="dxa"/>
                  <w:tcBorders>
                    <w:top w:val="nil"/>
                    <w:left w:val="single" w:sz="8" w:space="0" w:color="FFFFFF"/>
                    <w:bottom w:val="single" w:sz="8" w:space="0" w:color="FFFFFF"/>
                    <w:right w:val="nil"/>
                  </w:tcBorders>
                  <w:shd w:val="clear" w:color="auto" w:fill="DBE5F1"/>
                  <w:vAlign w:val="center"/>
                </w:tcPr>
                <w:p w14:paraId="0C69518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0,268</w:t>
                  </w:r>
                </w:p>
              </w:tc>
              <w:tc>
                <w:tcPr>
                  <w:tcW w:w="709" w:type="dxa"/>
                  <w:tcBorders>
                    <w:top w:val="nil"/>
                    <w:left w:val="single" w:sz="8" w:space="0" w:color="FFFFFF"/>
                    <w:bottom w:val="single" w:sz="8" w:space="0" w:color="FFFFFF"/>
                    <w:right w:val="nil"/>
                  </w:tcBorders>
                  <w:shd w:val="clear" w:color="auto" w:fill="DBE5F1"/>
                  <w:vAlign w:val="center"/>
                </w:tcPr>
                <w:p w14:paraId="3F6A3B1B"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1,079</w:t>
                  </w:r>
                </w:p>
              </w:tc>
              <w:tc>
                <w:tcPr>
                  <w:tcW w:w="708" w:type="dxa"/>
                  <w:tcBorders>
                    <w:top w:val="nil"/>
                    <w:left w:val="single" w:sz="8" w:space="0" w:color="FFFFFF"/>
                    <w:bottom w:val="single" w:sz="8" w:space="0" w:color="FFFFFF"/>
                    <w:right w:val="nil"/>
                  </w:tcBorders>
                  <w:shd w:val="clear" w:color="auto" w:fill="DBE5F1"/>
                  <w:vAlign w:val="center"/>
                </w:tcPr>
                <w:p w14:paraId="696A4D1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0,314</w:t>
                  </w:r>
                </w:p>
              </w:tc>
              <w:tc>
                <w:tcPr>
                  <w:tcW w:w="709" w:type="dxa"/>
                  <w:tcBorders>
                    <w:top w:val="nil"/>
                    <w:left w:val="single" w:sz="8" w:space="0" w:color="FFFFFF"/>
                    <w:bottom w:val="single" w:sz="8" w:space="0" w:color="FFFFFF"/>
                    <w:right w:val="nil"/>
                  </w:tcBorders>
                  <w:shd w:val="clear" w:color="auto" w:fill="DBE5F1"/>
                  <w:vAlign w:val="center"/>
                </w:tcPr>
                <w:p w14:paraId="2E1BE30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0,212</w:t>
                  </w:r>
                </w:p>
              </w:tc>
              <w:tc>
                <w:tcPr>
                  <w:tcW w:w="709" w:type="dxa"/>
                  <w:tcBorders>
                    <w:top w:val="nil"/>
                    <w:left w:val="single" w:sz="8" w:space="0" w:color="FFFFFF"/>
                    <w:bottom w:val="single" w:sz="8" w:space="0" w:color="FFFFFF"/>
                    <w:right w:val="nil"/>
                  </w:tcBorders>
                  <w:shd w:val="clear" w:color="auto" w:fill="DBE5F1"/>
                  <w:vAlign w:val="center"/>
                </w:tcPr>
                <w:p w14:paraId="7EE1CA4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0,259</w:t>
                  </w:r>
                </w:p>
              </w:tc>
              <w:tc>
                <w:tcPr>
                  <w:tcW w:w="850" w:type="dxa"/>
                  <w:tcBorders>
                    <w:top w:val="nil"/>
                    <w:left w:val="single" w:sz="8" w:space="0" w:color="FFFFFF"/>
                    <w:bottom w:val="single" w:sz="8" w:space="0" w:color="FFFFFF"/>
                    <w:right w:val="nil"/>
                  </w:tcBorders>
                  <w:shd w:val="clear" w:color="auto" w:fill="DBE5F1"/>
                  <w:vAlign w:val="center"/>
                </w:tcPr>
                <w:p w14:paraId="3718EE5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0,336</w:t>
                  </w:r>
                </w:p>
              </w:tc>
              <w:tc>
                <w:tcPr>
                  <w:tcW w:w="709" w:type="dxa"/>
                  <w:tcBorders>
                    <w:top w:val="nil"/>
                    <w:left w:val="single" w:sz="8" w:space="0" w:color="FFFFFF"/>
                    <w:bottom w:val="single" w:sz="8" w:space="0" w:color="FFFFFF"/>
                    <w:right w:val="nil"/>
                  </w:tcBorders>
                  <w:shd w:val="clear" w:color="auto" w:fill="DBE5F1"/>
                  <w:vAlign w:val="center"/>
                </w:tcPr>
                <w:p w14:paraId="527D3C0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0,317</w:t>
                  </w:r>
                </w:p>
              </w:tc>
              <w:tc>
                <w:tcPr>
                  <w:tcW w:w="851" w:type="dxa"/>
                  <w:tcBorders>
                    <w:top w:val="nil"/>
                    <w:left w:val="single" w:sz="8" w:space="0" w:color="FFFFFF"/>
                    <w:bottom w:val="single" w:sz="8" w:space="0" w:color="FFFFFF"/>
                    <w:right w:val="nil"/>
                  </w:tcBorders>
                  <w:shd w:val="clear" w:color="auto" w:fill="DBE5F1"/>
                  <w:vAlign w:val="center"/>
                </w:tcPr>
                <w:p w14:paraId="2974B502"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0,136</w:t>
                  </w:r>
                </w:p>
              </w:tc>
            </w:tr>
            <w:tr w:rsidR="00600DEE" w14:paraId="02229D04" w14:textId="77777777">
              <w:trPr>
                <w:trHeight w:val="307"/>
              </w:trPr>
              <w:tc>
                <w:tcPr>
                  <w:tcW w:w="557" w:type="dxa"/>
                  <w:tcBorders>
                    <w:top w:val="single" w:sz="8" w:space="0" w:color="FFFFFF"/>
                    <w:left w:val="single" w:sz="8" w:space="0" w:color="FFFFFF"/>
                    <w:bottom w:val="nil"/>
                    <w:right w:val="nil"/>
                  </w:tcBorders>
                  <w:shd w:val="clear" w:color="auto" w:fill="A6A6A6"/>
                  <w:vAlign w:val="center"/>
                </w:tcPr>
                <w:p w14:paraId="1EE56FFF"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WZ</w:t>
                  </w:r>
                </w:p>
              </w:tc>
              <w:tc>
                <w:tcPr>
                  <w:tcW w:w="709" w:type="dxa"/>
                  <w:tcBorders>
                    <w:top w:val="nil"/>
                    <w:left w:val="single" w:sz="8" w:space="0" w:color="FFFFFF"/>
                    <w:bottom w:val="single" w:sz="8" w:space="0" w:color="FFFFFF"/>
                    <w:right w:val="nil"/>
                  </w:tcBorders>
                  <w:shd w:val="clear" w:color="auto" w:fill="DBE5F1"/>
                  <w:vAlign w:val="center"/>
                </w:tcPr>
                <w:p w14:paraId="63063E9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0,167</w:t>
                  </w:r>
                </w:p>
              </w:tc>
              <w:tc>
                <w:tcPr>
                  <w:tcW w:w="709" w:type="dxa"/>
                  <w:tcBorders>
                    <w:top w:val="nil"/>
                    <w:left w:val="single" w:sz="8" w:space="0" w:color="FFFFFF"/>
                    <w:bottom w:val="single" w:sz="8" w:space="0" w:color="FFFFFF"/>
                    <w:right w:val="nil"/>
                  </w:tcBorders>
                  <w:shd w:val="clear" w:color="auto" w:fill="DBE5F1"/>
                  <w:vAlign w:val="center"/>
                </w:tcPr>
                <w:p w14:paraId="019CD0A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0,073</w:t>
                  </w:r>
                </w:p>
              </w:tc>
              <w:tc>
                <w:tcPr>
                  <w:tcW w:w="709" w:type="dxa"/>
                  <w:tcBorders>
                    <w:top w:val="nil"/>
                    <w:left w:val="single" w:sz="8" w:space="0" w:color="FFFFFF"/>
                    <w:bottom w:val="single" w:sz="8" w:space="0" w:color="FFFFFF"/>
                    <w:right w:val="nil"/>
                  </w:tcBorders>
                  <w:shd w:val="clear" w:color="auto" w:fill="DBE5F1"/>
                  <w:vAlign w:val="center"/>
                </w:tcPr>
                <w:p w14:paraId="77FC377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0,270</w:t>
                  </w:r>
                </w:p>
              </w:tc>
              <w:tc>
                <w:tcPr>
                  <w:tcW w:w="708" w:type="dxa"/>
                  <w:tcBorders>
                    <w:top w:val="nil"/>
                    <w:left w:val="single" w:sz="8" w:space="0" w:color="FFFFFF"/>
                    <w:bottom w:val="single" w:sz="8" w:space="0" w:color="FFFFFF"/>
                    <w:right w:val="nil"/>
                  </w:tcBorders>
                  <w:shd w:val="clear" w:color="auto" w:fill="DBE5F1"/>
                  <w:vAlign w:val="center"/>
                </w:tcPr>
                <w:p w14:paraId="21E8593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0,182</w:t>
                  </w:r>
                </w:p>
              </w:tc>
              <w:tc>
                <w:tcPr>
                  <w:tcW w:w="709" w:type="dxa"/>
                  <w:tcBorders>
                    <w:top w:val="nil"/>
                    <w:left w:val="single" w:sz="8" w:space="0" w:color="FFFFFF"/>
                    <w:bottom w:val="single" w:sz="8" w:space="0" w:color="FFFFFF"/>
                    <w:right w:val="nil"/>
                  </w:tcBorders>
                  <w:shd w:val="clear" w:color="auto" w:fill="DBE5F1"/>
                  <w:vAlign w:val="center"/>
                </w:tcPr>
                <w:p w14:paraId="69B3BD4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0,061</w:t>
                  </w:r>
                </w:p>
              </w:tc>
              <w:tc>
                <w:tcPr>
                  <w:tcW w:w="709" w:type="dxa"/>
                  <w:tcBorders>
                    <w:top w:val="nil"/>
                    <w:left w:val="single" w:sz="8" w:space="0" w:color="FFFFFF"/>
                    <w:bottom w:val="single" w:sz="8" w:space="0" w:color="FFFFFF"/>
                    <w:right w:val="nil"/>
                  </w:tcBorders>
                  <w:shd w:val="clear" w:color="auto" w:fill="DBE5F1"/>
                  <w:vAlign w:val="center"/>
                </w:tcPr>
                <w:p w14:paraId="2F71BB1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0,188</w:t>
                  </w:r>
                </w:p>
              </w:tc>
              <w:tc>
                <w:tcPr>
                  <w:tcW w:w="850" w:type="dxa"/>
                  <w:tcBorders>
                    <w:top w:val="nil"/>
                    <w:left w:val="single" w:sz="8" w:space="0" w:color="FFFFFF"/>
                    <w:bottom w:val="single" w:sz="8" w:space="0" w:color="FFFFFF"/>
                    <w:right w:val="nil"/>
                  </w:tcBorders>
                  <w:shd w:val="clear" w:color="auto" w:fill="DBE5F1"/>
                  <w:vAlign w:val="center"/>
                </w:tcPr>
                <w:p w14:paraId="3922465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0,126</w:t>
                  </w:r>
                </w:p>
              </w:tc>
              <w:tc>
                <w:tcPr>
                  <w:tcW w:w="709" w:type="dxa"/>
                  <w:tcBorders>
                    <w:top w:val="nil"/>
                    <w:left w:val="single" w:sz="8" w:space="0" w:color="FFFFFF"/>
                    <w:bottom w:val="single" w:sz="8" w:space="0" w:color="FFFFFF"/>
                    <w:right w:val="nil"/>
                  </w:tcBorders>
                  <w:shd w:val="clear" w:color="auto" w:fill="DBE5F1"/>
                  <w:vAlign w:val="center"/>
                </w:tcPr>
                <w:p w14:paraId="72F0E57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0,146</w:t>
                  </w:r>
                </w:p>
              </w:tc>
              <w:tc>
                <w:tcPr>
                  <w:tcW w:w="851" w:type="dxa"/>
                  <w:tcBorders>
                    <w:top w:val="nil"/>
                    <w:left w:val="single" w:sz="8" w:space="0" w:color="FFFFFF"/>
                    <w:bottom w:val="single" w:sz="8" w:space="0" w:color="FFFFFF"/>
                    <w:right w:val="nil"/>
                  </w:tcBorders>
                  <w:shd w:val="clear" w:color="auto" w:fill="DBE5F1"/>
                  <w:vAlign w:val="center"/>
                </w:tcPr>
                <w:p w14:paraId="1EA02E72"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0,045</w:t>
                  </w:r>
                </w:p>
              </w:tc>
            </w:tr>
          </w:tbl>
          <w:p w14:paraId="04EE4E84" w14:textId="77777777" w:rsidR="00600DEE" w:rsidRDefault="00641FB5">
            <w:pPr>
              <w:spacing w:before="120" w:after="120"/>
              <w:jc w:val="both"/>
              <w:rPr>
                <w:rFonts w:ascii="Calibri" w:eastAsia="Calibri" w:hAnsi="Calibri" w:cs="Calibri"/>
                <w:b/>
                <w:i/>
                <w:sz w:val="16"/>
                <w:szCs w:val="16"/>
              </w:rPr>
            </w:pPr>
            <w:r>
              <w:rPr>
                <w:rFonts w:ascii="Calibri" w:eastAsia="Calibri" w:hAnsi="Calibri" w:cs="Calibri"/>
                <w:b/>
                <w:i/>
                <w:sz w:val="16"/>
                <w:szCs w:val="16"/>
              </w:rPr>
              <w:t>Źródło: Opracowanie eksperckie</w:t>
            </w:r>
          </w:p>
          <w:p w14:paraId="4546C9F0" w14:textId="53D8F987"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Tabela 7. Wskaźniki dotkliwości wypadków dla cią</w:t>
            </w:r>
            <w:r w:rsidR="00B57CEF">
              <w:rPr>
                <w:rFonts w:ascii="Calibri" w:eastAsia="Calibri" w:hAnsi="Calibri" w:cs="Calibri"/>
                <w:b/>
                <w:color w:val="4F81BD"/>
                <w:sz w:val="20"/>
                <w:szCs w:val="20"/>
              </w:rPr>
              <w:t xml:space="preserve">gów drogowych jednojezdniowych </w:t>
            </w:r>
            <w:r>
              <w:rPr>
                <w:rFonts w:ascii="Calibri" w:eastAsia="Calibri" w:hAnsi="Calibri" w:cs="Calibri"/>
                <w:b/>
                <w:color w:val="4F81BD"/>
                <w:sz w:val="20"/>
                <w:szCs w:val="20"/>
              </w:rPr>
              <w:t>(liczba osób / wypadek)</w:t>
            </w:r>
          </w:p>
          <w:tbl>
            <w:tblPr>
              <w:tblStyle w:val="afffffffffffffffb"/>
              <w:tblW w:w="5093" w:type="dxa"/>
              <w:tblLayout w:type="fixed"/>
              <w:tblLook w:val="0400" w:firstRow="0" w:lastRow="0" w:firstColumn="0" w:lastColumn="0" w:noHBand="0" w:noVBand="1"/>
            </w:tblPr>
            <w:tblGrid>
              <w:gridCol w:w="699"/>
              <w:gridCol w:w="709"/>
              <w:gridCol w:w="709"/>
              <w:gridCol w:w="708"/>
              <w:gridCol w:w="851"/>
              <w:gridCol w:w="709"/>
              <w:gridCol w:w="708"/>
            </w:tblGrid>
            <w:tr w:rsidR="00600DEE" w14:paraId="7980288A" w14:textId="77777777">
              <w:trPr>
                <w:trHeight w:val="340"/>
              </w:trPr>
              <w:tc>
                <w:tcPr>
                  <w:tcW w:w="6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7BDDE8F"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 </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A0FF17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S1x2n</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30AF09B8"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S1x2z</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614A71E"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851"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215C0A7C"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GP1x2z</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630AEFB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G1x2n</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359A3F6E"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G1x2z</w:t>
                  </w:r>
                </w:p>
              </w:tc>
            </w:tr>
            <w:tr w:rsidR="00600DEE" w14:paraId="4AC33F28" w14:textId="77777777">
              <w:trPr>
                <w:trHeight w:val="276"/>
              </w:trPr>
              <w:tc>
                <w:tcPr>
                  <w:tcW w:w="6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4A01E35"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DB3BCA2"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358637A"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70ED03E1"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851"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FBAB04B"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80A1A44"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69E878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r>
            <w:tr w:rsidR="00600DEE" w14:paraId="0FE5F64E" w14:textId="77777777">
              <w:trPr>
                <w:trHeight w:val="315"/>
              </w:trPr>
              <w:tc>
                <w:tcPr>
                  <w:tcW w:w="699" w:type="dxa"/>
                  <w:tcBorders>
                    <w:top w:val="nil"/>
                    <w:left w:val="single" w:sz="8" w:space="0" w:color="FFFFFF"/>
                    <w:bottom w:val="nil"/>
                    <w:right w:val="nil"/>
                  </w:tcBorders>
                  <w:shd w:val="clear" w:color="auto" w:fill="A6A6A6"/>
                  <w:vAlign w:val="center"/>
                </w:tcPr>
                <w:p w14:paraId="3F5AC2F0"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WR</w:t>
                  </w:r>
                </w:p>
              </w:tc>
              <w:tc>
                <w:tcPr>
                  <w:tcW w:w="709" w:type="dxa"/>
                  <w:tcBorders>
                    <w:top w:val="nil"/>
                    <w:left w:val="single" w:sz="8" w:space="0" w:color="FFFFFF"/>
                    <w:bottom w:val="single" w:sz="8" w:space="0" w:color="FFFFFF"/>
                    <w:right w:val="single" w:sz="8" w:space="0" w:color="FFFFFF"/>
                  </w:tcBorders>
                  <w:shd w:val="clear" w:color="auto" w:fill="DBE5F1"/>
                  <w:vAlign w:val="center"/>
                </w:tcPr>
                <w:p w14:paraId="17F5502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1,242</w:t>
                  </w:r>
                </w:p>
              </w:tc>
              <w:tc>
                <w:tcPr>
                  <w:tcW w:w="709" w:type="dxa"/>
                  <w:tcBorders>
                    <w:top w:val="nil"/>
                    <w:left w:val="nil"/>
                    <w:bottom w:val="single" w:sz="8" w:space="0" w:color="FFFFFF"/>
                    <w:right w:val="nil"/>
                  </w:tcBorders>
                  <w:shd w:val="clear" w:color="auto" w:fill="DBE5F1"/>
                  <w:vAlign w:val="center"/>
                </w:tcPr>
                <w:p w14:paraId="390F946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1,627</w:t>
                  </w:r>
                </w:p>
              </w:tc>
              <w:tc>
                <w:tcPr>
                  <w:tcW w:w="708" w:type="dxa"/>
                  <w:tcBorders>
                    <w:top w:val="nil"/>
                    <w:left w:val="single" w:sz="8" w:space="0" w:color="FFFFFF"/>
                    <w:bottom w:val="single" w:sz="8" w:space="0" w:color="FFFFFF"/>
                    <w:right w:val="nil"/>
                  </w:tcBorders>
                  <w:shd w:val="clear" w:color="auto" w:fill="DBE5F1"/>
                  <w:vAlign w:val="center"/>
                </w:tcPr>
                <w:p w14:paraId="25BDC0F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1,424</w:t>
                  </w:r>
                </w:p>
              </w:tc>
              <w:tc>
                <w:tcPr>
                  <w:tcW w:w="851" w:type="dxa"/>
                  <w:tcBorders>
                    <w:top w:val="nil"/>
                    <w:left w:val="single" w:sz="8" w:space="0" w:color="FFFFFF"/>
                    <w:bottom w:val="single" w:sz="8" w:space="0" w:color="FFFFFF"/>
                    <w:right w:val="nil"/>
                  </w:tcBorders>
                  <w:shd w:val="clear" w:color="auto" w:fill="DBE5F1"/>
                  <w:vAlign w:val="center"/>
                </w:tcPr>
                <w:p w14:paraId="7B9F7886"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1,266</w:t>
                  </w:r>
                </w:p>
              </w:tc>
              <w:tc>
                <w:tcPr>
                  <w:tcW w:w="709" w:type="dxa"/>
                  <w:tcBorders>
                    <w:top w:val="nil"/>
                    <w:left w:val="single" w:sz="8" w:space="0" w:color="FFFFFF"/>
                    <w:bottom w:val="single" w:sz="8" w:space="0" w:color="FFFFFF"/>
                    <w:right w:val="nil"/>
                  </w:tcBorders>
                  <w:shd w:val="clear" w:color="auto" w:fill="DBE5F1"/>
                  <w:vAlign w:val="center"/>
                </w:tcPr>
                <w:p w14:paraId="2FDF958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1,381</w:t>
                  </w:r>
                </w:p>
              </w:tc>
              <w:tc>
                <w:tcPr>
                  <w:tcW w:w="708" w:type="dxa"/>
                  <w:tcBorders>
                    <w:top w:val="nil"/>
                    <w:left w:val="single" w:sz="8" w:space="0" w:color="FFFFFF"/>
                    <w:bottom w:val="single" w:sz="8" w:space="0" w:color="FFFFFF"/>
                    <w:right w:val="nil"/>
                  </w:tcBorders>
                  <w:shd w:val="clear" w:color="auto" w:fill="DBE5F1"/>
                  <w:vAlign w:val="center"/>
                </w:tcPr>
                <w:p w14:paraId="2F775433"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1,229</w:t>
                  </w:r>
                </w:p>
              </w:tc>
            </w:tr>
            <w:tr w:rsidR="00600DEE" w14:paraId="61F30C17" w14:textId="77777777">
              <w:trPr>
                <w:trHeight w:val="315"/>
              </w:trPr>
              <w:tc>
                <w:tcPr>
                  <w:tcW w:w="699" w:type="dxa"/>
                  <w:tcBorders>
                    <w:top w:val="single" w:sz="8" w:space="0" w:color="FFFFFF"/>
                    <w:left w:val="single" w:sz="8" w:space="0" w:color="FFFFFF"/>
                    <w:bottom w:val="nil"/>
                    <w:right w:val="nil"/>
                  </w:tcBorders>
                  <w:shd w:val="clear" w:color="auto" w:fill="A6A6A6"/>
                  <w:vAlign w:val="center"/>
                </w:tcPr>
                <w:p w14:paraId="0426D6A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WCR</w:t>
                  </w:r>
                </w:p>
              </w:tc>
              <w:tc>
                <w:tcPr>
                  <w:tcW w:w="709" w:type="dxa"/>
                  <w:tcBorders>
                    <w:top w:val="nil"/>
                    <w:left w:val="single" w:sz="8" w:space="0" w:color="FFFFFF"/>
                    <w:bottom w:val="single" w:sz="8" w:space="0" w:color="FFFFFF"/>
                    <w:right w:val="single" w:sz="8" w:space="0" w:color="FFFFFF"/>
                  </w:tcBorders>
                  <w:shd w:val="clear" w:color="auto" w:fill="DBE5F1"/>
                  <w:vAlign w:val="center"/>
                </w:tcPr>
                <w:p w14:paraId="6105364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0,488</w:t>
                  </w:r>
                </w:p>
              </w:tc>
              <w:tc>
                <w:tcPr>
                  <w:tcW w:w="709" w:type="dxa"/>
                  <w:tcBorders>
                    <w:top w:val="nil"/>
                    <w:left w:val="nil"/>
                    <w:bottom w:val="single" w:sz="8" w:space="0" w:color="FFFFFF"/>
                    <w:right w:val="nil"/>
                  </w:tcBorders>
                  <w:shd w:val="clear" w:color="auto" w:fill="DBE5F1"/>
                  <w:vAlign w:val="center"/>
                </w:tcPr>
                <w:p w14:paraId="200046CB"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0,733</w:t>
                  </w:r>
                </w:p>
              </w:tc>
              <w:tc>
                <w:tcPr>
                  <w:tcW w:w="708" w:type="dxa"/>
                  <w:tcBorders>
                    <w:top w:val="nil"/>
                    <w:left w:val="single" w:sz="8" w:space="0" w:color="FFFFFF"/>
                    <w:bottom w:val="single" w:sz="8" w:space="0" w:color="FFFFFF"/>
                    <w:right w:val="nil"/>
                  </w:tcBorders>
                  <w:shd w:val="clear" w:color="auto" w:fill="DBE5F1"/>
                  <w:vAlign w:val="center"/>
                </w:tcPr>
                <w:p w14:paraId="45A89D0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0,425</w:t>
                  </w:r>
                </w:p>
              </w:tc>
              <w:tc>
                <w:tcPr>
                  <w:tcW w:w="851" w:type="dxa"/>
                  <w:tcBorders>
                    <w:top w:val="nil"/>
                    <w:left w:val="single" w:sz="8" w:space="0" w:color="FFFFFF"/>
                    <w:bottom w:val="single" w:sz="8" w:space="0" w:color="FFFFFF"/>
                    <w:right w:val="nil"/>
                  </w:tcBorders>
                  <w:shd w:val="clear" w:color="auto" w:fill="DBE5F1"/>
                  <w:vAlign w:val="center"/>
                </w:tcPr>
                <w:p w14:paraId="709D1A1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0,326</w:t>
                  </w:r>
                </w:p>
              </w:tc>
              <w:tc>
                <w:tcPr>
                  <w:tcW w:w="709" w:type="dxa"/>
                  <w:tcBorders>
                    <w:top w:val="nil"/>
                    <w:left w:val="single" w:sz="8" w:space="0" w:color="FFFFFF"/>
                    <w:bottom w:val="single" w:sz="8" w:space="0" w:color="FFFFFF"/>
                    <w:right w:val="nil"/>
                  </w:tcBorders>
                  <w:shd w:val="clear" w:color="auto" w:fill="DBE5F1"/>
                  <w:vAlign w:val="center"/>
                </w:tcPr>
                <w:p w14:paraId="55FECA8F"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0,362</w:t>
                  </w:r>
                </w:p>
              </w:tc>
              <w:tc>
                <w:tcPr>
                  <w:tcW w:w="708" w:type="dxa"/>
                  <w:tcBorders>
                    <w:top w:val="nil"/>
                    <w:left w:val="single" w:sz="8" w:space="0" w:color="FFFFFF"/>
                    <w:bottom w:val="single" w:sz="8" w:space="0" w:color="FFFFFF"/>
                    <w:right w:val="nil"/>
                  </w:tcBorders>
                  <w:shd w:val="clear" w:color="auto" w:fill="DBE5F1"/>
                  <w:vAlign w:val="center"/>
                </w:tcPr>
                <w:p w14:paraId="2AADA08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0,285</w:t>
                  </w:r>
                </w:p>
              </w:tc>
            </w:tr>
            <w:tr w:rsidR="00600DEE" w14:paraId="60712CD2" w14:textId="77777777">
              <w:trPr>
                <w:trHeight w:val="315"/>
              </w:trPr>
              <w:tc>
                <w:tcPr>
                  <w:tcW w:w="699" w:type="dxa"/>
                  <w:tcBorders>
                    <w:top w:val="single" w:sz="8" w:space="0" w:color="FFFFFF"/>
                    <w:left w:val="single" w:sz="8" w:space="0" w:color="FFFFFF"/>
                    <w:bottom w:val="nil"/>
                    <w:right w:val="nil"/>
                  </w:tcBorders>
                  <w:shd w:val="clear" w:color="auto" w:fill="A6A6A6"/>
                  <w:vAlign w:val="center"/>
                </w:tcPr>
                <w:p w14:paraId="4423B409"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WZ</w:t>
                  </w:r>
                </w:p>
              </w:tc>
              <w:tc>
                <w:tcPr>
                  <w:tcW w:w="709" w:type="dxa"/>
                  <w:tcBorders>
                    <w:top w:val="nil"/>
                    <w:left w:val="single" w:sz="8" w:space="0" w:color="FFFFFF"/>
                    <w:bottom w:val="single" w:sz="8" w:space="0" w:color="FFFFFF"/>
                    <w:right w:val="single" w:sz="8" w:space="0" w:color="FFFFFF"/>
                  </w:tcBorders>
                  <w:shd w:val="clear" w:color="auto" w:fill="DBE5F1"/>
                  <w:vAlign w:val="center"/>
                </w:tcPr>
                <w:p w14:paraId="28BE836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0,403</w:t>
                  </w:r>
                </w:p>
              </w:tc>
              <w:tc>
                <w:tcPr>
                  <w:tcW w:w="709" w:type="dxa"/>
                  <w:tcBorders>
                    <w:top w:val="nil"/>
                    <w:left w:val="nil"/>
                    <w:bottom w:val="single" w:sz="8" w:space="0" w:color="FFFFFF"/>
                    <w:right w:val="nil"/>
                  </w:tcBorders>
                  <w:shd w:val="clear" w:color="auto" w:fill="DBE5F1"/>
                  <w:vAlign w:val="center"/>
                </w:tcPr>
                <w:p w14:paraId="2FC3E0D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0,453</w:t>
                  </w:r>
                </w:p>
              </w:tc>
              <w:tc>
                <w:tcPr>
                  <w:tcW w:w="708" w:type="dxa"/>
                  <w:tcBorders>
                    <w:top w:val="nil"/>
                    <w:left w:val="single" w:sz="8" w:space="0" w:color="FFFFFF"/>
                    <w:bottom w:val="single" w:sz="8" w:space="0" w:color="FFFFFF"/>
                    <w:right w:val="nil"/>
                  </w:tcBorders>
                  <w:shd w:val="clear" w:color="auto" w:fill="DBE5F1"/>
                  <w:vAlign w:val="center"/>
                </w:tcPr>
                <w:p w14:paraId="0896149E"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0,238</w:t>
                  </w:r>
                </w:p>
              </w:tc>
              <w:tc>
                <w:tcPr>
                  <w:tcW w:w="851" w:type="dxa"/>
                  <w:tcBorders>
                    <w:top w:val="nil"/>
                    <w:left w:val="single" w:sz="8" w:space="0" w:color="FFFFFF"/>
                    <w:bottom w:val="single" w:sz="8" w:space="0" w:color="FFFFFF"/>
                    <w:right w:val="nil"/>
                  </w:tcBorders>
                  <w:shd w:val="clear" w:color="auto" w:fill="DBE5F1"/>
                  <w:vAlign w:val="center"/>
                </w:tcPr>
                <w:p w14:paraId="00A1A9D3"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0,122</w:t>
                  </w:r>
                </w:p>
              </w:tc>
              <w:tc>
                <w:tcPr>
                  <w:tcW w:w="709" w:type="dxa"/>
                  <w:tcBorders>
                    <w:top w:val="nil"/>
                    <w:left w:val="single" w:sz="8" w:space="0" w:color="FFFFFF"/>
                    <w:bottom w:val="single" w:sz="8" w:space="0" w:color="FFFFFF"/>
                    <w:right w:val="nil"/>
                  </w:tcBorders>
                  <w:shd w:val="clear" w:color="auto" w:fill="DBE5F1"/>
                  <w:vAlign w:val="center"/>
                </w:tcPr>
                <w:p w14:paraId="54FCAE83"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0,217</w:t>
                  </w:r>
                </w:p>
              </w:tc>
              <w:tc>
                <w:tcPr>
                  <w:tcW w:w="708" w:type="dxa"/>
                  <w:tcBorders>
                    <w:top w:val="nil"/>
                    <w:left w:val="single" w:sz="8" w:space="0" w:color="FFFFFF"/>
                    <w:bottom w:val="single" w:sz="8" w:space="0" w:color="FFFFFF"/>
                    <w:right w:val="nil"/>
                  </w:tcBorders>
                  <w:shd w:val="clear" w:color="auto" w:fill="DBE5F1"/>
                  <w:vAlign w:val="center"/>
                </w:tcPr>
                <w:p w14:paraId="7CBFAD8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0,107</w:t>
                  </w:r>
                </w:p>
              </w:tc>
            </w:tr>
          </w:tbl>
          <w:p w14:paraId="70D15C36" w14:textId="77777777" w:rsidR="00600DEE" w:rsidRDefault="00641FB5">
            <w:pPr>
              <w:spacing w:before="120" w:after="120"/>
              <w:jc w:val="both"/>
              <w:rPr>
                <w:rFonts w:ascii="Calibri" w:eastAsia="Calibri" w:hAnsi="Calibri" w:cs="Calibri"/>
                <w:b/>
                <w:i/>
                <w:sz w:val="16"/>
                <w:szCs w:val="16"/>
              </w:rPr>
            </w:pPr>
            <w:r>
              <w:rPr>
                <w:rFonts w:ascii="Calibri" w:eastAsia="Calibri" w:hAnsi="Calibri" w:cs="Calibri"/>
                <w:b/>
                <w:i/>
                <w:sz w:val="16"/>
                <w:szCs w:val="16"/>
              </w:rPr>
              <w:t>Źródło: Opracowanie eksperckie</w:t>
            </w:r>
          </w:p>
          <w:p w14:paraId="2ACB8159" w14:textId="6F82F824"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 xml:space="preserve">Tabela 8. Wskaźniki dotkliwości wypadków </w:t>
            </w:r>
            <w:r w:rsidR="00B57CEF">
              <w:rPr>
                <w:rFonts w:ascii="Calibri" w:eastAsia="Calibri" w:hAnsi="Calibri" w:cs="Calibri"/>
                <w:b/>
                <w:color w:val="4F81BD"/>
                <w:sz w:val="20"/>
                <w:szCs w:val="20"/>
              </w:rPr>
              <w:t>dla dróg wojewódzkich oraz</w:t>
            </w:r>
            <w:r>
              <w:rPr>
                <w:rFonts w:ascii="Calibri" w:eastAsia="Calibri" w:hAnsi="Calibri" w:cs="Calibri"/>
                <w:b/>
                <w:color w:val="4F81BD"/>
                <w:sz w:val="20"/>
                <w:szCs w:val="20"/>
              </w:rPr>
              <w:t xml:space="preserve"> powiatowych i gminnych (liczba osób / wypadek)</w:t>
            </w:r>
          </w:p>
          <w:p w14:paraId="0A179757" w14:textId="77777777" w:rsidR="00EE29B5" w:rsidRDefault="00EE29B5">
            <w:pPr>
              <w:spacing w:before="120" w:after="120"/>
              <w:ind w:left="709" w:hanging="709"/>
              <w:rPr>
                <w:rFonts w:ascii="Calibri" w:eastAsia="Calibri" w:hAnsi="Calibri" w:cs="Calibri"/>
                <w:b/>
                <w:color w:val="4F81BD"/>
                <w:sz w:val="20"/>
                <w:szCs w:val="20"/>
              </w:rPr>
            </w:pPr>
          </w:p>
          <w:tbl>
            <w:tblPr>
              <w:tblStyle w:val="afffffffffffffffc"/>
              <w:tblW w:w="6511" w:type="dxa"/>
              <w:tblLayout w:type="fixed"/>
              <w:tblLook w:val="0400" w:firstRow="0" w:lastRow="0" w:firstColumn="0" w:lastColumn="0" w:noHBand="0" w:noVBand="1"/>
            </w:tblPr>
            <w:tblGrid>
              <w:gridCol w:w="569"/>
              <w:gridCol w:w="1406"/>
              <w:gridCol w:w="1134"/>
              <w:gridCol w:w="1701"/>
              <w:gridCol w:w="1701"/>
            </w:tblGrid>
            <w:tr w:rsidR="00600DEE" w14:paraId="2A4DB25D" w14:textId="77777777" w:rsidTr="00EE29B5">
              <w:trPr>
                <w:trHeight w:hRule="exact" w:val="680"/>
              </w:trPr>
              <w:tc>
                <w:tcPr>
                  <w:tcW w:w="56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C2E056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 </w:t>
                  </w:r>
                </w:p>
              </w:tc>
              <w:tc>
                <w:tcPr>
                  <w:tcW w:w="140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6C91301B"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Wojewódzkie niezabudowany (n)</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18EF5BCB"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Wojewódzkie zabudowany (z)</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31A1487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Gminne, powiatowe niezabudowany (n)</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1365251E"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Gminne, powiatowe zabudowany (z)</w:t>
                  </w:r>
                </w:p>
              </w:tc>
            </w:tr>
            <w:tr w:rsidR="00600DEE" w14:paraId="29AD17F2" w14:textId="77777777">
              <w:trPr>
                <w:trHeight w:val="276"/>
              </w:trPr>
              <w:tc>
                <w:tcPr>
                  <w:tcW w:w="56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1C051B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40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A0A6D62"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13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D131509"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701"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301AA8E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701"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9CD727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r>
            <w:tr w:rsidR="00600DEE" w14:paraId="7F1AE2FB" w14:textId="77777777">
              <w:trPr>
                <w:trHeight w:val="315"/>
              </w:trPr>
              <w:tc>
                <w:tcPr>
                  <w:tcW w:w="569" w:type="dxa"/>
                  <w:tcBorders>
                    <w:top w:val="nil"/>
                    <w:left w:val="single" w:sz="8" w:space="0" w:color="FFFFFF"/>
                    <w:bottom w:val="nil"/>
                    <w:right w:val="nil"/>
                  </w:tcBorders>
                  <w:shd w:val="clear" w:color="auto" w:fill="A6A6A6"/>
                  <w:vAlign w:val="center"/>
                </w:tcPr>
                <w:p w14:paraId="707C7B26"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WR</w:t>
                  </w:r>
                </w:p>
              </w:tc>
              <w:tc>
                <w:tcPr>
                  <w:tcW w:w="1406" w:type="dxa"/>
                  <w:tcBorders>
                    <w:top w:val="nil"/>
                    <w:left w:val="single" w:sz="8" w:space="0" w:color="FFFFFF"/>
                    <w:bottom w:val="single" w:sz="8" w:space="0" w:color="FFFFFF"/>
                    <w:right w:val="single" w:sz="8" w:space="0" w:color="FFFFFF"/>
                  </w:tcBorders>
                  <w:shd w:val="clear" w:color="auto" w:fill="DBE5F1"/>
                  <w:vAlign w:val="center"/>
                </w:tcPr>
                <w:p w14:paraId="728D51A5"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1,322</w:t>
                  </w:r>
                </w:p>
              </w:tc>
              <w:tc>
                <w:tcPr>
                  <w:tcW w:w="1134" w:type="dxa"/>
                  <w:tcBorders>
                    <w:top w:val="nil"/>
                    <w:left w:val="nil"/>
                    <w:bottom w:val="single" w:sz="8" w:space="0" w:color="FFFFFF"/>
                    <w:right w:val="nil"/>
                  </w:tcBorders>
                  <w:shd w:val="clear" w:color="auto" w:fill="DBE5F1"/>
                  <w:vAlign w:val="center"/>
                </w:tcPr>
                <w:p w14:paraId="3282161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1,226</w:t>
                  </w:r>
                </w:p>
              </w:tc>
              <w:tc>
                <w:tcPr>
                  <w:tcW w:w="1701" w:type="dxa"/>
                  <w:tcBorders>
                    <w:top w:val="nil"/>
                    <w:left w:val="single" w:sz="8" w:space="0" w:color="FFFFFF"/>
                    <w:bottom w:val="single" w:sz="8" w:space="0" w:color="FFFFFF"/>
                    <w:right w:val="nil"/>
                  </w:tcBorders>
                  <w:shd w:val="clear" w:color="auto" w:fill="DBE5F1"/>
                  <w:vAlign w:val="center"/>
                </w:tcPr>
                <w:p w14:paraId="439525A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1,334</w:t>
                  </w:r>
                </w:p>
              </w:tc>
              <w:tc>
                <w:tcPr>
                  <w:tcW w:w="1701" w:type="dxa"/>
                  <w:tcBorders>
                    <w:top w:val="nil"/>
                    <w:left w:val="single" w:sz="8" w:space="0" w:color="FFFFFF"/>
                    <w:bottom w:val="single" w:sz="8" w:space="0" w:color="FFFFFF"/>
                    <w:right w:val="nil"/>
                  </w:tcBorders>
                  <w:shd w:val="clear" w:color="auto" w:fill="DBE5F1"/>
                  <w:vAlign w:val="center"/>
                </w:tcPr>
                <w:p w14:paraId="4BD32AB9"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1,194</w:t>
                  </w:r>
                </w:p>
              </w:tc>
            </w:tr>
            <w:tr w:rsidR="00600DEE" w14:paraId="0EDB3326" w14:textId="77777777">
              <w:trPr>
                <w:trHeight w:val="315"/>
              </w:trPr>
              <w:tc>
                <w:tcPr>
                  <w:tcW w:w="569" w:type="dxa"/>
                  <w:tcBorders>
                    <w:top w:val="single" w:sz="8" w:space="0" w:color="FFFFFF"/>
                    <w:left w:val="single" w:sz="8" w:space="0" w:color="FFFFFF"/>
                    <w:bottom w:val="nil"/>
                    <w:right w:val="nil"/>
                  </w:tcBorders>
                  <w:shd w:val="clear" w:color="auto" w:fill="A6A6A6"/>
                  <w:vAlign w:val="center"/>
                </w:tcPr>
                <w:p w14:paraId="4582A6FA"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WCR</w:t>
                  </w:r>
                </w:p>
              </w:tc>
              <w:tc>
                <w:tcPr>
                  <w:tcW w:w="1406" w:type="dxa"/>
                  <w:tcBorders>
                    <w:top w:val="nil"/>
                    <w:left w:val="single" w:sz="8" w:space="0" w:color="FFFFFF"/>
                    <w:bottom w:val="single" w:sz="8" w:space="0" w:color="FFFFFF"/>
                    <w:right w:val="single" w:sz="8" w:space="0" w:color="FFFFFF"/>
                  </w:tcBorders>
                  <w:shd w:val="clear" w:color="auto" w:fill="DBE5F1"/>
                  <w:vAlign w:val="center"/>
                </w:tcPr>
                <w:p w14:paraId="404C9EF6"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0,381</w:t>
                  </w:r>
                </w:p>
              </w:tc>
              <w:tc>
                <w:tcPr>
                  <w:tcW w:w="1134" w:type="dxa"/>
                  <w:tcBorders>
                    <w:top w:val="nil"/>
                    <w:left w:val="nil"/>
                    <w:bottom w:val="single" w:sz="8" w:space="0" w:color="FFFFFF"/>
                    <w:right w:val="nil"/>
                  </w:tcBorders>
                  <w:shd w:val="clear" w:color="auto" w:fill="DBE5F1"/>
                  <w:vAlign w:val="center"/>
                </w:tcPr>
                <w:p w14:paraId="567B0A8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0,318</w:t>
                  </w:r>
                </w:p>
              </w:tc>
              <w:tc>
                <w:tcPr>
                  <w:tcW w:w="1701" w:type="dxa"/>
                  <w:tcBorders>
                    <w:top w:val="nil"/>
                    <w:left w:val="single" w:sz="8" w:space="0" w:color="FFFFFF"/>
                    <w:bottom w:val="single" w:sz="8" w:space="0" w:color="FFFFFF"/>
                    <w:right w:val="nil"/>
                  </w:tcBorders>
                  <w:shd w:val="clear" w:color="auto" w:fill="DBE5F1"/>
                  <w:vAlign w:val="center"/>
                </w:tcPr>
                <w:p w14:paraId="49508C2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0,393</w:t>
                  </w:r>
                </w:p>
              </w:tc>
              <w:tc>
                <w:tcPr>
                  <w:tcW w:w="1701" w:type="dxa"/>
                  <w:tcBorders>
                    <w:top w:val="nil"/>
                    <w:left w:val="single" w:sz="8" w:space="0" w:color="FFFFFF"/>
                    <w:bottom w:val="single" w:sz="8" w:space="0" w:color="FFFFFF"/>
                    <w:right w:val="nil"/>
                  </w:tcBorders>
                  <w:shd w:val="clear" w:color="auto" w:fill="DBE5F1"/>
                  <w:vAlign w:val="center"/>
                </w:tcPr>
                <w:p w14:paraId="321C9DB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0,288</w:t>
                  </w:r>
                </w:p>
              </w:tc>
            </w:tr>
            <w:tr w:rsidR="00600DEE" w14:paraId="16D02D2E" w14:textId="77777777">
              <w:trPr>
                <w:trHeight w:val="315"/>
              </w:trPr>
              <w:tc>
                <w:tcPr>
                  <w:tcW w:w="569" w:type="dxa"/>
                  <w:tcBorders>
                    <w:top w:val="single" w:sz="8" w:space="0" w:color="FFFFFF"/>
                    <w:left w:val="single" w:sz="8" w:space="0" w:color="FFFFFF"/>
                    <w:bottom w:val="nil"/>
                    <w:right w:val="nil"/>
                  </w:tcBorders>
                  <w:shd w:val="clear" w:color="auto" w:fill="A6A6A6"/>
                  <w:vAlign w:val="center"/>
                </w:tcPr>
                <w:p w14:paraId="0A45FF17"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WZ</w:t>
                  </w:r>
                </w:p>
              </w:tc>
              <w:tc>
                <w:tcPr>
                  <w:tcW w:w="1406" w:type="dxa"/>
                  <w:tcBorders>
                    <w:top w:val="nil"/>
                    <w:left w:val="single" w:sz="8" w:space="0" w:color="FFFFFF"/>
                    <w:bottom w:val="single" w:sz="8" w:space="0" w:color="FFFFFF"/>
                    <w:right w:val="single" w:sz="8" w:space="0" w:color="FFFFFF"/>
                  </w:tcBorders>
                  <w:shd w:val="clear" w:color="auto" w:fill="DBE5F1"/>
                  <w:vAlign w:val="center"/>
                </w:tcPr>
                <w:p w14:paraId="3A57D75E"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0,178</w:t>
                  </w:r>
                </w:p>
              </w:tc>
              <w:tc>
                <w:tcPr>
                  <w:tcW w:w="1134" w:type="dxa"/>
                  <w:tcBorders>
                    <w:top w:val="nil"/>
                    <w:left w:val="nil"/>
                    <w:bottom w:val="single" w:sz="8" w:space="0" w:color="FFFFFF"/>
                    <w:right w:val="nil"/>
                  </w:tcBorders>
                  <w:shd w:val="clear" w:color="auto" w:fill="DBE5F1"/>
                  <w:vAlign w:val="center"/>
                </w:tcPr>
                <w:p w14:paraId="56EE0BF6"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0,100</w:t>
                  </w:r>
                </w:p>
              </w:tc>
              <w:tc>
                <w:tcPr>
                  <w:tcW w:w="1701" w:type="dxa"/>
                  <w:tcBorders>
                    <w:top w:val="nil"/>
                    <w:left w:val="single" w:sz="8" w:space="0" w:color="FFFFFF"/>
                    <w:bottom w:val="single" w:sz="8" w:space="0" w:color="FFFFFF"/>
                    <w:right w:val="nil"/>
                  </w:tcBorders>
                  <w:shd w:val="clear" w:color="auto" w:fill="DBE5F1"/>
                  <w:vAlign w:val="center"/>
                </w:tcPr>
                <w:p w14:paraId="054DBBE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0,143</w:t>
                  </w:r>
                </w:p>
              </w:tc>
              <w:tc>
                <w:tcPr>
                  <w:tcW w:w="1701" w:type="dxa"/>
                  <w:tcBorders>
                    <w:top w:val="nil"/>
                    <w:left w:val="single" w:sz="8" w:space="0" w:color="FFFFFF"/>
                    <w:bottom w:val="single" w:sz="8" w:space="0" w:color="FFFFFF"/>
                    <w:right w:val="nil"/>
                  </w:tcBorders>
                  <w:shd w:val="clear" w:color="auto" w:fill="DBE5F1"/>
                  <w:vAlign w:val="center"/>
                </w:tcPr>
                <w:p w14:paraId="122E571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0,087</w:t>
                  </w:r>
                </w:p>
              </w:tc>
            </w:tr>
          </w:tbl>
          <w:p w14:paraId="4B62020C" w14:textId="4D0D8524" w:rsidR="00600DEE" w:rsidRDefault="00641FB5">
            <w:pPr>
              <w:spacing w:before="120" w:after="120"/>
              <w:jc w:val="both"/>
              <w:rPr>
                <w:rFonts w:ascii="Calibri" w:eastAsia="Calibri" w:hAnsi="Calibri" w:cs="Calibri"/>
                <w:b/>
                <w:i/>
                <w:sz w:val="16"/>
                <w:szCs w:val="16"/>
              </w:rPr>
            </w:pPr>
            <w:r>
              <w:rPr>
                <w:rFonts w:ascii="Calibri" w:eastAsia="Calibri" w:hAnsi="Calibri" w:cs="Calibri"/>
                <w:b/>
                <w:i/>
                <w:sz w:val="16"/>
                <w:szCs w:val="16"/>
              </w:rPr>
              <w:t>Źródło: Opracowanie eksperckie</w:t>
            </w:r>
          </w:p>
          <w:p w14:paraId="1AB99829" w14:textId="5D0F2DD1" w:rsidR="00EE29B5" w:rsidRDefault="00EE29B5">
            <w:pPr>
              <w:spacing w:before="120" w:after="120"/>
              <w:jc w:val="both"/>
              <w:rPr>
                <w:rFonts w:ascii="Calibri" w:eastAsia="Calibri" w:hAnsi="Calibri" w:cs="Calibri"/>
                <w:b/>
                <w:i/>
                <w:sz w:val="16"/>
                <w:szCs w:val="16"/>
              </w:rPr>
            </w:pPr>
          </w:p>
          <w:p w14:paraId="2A5D8B5C" w14:textId="77777777" w:rsidR="00EE29B5" w:rsidRDefault="00EE29B5">
            <w:pPr>
              <w:spacing w:before="120" w:after="120"/>
              <w:jc w:val="both"/>
              <w:rPr>
                <w:rFonts w:ascii="Calibri" w:eastAsia="Calibri" w:hAnsi="Calibri" w:cs="Calibri"/>
                <w:b/>
                <w:i/>
                <w:sz w:val="16"/>
                <w:szCs w:val="16"/>
              </w:rPr>
            </w:pPr>
          </w:p>
          <w:p w14:paraId="09F55304"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lastRenderedPageBreak/>
              <w:t>Prognoza BRD</w:t>
            </w:r>
          </w:p>
          <w:p w14:paraId="237E6CF6" w14:textId="3478D65B"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celu otrzymania prognozowanych wartości LR, LCR, LZ, LLR należy prognozowane wartości LW (z danego okresu referencyjnego) przemnożyć przez odpowiednie wartości WR, WCR, WZ w </w:t>
            </w:r>
            <w:r w:rsidR="00B57CEF">
              <w:rPr>
                <w:rFonts w:ascii="Calibri" w:eastAsia="Calibri" w:hAnsi="Calibri" w:cs="Calibri"/>
                <w:sz w:val="20"/>
                <w:szCs w:val="20"/>
              </w:rPr>
              <w:t xml:space="preserve">zależności od kategorii drogi. </w:t>
            </w:r>
            <w:r>
              <w:rPr>
                <w:rFonts w:ascii="Calibri" w:eastAsia="Calibri" w:hAnsi="Calibri" w:cs="Calibri"/>
                <w:sz w:val="20"/>
                <w:szCs w:val="20"/>
              </w:rPr>
              <w:t xml:space="preserve">Wartości WR, WCR, WZ, nie zmieniają się w czasie. </w:t>
            </w:r>
          </w:p>
          <w:p w14:paraId="4426EF2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Liczbę lekko rannych (LLR), należy wyliczyć jako różnicę: LR-LCR. </w:t>
            </w:r>
          </w:p>
          <w:p w14:paraId="24B1D0E9" w14:textId="77777777" w:rsidR="00600DEE" w:rsidRDefault="00600DEE">
            <w:pPr>
              <w:spacing w:before="120" w:after="120"/>
              <w:jc w:val="both"/>
              <w:rPr>
                <w:rFonts w:ascii="Calibri" w:eastAsia="Calibri" w:hAnsi="Calibri" w:cs="Calibri"/>
                <w:sz w:val="20"/>
                <w:szCs w:val="20"/>
              </w:rPr>
            </w:pPr>
          </w:p>
          <w:p w14:paraId="54A84C64" w14:textId="77777777" w:rsidR="00600DEE" w:rsidRDefault="00641FB5" w:rsidP="00D5736B">
            <w:pPr>
              <w:numPr>
                <w:ilvl w:val="0"/>
                <w:numId w:val="48"/>
              </w:numPr>
              <w:pBdr>
                <w:top w:val="nil"/>
                <w:left w:val="nil"/>
                <w:bottom w:val="nil"/>
                <w:right w:val="nil"/>
                <w:between w:val="nil"/>
              </w:pBdr>
              <w:spacing w:before="36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Koszty wypadków drogowych</w:t>
            </w:r>
          </w:p>
          <w:p w14:paraId="578778AF"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Całkowite koszty wypadków drogowych wylicza się przy pomocy wzoru przedstawionego w tabeli 20 dokumentu głównego.</w:t>
            </w:r>
          </w:p>
        </w:tc>
        <w:tc>
          <w:tcPr>
            <w:tcW w:w="7011" w:type="dxa"/>
            <w:tcBorders>
              <w:left w:val="single" w:sz="4" w:space="0" w:color="000000"/>
            </w:tcBorders>
            <w:tcMar>
              <w:left w:w="284" w:type="dxa"/>
              <w:right w:w="284" w:type="dxa"/>
            </w:tcMar>
          </w:tcPr>
          <w:p w14:paraId="032DC20C"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lastRenderedPageBreak/>
              <w:t>1.   General considerations</w:t>
            </w:r>
          </w:p>
          <w:p w14:paraId="0D79EC20"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000000"/>
                <w:sz w:val="20"/>
                <w:szCs w:val="20"/>
                <w:lang w:val="en-GB"/>
              </w:rPr>
              <w:t xml:space="preserve">For the purpose of accident costs estimation, the method here proposed is based on calculation of probability parameters (i.e. accidents per </w:t>
            </w:r>
            <w:proofErr w:type="spellStart"/>
            <w:r w:rsidRPr="0045151D">
              <w:rPr>
                <w:rFonts w:ascii="Calibri" w:eastAsia="Calibri" w:hAnsi="Calibri" w:cs="Calibri"/>
                <w:color w:val="000000"/>
                <w:sz w:val="20"/>
                <w:szCs w:val="20"/>
                <w:lang w:val="en-GB"/>
              </w:rPr>
              <w:t>veh</w:t>
            </w:r>
            <w:proofErr w:type="spellEnd"/>
            <w:r w:rsidRPr="0045151D">
              <w:rPr>
                <w:rFonts w:ascii="Calibri" w:eastAsia="Calibri" w:hAnsi="Calibri" w:cs="Calibri"/>
                <w:color w:val="000000"/>
                <w:sz w:val="20"/>
                <w:szCs w:val="20"/>
                <w:lang w:val="en-GB"/>
              </w:rPr>
              <w:t xml:space="preserve">-km and road safety factors by type of events – fatalities, injured, heavily injured, slightly injured) in relation to transport work. </w:t>
            </w:r>
            <w:r w:rsidRPr="0045151D">
              <w:rPr>
                <w:rFonts w:ascii="Calibri" w:eastAsia="Calibri" w:hAnsi="Calibri" w:cs="Calibri"/>
                <w:color w:val="222222"/>
                <w:sz w:val="20"/>
                <w:szCs w:val="20"/>
                <w:lang w:val="en-GB"/>
              </w:rPr>
              <w:t xml:space="preserve">This </w:t>
            </w:r>
            <w:r w:rsidRPr="0045151D">
              <w:rPr>
                <w:rFonts w:ascii="Arial" w:eastAsia="Arial" w:hAnsi="Arial" w:cs="Arial"/>
                <w:color w:val="000000"/>
                <w:sz w:val="20"/>
                <w:szCs w:val="20"/>
                <w:lang w:val="en-GB"/>
              </w:rPr>
              <w:t>Appendix</w:t>
            </w:r>
            <w:r w:rsidRPr="0045151D">
              <w:rPr>
                <w:rFonts w:ascii="Calibri" w:eastAsia="Calibri" w:hAnsi="Calibri" w:cs="Calibri"/>
                <w:color w:val="222222"/>
                <w:sz w:val="20"/>
                <w:szCs w:val="20"/>
                <w:lang w:val="en-GB"/>
              </w:rPr>
              <w:t xml:space="preserve"> includes the tables with </w:t>
            </w:r>
            <w:r w:rsidRPr="0045151D">
              <w:rPr>
                <w:rFonts w:ascii="Calibri" w:eastAsia="Calibri" w:hAnsi="Calibri" w:cs="Calibri"/>
                <w:b/>
                <w:color w:val="222222"/>
                <w:sz w:val="20"/>
                <w:szCs w:val="20"/>
                <w:lang w:val="en-GB"/>
              </w:rPr>
              <w:t xml:space="preserve">RAI </w:t>
            </w:r>
            <w:r w:rsidRPr="0045151D">
              <w:rPr>
                <w:rFonts w:ascii="Calibri" w:eastAsia="Calibri" w:hAnsi="Calibri" w:cs="Calibri"/>
                <w:color w:val="222222"/>
                <w:sz w:val="20"/>
                <w:szCs w:val="20"/>
                <w:lang w:val="en-GB"/>
              </w:rPr>
              <w:t>(Relative Accident Indicator), based on RS indicators method presented later in t</w:t>
            </w:r>
            <w:r w:rsidRPr="0045151D">
              <w:rPr>
                <w:rFonts w:ascii="Arial" w:eastAsia="Arial" w:hAnsi="Arial" w:cs="Arial"/>
                <w:color w:val="222222"/>
                <w:sz w:val="20"/>
                <w:szCs w:val="20"/>
                <w:lang w:val="en-GB"/>
              </w:rPr>
              <w:t>he</w:t>
            </w:r>
            <w:r w:rsidRPr="0045151D">
              <w:rPr>
                <w:rFonts w:ascii="Calibri" w:eastAsia="Calibri" w:hAnsi="Calibri" w:cs="Calibri"/>
                <w:color w:val="222222"/>
                <w:sz w:val="20"/>
                <w:szCs w:val="20"/>
                <w:lang w:val="en-GB"/>
              </w:rPr>
              <w:t xml:space="preserve"> Appendix, and the following accident severity factors:</w:t>
            </w:r>
          </w:p>
          <w:p w14:paraId="19645016" w14:textId="77777777" w:rsidR="00600DEE" w:rsidRPr="0045151D" w:rsidRDefault="00641FB5" w:rsidP="00D5736B">
            <w:pPr>
              <w:numPr>
                <w:ilvl w:val="0"/>
                <w:numId w:val="51"/>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WR</w:t>
            </w:r>
            <w:r w:rsidRPr="0045151D">
              <w:rPr>
                <w:rFonts w:ascii="Calibri" w:eastAsia="Calibri" w:hAnsi="Calibri" w:cs="Calibri"/>
                <w:color w:val="000000"/>
                <w:sz w:val="20"/>
                <w:szCs w:val="20"/>
                <w:lang w:val="en-GB"/>
              </w:rPr>
              <w:t xml:space="preserve"> – the average number of injured in a road accident,</w:t>
            </w:r>
          </w:p>
          <w:p w14:paraId="386118E9" w14:textId="77777777" w:rsidR="00600DEE" w:rsidRPr="0045151D" w:rsidRDefault="00641FB5" w:rsidP="00D5736B">
            <w:pPr>
              <w:numPr>
                <w:ilvl w:val="0"/>
                <w:numId w:val="51"/>
              </w:numPr>
              <w:pBdr>
                <w:top w:val="nil"/>
                <w:left w:val="nil"/>
                <w:bottom w:val="nil"/>
                <w:right w:val="nil"/>
                <w:between w:val="nil"/>
              </w:pBdr>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WCR</w:t>
            </w:r>
            <w:r w:rsidRPr="0045151D">
              <w:rPr>
                <w:rFonts w:ascii="Calibri" w:eastAsia="Calibri" w:hAnsi="Calibri" w:cs="Calibri"/>
                <w:color w:val="000000"/>
                <w:sz w:val="20"/>
                <w:szCs w:val="20"/>
                <w:lang w:val="en-GB"/>
              </w:rPr>
              <w:t xml:space="preserve"> – the average number of seriously injured in a road accident,</w:t>
            </w:r>
          </w:p>
          <w:p w14:paraId="00056FFA" w14:textId="77777777" w:rsidR="00600DEE" w:rsidRPr="0045151D" w:rsidRDefault="00641FB5" w:rsidP="00D5736B">
            <w:pPr>
              <w:numPr>
                <w:ilvl w:val="0"/>
                <w:numId w:val="51"/>
              </w:numPr>
              <w:pBdr>
                <w:top w:val="nil"/>
                <w:left w:val="nil"/>
                <w:bottom w:val="nil"/>
                <w:right w:val="nil"/>
                <w:between w:val="nil"/>
              </w:pBdr>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WZ </w:t>
            </w:r>
            <w:r w:rsidRPr="0045151D">
              <w:rPr>
                <w:rFonts w:ascii="Calibri" w:eastAsia="Calibri" w:hAnsi="Calibri" w:cs="Calibri"/>
                <w:color w:val="000000"/>
                <w:sz w:val="20"/>
                <w:szCs w:val="20"/>
                <w:lang w:val="en-GB"/>
              </w:rPr>
              <w:t>– the average number of fatalities in a road accident.</w:t>
            </w:r>
          </w:p>
          <w:p w14:paraId="6BA56850" w14:textId="77777777" w:rsidR="00600DEE" w:rsidRPr="0045151D" w:rsidRDefault="00600DEE">
            <w:pPr>
              <w:pBdr>
                <w:top w:val="nil"/>
                <w:left w:val="nil"/>
                <w:bottom w:val="nil"/>
                <w:right w:val="nil"/>
                <w:between w:val="nil"/>
              </w:pBdr>
              <w:spacing w:after="120"/>
              <w:ind w:hanging="707"/>
              <w:jc w:val="both"/>
              <w:rPr>
                <w:rFonts w:ascii="Calibri" w:eastAsia="Calibri" w:hAnsi="Calibri" w:cs="Calibri"/>
                <w:color w:val="000000"/>
                <w:sz w:val="20"/>
                <w:szCs w:val="20"/>
                <w:lang w:val="en-GB"/>
              </w:rPr>
            </w:pPr>
          </w:p>
          <w:p w14:paraId="439FC27E"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These accident severity factors apply to the national road network and they are based on the studies of experts from the Technical University of Gdansk, using </w:t>
            </w:r>
            <w:proofErr w:type="spellStart"/>
            <w:r w:rsidRPr="0045151D">
              <w:rPr>
                <w:rFonts w:ascii="Calibri" w:eastAsia="Calibri" w:hAnsi="Calibri" w:cs="Calibri"/>
                <w:sz w:val="20"/>
                <w:szCs w:val="20"/>
                <w:lang w:val="en-GB"/>
              </w:rPr>
              <w:t>GDDKiA</w:t>
            </w:r>
            <w:proofErr w:type="spellEnd"/>
            <w:r w:rsidRPr="0045151D">
              <w:rPr>
                <w:rFonts w:ascii="Calibri" w:eastAsia="Calibri" w:hAnsi="Calibri" w:cs="Calibri"/>
                <w:sz w:val="20"/>
                <w:szCs w:val="20"/>
                <w:lang w:val="en-GB"/>
              </w:rPr>
              <w:t xml:space="preserve"> and Police data from the years 2011-2013.</w:t>
            </w:r>
          </w:p>
          <w:p w14:paraId="62F54618" w14:textId="3F4965FE"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method is developed for dual and single carriageway roads (with road section lengths around or over 10 km) of non-urban roads</w:t>
            </w:r>
            <w:r w:rsidR="00A85726" w:rsidRPr="00A85726">
              <w:rPr>
                <w:rFonts w:ascii="Calibri" w:eastAsia="Calibri" w:hAnsi="Calibri" w:cs="Calibri"/>
                <w:sz w:val="20"/>
                <w:szCs w:val="20"/>
                <w:vertAlign w:val="superscript"/>
                <w:lang w:val="en-US"/>
              </w:rPr>
              <w:t>27</w:t>
            </w:r>
            <w:r w:rsidRPr="0045151D">
              <w:rPr>
                <w:rFonts w:ascii="Calibri" w:eastAsia="Calibri" w:hAnsi="Calibri" w:cs="Calibri"/>
                <w:sz w:val="20"/>
                <w:szCs w:val="20"/>
                <w:lang w:val="en-GB"/>
              </w:rPr>
              <w:t>. The analysis should take into account the effect of the time horizon factor</w:t>
            </w:r>
            <w:r w:rsidRPr="0045151D">
              <w:rPr>
                <w:rFonts w:ascii="Calibri" w:eastAsia="Calibri" w:hAnsi="Calibri" w:cs="Calibri"/>
                <w:b/>
                <w:sz w:val="20"/>
                <w:szCs w:val="20"/>
                <w:lang w:val="en-GB"/>
              </w:rPr>
              <w:t xml:space="preserve"> </w:t>
            </w:r>
            <w:r w:rsidR="00A85726" w:rsidRPr="00A85726">
              <w:rPr>
                <w:rFonts w:ascii="Calibri" w:eastAsia="Calibri" w:hAnsi="Calibri" w:cs="Calibri"/>
                <w:b/>
                <w:i/>
                <w:sz w:val="20"/>
                <w:szCs w:val="20"/>
                <w:lang w:val="en-US"/>
              </w:rPr>
              <w:t>f</w:t>
            </w:r>
            <w:r w:rsidRPr="0045151D">
              <w:rPr>
                <w:rFonts w:ascii="Calibri" w:eastAsia="Calibri" w:hAnsi="Calibri" w:cs="Calibri"/>
                <w:b/>
                <w:sz w:val="20"/>
                <w:szCs w:val="20"/>
                <w:vertAlign w:val="subscript"/>
                <w:lang w:val="en-GB"/>
              </w:rPr>
              <w:t>HP</w:t>
            </w:r>
            <w:r w:rsidRPr="0045151D">
              <w:rPr>
                <w:rFonts w:ascii="Calibri" w:eastAsia="Calibri" w:hAnsi="Calibri" w:cs="Calibri"/>
                <w:sz w:val="20"/>
                <w:szCs w:val="20"/>
                <w:lang w:val="en-GB"/>
              </w:rPr>
              <w:t xml:space="preserve"> , as shown in table 1, and location factor </w:t>
            </w:r>
            <w:r w:rsidR="00A85726" w:rsidRPr="00A85726">
              <w:rPr>
                <w:rFonts w:ascii="Calibri" w:eastAsia="Calibri" w:hAnsi="Calibri" w:cs="Calibri"/>
                <w:b/>
                <w:i/>
                <w:sz w:val="20"/>
                <w:szCs w:val="20"/>
                <w:lang w:val="en-US"/>
              </w:rPr>
              <w:t>f</w:t>
            </w:r>
            <w:r w:rsidRPr="0045151D">
              <w:rPr>
                <w:rFonts w:ascii="Calibri" w:eastAsia="Calibri" w:hAnsi="Calibri" w:cs="Calibri"/>
                <w:b/>
                <w:sz w:val="20"/>
                <w:szCs w:val="20"/>
                <w:vertAlign w:val="subscript"/>
                <w:lang w:val="en-GB"/>
              </w:rPr>
              <w:t xml:space="preserve">LDW </w:t>
            </w:r>
            <w:r w:rsidRPr="0045151D">
              <w:rPr>
                <w:rFonts w:ascii="Calibri" w:eastAsia="Calibri" w:hAnsi="Calibri" w:cs="Calibri"/>
                <w:sz w:val="20"/>
                <w:szCs w:val="20"/>
                <w:lang w:val="en-GB"/>
              </w:rPr>
              <w:t xml:space="preserve">(in case of single carriageway) - table 4 below. </w:t>
            </w:r>
          </w:p>
          <w:p w14:paraId="768EFD4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addition, the appendix contains tables with indicators of severity of accidents for the voivodeship, community and county roads.</w:t>
            </w:r>
          </w:p>
          <w:p w14:paraId="66968E16" w14:textId="5C808204" w:rsidR="00600DEE" w:rsidRDefault="00600DEE">
            <w:pPr>
              <w:pBdr>
                <w:top w:val="nil"/>
                <w:left w:val="nil"/>
                <w:bottom w:val="nil"/>
                <w:right w:val="nil"/>
                <w:between w:val="nil"/>
              </w:pBdr>
              <w:spacing w:before="120" w:after="120"/>
              <w:jc w:val="both"/>
              <w:rPr>
                <w:rFonts w:ascii="Calibri" w:eastAsia="Calibri" w:hAnsi="Calibri" w:cs="Calibri"/>
                <w:b/>
                <w:color w:val="4F81BD"/>
                <w:sz w:val="23"/>
                <w:szCs w:val="23"/>
                <w:lang w:val="en-GB"/>
              </w:rPr>
            </w:pPr>
          </w:p>
          <w:p w14:paraId="4908B649" w14:textId="77777777" w:rsidR="00A85726" w:rsidRPr="0045151D" w:rsidRDefault="00A85726">
            <w:pPr>
              <w:pBdr>
                <w:top w:val="nil"/>
                <w:left w:val="nil"/>
                <w:bottom w:val="nil"/>
                <w:right w:val="nil"/>
                <w:between w:val="nil"/>
              </w:pBdr>
              <w:spacing w:before="120" w:after="120"/>
              <w:jc w:val="both"/>
              <w:rPr>
                <w:rFonts w:ascii="Calibri" w:eastAsia="Calibri" w:hAnsi="Calibri" w:cs="Calibri"/>
                <w:b/>
                <w:color w:val="4F81BD"/>
                <w:sz w:val="23"/>
                <w:szCs w:val="23"/>
                <w:lang w:val="en-GB"/>
              </w:rPr>
            </w:pPr>
          </w:p>
          <w:p w14:paraId="7F7333EB"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lastRenderedPageBreak/>
              <w:t>2.   Number of accidents</w:t>
            </w:r>
          </w:p>
          <w:p w14:paraId="5DA3F652" w14:textId="77777777" w:rsidR="00A85726" w:rsidRDefault="00A85726" w:rsidP="00A85726">
            <w:pPr>
              <w:pStyle w:val="anxnormal"/>
              <w:spacing w:after="120"/>
              <w:ind w:left="0"/>
              <w:rPr>
                <w:rFonts w:asciiTheme="minorHAnsi" w:hAnsiTheme="minorHAnsi" w:cstheme="minorHAnsi"/>
                <w:lang w:val="en-GB"/>
              </w:rPr>
            </w:pPr>
            <w:r w:rsidRPr="000125A8">
              <w:rPr>
                <w:rFonts w:asciiTheme="minorHAnsi" w:hAnsiTheme="minorHAnsi" w:cstheme="minorHAnsi"/>
                <w:lang w:val="en-GB"/>
              </w:rPr>
              <w:t>The number of accidents (LW) shall be calculated consideri</w:t>
            </w:r>
            <w:r w:rsidRPr="00371A33">
              <w:rPr>
                <w:rFonts w:asciiTheme="minorHAnsi" w:hAnsiTheme="minorHAnsi" w:cstheme="minorHAnsi"/>
                <w:lang w:val="en-GB"/>
              </w:rPr>
              <w:t>ng the respective values of RAI indicator (relative rate of accidents, expressed in accidents/10</w:t>
            </w:r>
            <w:r w:rsidRPr="00371A33">
              <w:rPr>
                <w:rFonts w:asciiTheme="minorHAnsi" w:hAnsiTheme="minorHAnsi" w:cstheme="minorHAnsi"/>
                <w:vertAlign w:val="superscript"/>
                <w:lang w:val="en-GB"/>
              </w:rPr>
              <w:t>6</w:t>
            </w:r>
            <w:r w:rsidRPr="00371A33">
              <w:rPr>
                <w:rFonts w:asciiTheme="minorHAnsi" w:hAnsiTheme="minorHAnsi" w:cstheme="minorHAnsi"/>
                <w:lang w:val="en-GB"/>
              </w:rPr>
              <w:t xml:space="preserve">veh-km/day), and then multiplying it indicator by the respective transport work (in </w:t>
            </w:r>
            <w:proofErr w:type="spellStart"/>
            <w:r w:rsidRPr="00371A33">
              <w:rPr>
                <w:rFonts w:asciiTheme="minorHAnsi" w:hAnsiTheme="minorHAnsi" w:cstheme="minorHAnsi"/>
                <w:lang w:val="en-GB"/>
              </w:rPr>
              <w:t>veh</w:t>
            </w:r>
            <w:proofErr w:type="spellEnd"/>
            <w:r w:rsidRPr="00371A33">
              <w:rPr>
                <w:rFonts w:asciiTheme="minorHAnsi" w:hAnsiTheme="minorHAnsi" w:cstheme="minorHAnsi"/>
                <w:lang w:val="en-GB"/>
              </w:rPr>
              <w:t xml:space="preserve">-km) and factors </w:t>
            </w:r>
            <w:proofErr w:type="spellStart"/>
            <w:r w:rsidRPr="00371A33">
              <w:rPr>
                <w:rFonts w:asciiTheme="minorHAnsi" w:hAnsiTheme="minorHAnsi" w:cstheme="minorHAnsi"/>
                <w:b/>
                <w:i/>
                <w:lang w:val="en-GB"/>
              </w:rPr>
              <w:t>f</w:t>
            </w:r>
            <w:r w:rsidRPr="00371A33">
              <w:rPr>
                <w:rFonts w:asciiTheme="minorHAnsi" w:hAnsiTheme="minorHAnsi" w:cstheme="minorHAnsi"/>
                <w:b/>
                <w:i/>
                <w:vertAlign w:val="subscript"/>
                <w:lang w:val="en-GB"/>
              </w:rPr>
              <w:t>HP</w:t>
            </w:r>
            <w:proofErr w:type="spellEnd"/>
            <w:r w:rsidRPr="00371A33">
              <w:rPr>
                <w:rFonts w:asciiTheme="minorHAnsi" w:hAnsiTheme="minorHAnsi" w:cstheme="minorHAnsi"/>
                <w:lang w:val="en-GB"/>
              </w:rPr>
              <w:t xml:space="preserve"> and </w:t>
            </w:r>
            <w:r w:rsidRPr="00371A33">
              <w:rPr>
                <w:rFonts w:asciiTheme="minorHAnsi" w:hAnsiTheme="minorHAnsi" w:cstheme="minorHAnsi"/>
                <w:b/>
                <w:i/>
                <w:lang w:val="en-GB"/>
              </w:rPr>
              <w:t>f</w:t>
            </w:r>
            <w:r w:rsidRPr="00371A33">
              <w:rPr>
                <w:rFonts w:asciiTheme="minorHAnsi" w:hAnsiTheme="minorHAnsi" w:cstheme="minorHAnsi"/>
                <w:b/>
                <w:i/>
                <w:vertAlign w:val="superscript"/>
                <w:lang w:val="en-GB"/>
              </w:rPr>
              <w:t>(1)</w:t>
            </w:r>
            <w:r w:rsidRPr="00371A33">
              <w:rPr>
                <w:rFonts w:asciiTheme="minorHAnsi" w:hAnsiTheme="minorHAnsi" w:cstheme="minorHAnsi"/>
                <w:b/>
                <w:i/>
                <w:vertAlign w:val="subscript"/>
                <w:lang w:val="en-GB"/>
              </w:rPr>
              <w:t>LDW</w:t>
            </w:r>
            <w:r w:rsidRPr="00371A33">
              <w:rPr>
                <w:rFonts w:asciiTheme="minorHAnsi" w:hAnsiTheme="minorHAnsi" w:cstheme="minorHAnsi"/>
                <w:lang w:val="en-GB"/>
              </w:rPr>
              <w:t xml:space="preserve"> (the latter only in case of single carriageways).</w:t>
            </w:r>
          </w:p>
          <w:p w14:paraId="3738B881" w14:textId="77777777" w:rsidR="00BE5902" w:rsidRPr="0045151D" w:rsidRDefault="00BE5902" w:rsidP="00BE5902">
            <w:pPr>
              <w:spacing w:before="120" w:after="240"/>
              <w:jc w:val="both"/>
              <w:rPr>
                <w:rFonts w:ascii="Calibri" w:eastAsia="Calibri" w:hAnsi="Calibri" w:cs="Calibri"/>
                <w:color w:val="222222"/>
                <w:sz w:val="20"/>
                <w:szCs w:val="20"/>
                <w:lang w:val="en-GB"/>
              </w:rPr>
            </w:pPr>
          </w:p>
          <w:p w14:paraId="510746D6"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Table 1. Forecast time horizon factor </w:t>
            </w:r>
            <w:proofErr w:type="spellStart"/>
            <w:r w:rsidRPr="0045151D">
              <w:rPr>
                <w:rFonts w:ascii="Calibri" w:eastAsia="Calibri" w:hAnsi="Calibri" w:cs="Calibri"/>
                <w:b/>
                <w:color w:val="4F81BD"/>
                <w:sz w:val="20"/>
                <w:szCs w:val="20"/>
                <w:lang w:val="en-GB"/>
              </w:rPr>
              <w:t>f</w:t>
            </w:r>
            <w:r w:rsidRPr="0045151D">
              <w:rPr>
                <w:rFonts w:ascii="Calibri" w:eastAsia="Calibri" w:hAnsi="Calibri" w:cs="Calibri"/>
                <w:b/>
                <w:color w:val="4F81BD"/>
                <w:sz w:val="20"/>
                <w:szCs w:val="20"/>
                <w:vertAlign w:val="subscript"/>
                <w:lang w:val="en-GB"/>
              </w:rPr>
              <w:t>HP</w:t>
            </w:r>
            <w:proofErr w:type="spellEnd"/>
          </w:p>
          <w:tbl>
            <w:tblPr>
              <w:tblStyle w:val="afffffffffffffffd"/>
              <w:tblW w:w="65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95"/>
              <w:gridCol w:w="1275"/>
              <w:gridCol w:w="1794"/>
              <w:gridCol w:w="1293"/>
            </w:tblGrid>
            <w:tr w:rsidR="00600DEE" w:rsidRPr="007463B9" w14:paraId="297E6392" w14:textId="77777777" w:rsidTr="00BE5902">
              <w:trPr>
                <w:trHeight w:hRule="exact" w:val="284"/>
              </w:trPr>
              <w:tc>
                <w:tcPr>
                  <w:tcW w:w="2195" w:type="dxa"/>
                  <w:shd w:val="clear" w:color="auto" w:fill="A6A6A6"/>
                  <w:vAlign w:val="center"/>
                </w:tcPr>
                <w:p w14:paraId="1F35589C"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75" w:type="dxa"/>
                  <w:shd w:val="clear" w:color="auto" w:fill="A6A6A6"/>
                  <w:vAlign w:val="center"/>
                </w:tcPr>
                <w:p w14:paraId="5C9527F2"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roofErr w:type="spellEnd"/>
                </w:p>
              </w:tc>
              <w:tc>
                <w:tcPr>
                  <w:tcW w:w="1794" w:type="dxa"/>
                  <w:shd w:val="clear" w:color="auto" w:fill="A6A6A6"/>
                  <w:vAlign w:val="center"/>
                </w:tcPr>
                <w:p w14:paraId="612A4F7F"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93" w:type="dxa"/>
                  <w:shd w:val="clear" w:color="auto" w:fill="A6A6A6"/>
                  <w:vAlign w:val="center"/>
                </w:tcPr>
                <w:p w14:paraId="2F389A26"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roofErr w:type="spellEnd"/>
                </w:p>
              </w:tc>
            </w:tr>
            <w:tr w:rsidR="00600DEE" w:rsidRPr="007463B9" w14:paraId="7A24E934" w14:textId="77777777" w:rsidTr="00BE5902">
              <w:trPr>
                <w:trHeight w:hRule="exact" w:val="284"/>
              </w:trPr>
              <w:tc>
                <w:tcPr>
                  <w:tcW w:w="2195" w:type="dxa"/>
                  <w:shd w:val="clear" w:color="auto" w:fill="DBE5F1"/>
                  <w:vAlign w:val="center"/>
                </w:tcPr>
                <w:p w14:paraId="70BEA1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2009 - 2010</w:t>
                  </w:r>
                </w:p>
              </w:tc>
              <w:tc>
                <w:tcPr>
                  <w:tcW w:w="1275" w:type="dxa"/>
                  <w:shd w:val="clear" w:color="auto" w:fill="DBE5F1"/>
                  <w:vAlign w:val="center"/>
                </w:tcPr>
                <w:p w14:paraId="5C4B1279" w14:textId="270D09B9"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0</w:t>
                  </w:r>
                </w:p>
              </w:tc>
              <w:tc>
                <w:tcPr>
                  <w:tcW w:w="1794" w:type="dxa"/>
                  <w:shd w:val="clear" w:color="auto" w:fill="DBE5F1"/>
                  <w:vAlign w:val="center"/>
                </w:tcPr>
                <w:p w14:paraId="4710915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2030 - 2033</w:t>
                  </w:r>
                </w:p>
              </w:tc>
              <w:tc>
                <w:tcPr>
                  <w:tcW w:w="1293" w:type="dxa"/>
                  <w:shd w:val="clear" w:color="auto" w:fill="DBE5F1"/>
                  <w:vAlign w:val="center"/>
                </w:tcPr>
                <w:p w14:paraId="61A460DD" w14:textId="1ED8BC65"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5</w:t>
                  </w:r>
                </w:p>
              </w:tc>
            </w:tr>
            <w:tr w:rsidR="00600DEE" w:rsidRPr="007463B9" w14:paraId="75E22B97" w14:textId="77777777" w:rsidTr="00BE5902">
              <w:trPr>
                <w:trHeight w:hRule="exact" w:val="284"/>
              </w:trPr>
              <w:tc>
                <w:tcPr>
                  <w:tcW w:w="2195" w:type="dxa"/>
                  <w:shd w:val="clear" w:color="auto" w:fill="DBE5F1"/>
                  <w:vAlign w:val="center"/>
                </w:tcPr>
                <w:p w14:paraId="751377C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2011 - 2016 </w:t>
                  </w:r>
                </w:p>
              </w:tc>
              <w:tc>
                <w:tcPr>
                  <w:tcW w:w="1275" w:type="dxa"/>
                  <w:shd w:val="clear" w:color="auto" w:fill="DBE5F1"/>
                  <w:vAlign w:val="center"/>
                </w:tcPr>
                <w:p w14:paraId="06E82D39" w14:textId="12E61918"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9</w:t>
                  </w:r>
                </w:p>
              </w:tc>
              <w:tc>
                <w:tcPr>
                  <w:tcW w:w="1794" w:type="dxa"/>
                  <w:shd w:val="clear" w:color="auto" w:fill="DBE5F1"/>
                  <w:vAlign w:val="center"/>
                </w:tcPr>
                <w:p w14:paraId="141BA2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2034 - 2039</w:t>
                  </w:r>
                </w:p>
              </w:tc>
              <w:tc>
                <w:tcPr>
                  <w:tcW w:w="1293" w:type="dxa"/>
                  <w:shd w:val="clear" w:color="auto" w:fill="DBE5F1"/>
                  <w:vAlign w:val="center"/>
                </w:tcPr>
                <w:p w14:paraId="032D249C" w14:textId="3CCC65A5"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4</w:t>
                  </w:r>
                </w:p>
              </w:tc>
            </w:tr>
            <w:tr w:rsidR="00600DEE" w:rsidRPr="007463B9" w14:paraId="00F3588D" w14:textId="77777777" w:rsidTr="00BE5902">
              <w:trPr>
                <w:trHeight w:hRule="exact" w:val="284"/>
              </w:trPr>
              <w:tc>
                <w:tcPr>
                  <w:tcW w:w="2195" w:type="dxa"/>
                  <w:shd w:val="clear" w:color="auto" w:fill="DBE5F1"/>
                  <w:vAlign w:val="center"/>
                </w:tcPr>
                <w:p w14:paraId="00AF458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2017 - 2021</w:t>
                  </w:r>
                </w:p>
              </w:tc>
              <w:tc>
                <w:tcPr>
                  <w:tcW w:w="1275" w:type="dxa"/>
                  <w:shd w:val="clear" w:color="auto" w:fill="DBE5F1"/>
                  <w:vAlign w:val="center"/>
                </w:tcPr>
                <w:p w14:paraId="5F0B3EC2" w14:textId="2D8F4418"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8</w:t>
                  </w:r>
                </w:p>
              </w:tc>
              <w:tc>
                <w:tcPr>
                  <w:tcW w:w="1794" w:type="dxa"/>
                  <w:shd w:val="clear" w:color="auto" w:fill="DBE5F1"/>
                  <w:vAlign w:val="center"/>
                </w:tcPr>
                <w:p w14:paraId="4D7375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2040 - 2045</w:t>
                  </w:r>
                </w:p>
              </w:tc>
              <w:tc>
                <w:tcPr>
                  <w:tcW w:w="1293" w:type="dxa"/>
                  <w:shd w:val="clear" w:color="auto" w:fill="DBE5F1"/>
                  <w:vAlign w:val="center"/>
                </w:tcPr>
                <w:p w14:paraId="617C847B" w14:textId="0BA3A7F8"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3</w:t>
                  </w:r>
                </w:p>
              </w:tc>
            </w:tr>
            <w:tr w:rsidR="00600DEE" w:rsidRPr="007463B9" w14:paraId="6CAFA252" w14:textId="77777777" w:rsidTr="00BE5902">
              <w:trPr>
                <w:trHeight w:hRule="exact" w:val="284"/>
              </w:trPr>
              <w:tc>
                <w:tcPr>
                  <w:tcW w:w="2195" w:type="dxa"/>
                  <w:shd w:val="clear" w:color="auto" w:fill="DBE5F1"/>
                  <w:vAlign w:val="center"/>
                </w:tcPr>
                <w:p w14:paraId="1298C1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2022 - 2025</w:t>
                  </w:r>
                </w:p>
              </w:tc>
              <w:tc>
                <w:tcPr>
                  <w:tcW w:w="1275" w:type="dxa"/>
                  <w:shd w:val="clear" w:color="auto" w:fill="DBE5F1"/>
                  <w:vAlign w:val="center"/>
                </w:tcPr>
                <w:p w14:paraId="0956B333" w14:textId="70128ED9"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7</w:t>
                  </w:r>
                </w:p>
              </w:tc>
              <w:tc>
                <w:tcPr>
                  <w:tcW w:w="1794" w:type="dxa"/>
                  <w:shd w:val="clear" w:color="auto" w:fill="DBE5F1"/>
                  <w:vAlign w:val="center"/>
                </w:tcPr>
                <w:p w14:paraId="5E25518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2046 - 2050</w:t>
                  </w:r>
                </w:p>
              </w:tc>
              <w:tc>
                <w:tcPr>
                  <w:tcW w:w="1293" w:type="dxa"/>
                  <w:shd w:val="clear" w:color="auto" w:fill="DBE5F1"/>
                  <w:vAlign w:val="center"/>
                </w:tcPr>
                <w:p w14:paraId="58B6823F" w14:textId="40D550A0"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2</w:t>
                  </w:r>
                </w:p>
              </w:tc>
            </w:tr>
            <w:tr w:rsidR="00600DEE" w:rsidRPr="007463B9" w14:paraId="0AD3F973" w14:textId="77777777" w:rsidTr="00BE5902">
              <w:trPr>
                <w:trHeight w:hRule="exact" w:val="284"/>
              </w:trPr>
              <w:tc>
                <w:tcPr>
                  <w:tcW w:w="2195" w:type="dxa"/>
                  <w:shd w:val="clear" w:color="auto" w:fill="DBE5F1"/>
                  <w:vAlign w:val="center"/>
                </w:tcPr>
                <w:p w14:paraId="28F3122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2026 - 2029</w:t>
                  </w:r>
                </w:p>
              </w:tc>
              <w:tc>
                <w:tcPr>
                  <w:tcW w:w="1275" w:type="dxa"/>
                  <w:shd w:val="clear" w:color="auto" w:fill="DBE5F1"/>
                  <w:vAlign w:val="center"/>
                </w:tcPr>
                <w:p w14:paraId="100C77CE" w14:textId="3FDD367B"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6</w:t>
                  </w:r>
                </w:p>
              </w:tc>
              <w:tc>
                <w:tcPr>
                  <w:tcW w:w="1794" w:type="dxa"/>
                  <w:shd w:val="clear" w:color="auto" w:fill="DBE5F1"/>
                </w:tcPr>
                <w:p w14:paraId="495CC332" w14:textId="77777777" w:rsidR="00600DEE" w:rsidRPr="0045151D" w:rsidRDefault="00600DEE">
                  <w:pPr>
                    <w:jc w:val="both"/>
                    <w:rPr>
                      <w:rFonts w:ascii="Calibri" w:eastAsia="Calibri" w:hAnsi="Calibri" w:cs="Calibri"/>
                      <w:color w:val="4F81BD"/>
                      <w:sz w:val="18"/>
                      <w:szCs w:val="18"/>
                      <w:lang w:val="en-GB"/>
                    </w:rPr>
                  </w:pPr>
                </w:p>
              </w:tc>
              <w:tc>
                <w:tcPr>
                  <w:tcW w:w="1293" w:type="dxa"/>
                  <w:shd w:val="clear" w:color="auto" w:fill="DBE5F1"/>
                </w:tcPr>
                <w:p w14:paraId="06B93932" w14:textId="77777777" w:rsidR="00600DEE" w:rsidRPr="0045151D" w:rsidRDefault="00600DEE">
                  <w:pPr>
                    <w:rPr>
                      <w:rFonts w:ascii="Calibri" w:eastAsia="Calibri" w:hAnsi="Calibri" w:cs="Calibri"/>
                      <w:color w:val="4F81BD"/>
                      <w:sz w:val="18"/>
                      <w:szCs w:val="18"/>
                      <w:lang w:val="en-GB"/>
                    </w:rPr>
                  </w:pPr>
                </w:p>
              </w:tc>
            </w:tr>
          </w:tbl>
          <w:p w14:paraId="011572CB" w14:textId="77777777" w:rsidR="00600DEE" w:rsidRPr="0045151D" w:rsidRDefault="00641FB5">
            <w:pPr>
              <w:pBdr>
                <w:top w:val="nil"/>
                <w:left w:val="nil"/>
                <w:bottom w:val="nil"/>
                <w:right w:val="nil"/>
                <w:between w:val="nil"/>
              </w:pBdr>
              <w:spacing w:before="60" w:after="6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Own calculations based on the method of RS indicators</w:t>
            </w:r>
          </w:p>
          <w:p w14:paraId="2EE18A33" w14:textId="77777777" w:rsidR="00600DEE" w:rsidRPr="0045151D" w:rsidRDefault="00641FB5">
            <w:pP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 xml:space="preserve">The following tables include the values of RAI indicators for single and dual carriageway </w:t>
            </w:r>
            <w:proofErr w:type="spellStart"/>
            <w:r w:rsidRPr="0045151D">
              <w:rPr>
                <w:rFonts w:ascii="Calibri" w:eastAsia="Calibri" w:hAnsi="Calibri" w:cs="Calibri"/>
                <w:color w:val="222222"/>
                <w:sz w:val="20"/>
                <w:szCs w:val="20"/>
                <w:lang w:val="en-GB"/>
              </w:rPr>
              <w:t>roadsusing</w:t>
            </w:r>
            <w:proofErr w:type="spellEnd"/>
            <w:r w:rsidRPr="0045151D">
              <w:rPr>
                <w:rFonts w:ascii="Calibri" w:eastAsia="Calibri" w:hAnsi="Calibri" w:cs="Calibri"/>
                <w:color w:val="222222"/>
                <w:sz w:val="20"/>
                <w:szCs w:val="20"/>
                <w:lang w:val="en-GB"/>
              </w:rPr>
              <w:t xml:space="preserve"> the following input data.</w:t>
            </w:r>
          </w:p>
          <w:p w14:paraId="1D7F7FB4"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number of carriageways (dual carriageway, single carriageway),</w:t>
            </w:r>
          </w:p>
          <w:p w14:paraId="3F52CBB5"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road class (the following </w:t>
            </w:r>
            <w:proofErr w:type="spellStart"/>
            <w:r w:rsidRPr="0045151D">
              <w:rPr>
                <w:rFonts w:ascii="Calibri" w:eastAsia="Calibri" w:hAnsi="Calibri" w:cs="Calibri"/>
                <w:color w:val="000000"/>
                <w:sz w:val="20"/>
                <w:szCs w:val="20"/>
                <w:lang w:val="en-GB"/>
              </w:rPr>
              <w:t>onesare</w:t>
            </w:r>
            <w:proofErr w:type="spellEnd"/>
            <w:r w:rsidRPr="0045151D">
              <w:rPr>
                <w:rFonts w:ascii="Calibri" w:eastAsia="Calibri" w:hAnsi="Calibri" w:cs="Calibri"/>
                <w:color w:val="000000"/>
                <w:sz w:val="20"/>
                <w:szCs w:val="20"/>
                <w:lang w:val="en-GB"/>
              </w:rPr>
              <w:t xml:space="preserve"> included: A, S (and S2+1), GP, G),</w:t>
            </w:r>
          </w:p>
          <w:p w14:paraId="665DC07F"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forecast, Average Annual Daily Traffic (AADT),</w:t>
            </w:r>
          </w:p>
          <w:p w14:paraId="35AEB349"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location (region), applies to single carriageway roads,</w:t>
            </w:r>
          </w:p>
          <w:p w14:paraId="0A20C79F" w14:textId="74AEF10D"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built-up area (z) / undeveloped area (n)</w:t>
            </w:r>
            <w:r w:rsidR="00A85726">
              <w:rPr>
                <w:rFonts w:ascii="Calibri" w:eastAsia="Calibri" w:hAnsi="Calibri" w:cs="Calibri"/>
                <w:color w:val="000000"/>
                <w:sz w:val="20"/>
                <w:szCs w:val="20"/>
                <w:lang w:val="en-GB"/>
              </w:rPr>
              <w:t>.</w:t>
            </w:r>
            <w:r w:rsidR="00A85726">
              <w:rPr>
                <w:rFonts w:ascii="Calibri" w:eastAsia="Calibri" w:hAnsi="Calibri" w:cs="Calibri"/>
                <w:color w:val="000000"/>
                <w:sz w:val="20"/>
                <w:szCs w:val="20"/>
                <w:vertAlign w:val="superscript"/>
                <w:lang w:val="en-GB"/>
              </w:rPr>
              <w:t>28</w:t>
            </w:r>
          </w:p>
          <w:p w14:paraId="2696D8E8"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040C1453"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5E747809"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352DE0D7"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3C175D57"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6764A626"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1B46EDF4"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66C958CB" w14:textId="22C6035D" w:rsidR="00600DEE" w:rsidRPr="0045151D" w:rsidRDefault="00641FB5" w:rsidP="00E7601A">
            <w:pPr>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2. RAI indicators for dual carriageways (in accidents/10</w:t>
            </w:r>
            <w:r w:rsidRPr="0045151D">
              <w:rPr>
                <w:rFonts w:ascii="Calibri" w:eastAsia="Calibri" w:hAnsi="Calibri" w:cs="Calibri"/>
                <w:b/>
                <w:color w:val="4F81BD"/>
                <w:sz w:val="20"/>
                <w:szCs w:val="20"/>
                <w:vertAlign w:val="superscript"/>
                <w:lang w:val="en-GB"/>
              </w:rPr>
              <w:t>6</w:t>
            </w:r>
            <w:r w:rsidRPr="0045151D">
              <w:rPr>
                <w:rFonts w:ascii="Calibri" w:eastAsia="Calibri" w:hAnsi="Calibri" w:cs="Calibri"/>
                <w:b/>
                <w:color w:val="4F81BD"/>
                <w:sz w:val="20"/>
                <w:szCs w:val="20"/>
                <w:lang w:val="en-GB"/>
              </w:rPr>
              <w:t>veh-km/day)</w:t>
            </w:r>
          </w:p>
          <w:p w14:paraId="217BBACA" w14:textId="77777777" w:rsidR="00BE5902" w:rsidRPr="0045151D" w:rsidRDefault="00BE5902">
            <w:pPr>
              <w:spacing w:before="120" w:after="120"/>
              <w:rPr>
                <w:rFonts w:ascii="Calibri" w:eastAsia="Calibri" w:hAnsi="Calibri" w:cs="Calibri"/>
                <w:b/>
                <w:color w:val="4F81BD"/>
                <w:sz w:val="20"/>
                <w:szCs w:val="20"/>
                <w:lang w:val="en-GB"/>
              </w:rPr>
            </w:pPr>
          </w:p>
          <w:tbl>
            <w:tblPr>
              <w:tblStyle w:val="afffffffffffffffe"/>
              <w:tblW w:w="6725" w:type="dxa"/>
              <w:tblLayout w:type="fixed"/>
              <w:tblLook w:val="0400" w:firstRow="0" w:lastRow="0" w:firstColumn="0" w:lastColumn="0" w:noHBand="0" w:noVBand="1"/>
            </w:tblPr>
            <w:tblGrid>
              <w:gridCol w:w="1414"/>
              <w:gridCol w:w="591"/>
              <w:gridCol w:w="590"/>
              <w:gridCol w:w="590"/>
              <w:gridCol w:w="590"/>
              <w:gridCol w:w="590"/>
              <w:gridCol w:w="590"/>
              <w:gridCol w:w="590"/>
              <w:gridCol w:w="590"/>
              <w:gridCol w:w="590"/>
            </w:tblGrid>
            <w:tr w:rsidR="00600DEE" w:rsidRPr="007463B9" w14:paraId="79F2004F" w14:textId="77777777" w:rsidTr="00E7601A">
              <w:trPr>
                <w:trHeight w:hRule="exact" w:val="454"/>
              </w:trPr>
              <w:tc>
                <w:tcPr>
                  <w:tcW w:w="950"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5604AC6"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RAI/ AADT</w:t>
                  </w:r>
                </w:p>
              </w:tc>
              <w:tc>
                <w:tcPr>
                  <w:tcW w:w="397" w:type="dxa"/>
                  <w:tcBorders>
                    <w:top w:val="single" w:sz="8" w:space="0" w:color="FFFFFF"/>
                    <w:left w:val="nil"/>
                    <w:bottom w:val="single" w:sz="4" w:space="0" w:color="FFFFFF"/>
                    <w:right w:val="nil"/>
                  </w:tcBorders>
                  <w:shd w:val="clear" w:color="auto" w:fill="A6A6A6"/>
                  <w:vAlign w:val="center"/>
                </w:tcPr>
                <w:p w14:paraId="6A215E67"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A2x2</w:t>
                  </w:r>
                </w:p>
              </w:tc>
              <w:tc>
                <w:tcPr>
                  <w:tcW w:w="39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1D2F7268"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A2x3</w:t>
                  </w:r>
                </w:p>
              </w:tc>
              <w:tc>
                <w:tcPr>
                  <w:tcW w:w="397" w:type="dxa"/>
                  <w:tcBorders>
                    <w:top w:val="single" w:sz="8" w:space="0" w:color="FFFFFF"/>
                    <w:left w:val="nil"/>
                    <w:bottom w:val="single" w:sz="4" w:space="0" w:color="FFFFFF"/>
                    <w:right w:val="nil"/>
                  </w:tcBorders>
                  <w:shd w:val="clear" w:color="auto" w:fill="A6A6A6"/>
                  <w:vAlign w:val="center"/>
                </w:tcPr>
                <w:p w14:paraId="4044C338"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S2+1</w:t>
                  </w:r>
                </w:p>
              </w:tc>
              <w:tc>
                <w:tcPr>
                  <w:tcW w:w="39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902011B"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S2x2</w:t>
                  </w:r>
                </w:p>
              </w:tc>
              <w:tc>
                <w:tcPr>
                  <w:tcW w:w="397" w:type="dxa"/>
                  <w:tcBorders>
                    <w:top w:val="single" w:sz="8" w:space="0" w:color="FFFFFF"/>
                    <w:left w:val="nil"/>
                    <w:bottom w:val="single" w:sz="4" w:space="0" w:color="FFFFFF"/>
                    <w:right w:val="single" w:sz="8" w:space="0" w:color="FFFFFF"/>
                  </w:tcBorders>
                  <w:shd w:val="clear" w:color="auto" w:fill="A6A6A6"/>
                  <w:vAlign w:val="center"/>
                </w:tcPr>
                <w:p w14:paraId="4CF12068"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S2x3</w:t>
                  </w:r>
                </w:p>
              </w:tc>
              <w:tc>
                <w:tcPr>
                  <w:tcW w:w="397" w:type="dxa"/>
                  <w:tcBorders>
                    <w:top w:val="single" w:sz="8" w:space="0" w:color="FFFFFF"/>
                    <w:left w:val="nil"/>
                    <w:bottom w:val="single" w:sz="4" w:space="0" w:color="FFFFFF"/>
                    <w:right w:val="single" w:sz="8" w:space="0" w:color="FFFFFF"/>
                  </w:tcBorders>
                  <w:shd w:val="clear" w:color="auto" w:fill="A6A6A6"/>
                  <w:vAlign w:val="center"/>
                </w:tcPr>
                <w:p w14:paraId="59750714"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GP2x2n</w:t>
                  </w:r>
                </w:p>
              </w:tc>
              <w:tc>
                <w:tcPr>
                  <w:tcW w:w="397" w:type="dxa"/>
                  <w:tcBorders>
                    <w:top w:val="single" w:sz="8" w:space="0" w:color="FFFFFF"/>
                    <w:left w:val="nil"/>
                    <w:bottom w:val="single" w:sz="4" w:space="0" w:color="FFFFFF"/>
                    <w:right w:val="nil"/>
                  </w:tcBorders>
                  <w:shd w:val="clear" w:color="auto" w:fill="A6A6A6"/>
                  <w:vAlign w:val="center"/>
                </w:tcPr>
                <w:p w14:paraId="799D672C"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GP2x2z</w:t>
                  </w:r>
                </w:p>
              </w:tc>
              <w:tc>
                <w:tcPr>
                  <w:tcW w:w="39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68C0C2E"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GP2x3n</w:t>
                  </w:r>
                </w:p>
              </w:tc>
              <w:tc>
                <w:tcPr>
                  <w:tcW w:w="397" w:type="dxa"/>
                  <w:tcBorders>
                    <w:top w:val="single" w:sz="8" w:space="0" w:color="FFFFFF"/>
                    <w:left w:val="nil"/>
                    <w:bottom w:val="single" w:sz="4" w:space="0" w:color="FFFFFF"/>
                    <w:right w:val="single" w:sz="8" w:space="0" w:color="FFFFFF"/>
                  </w:tcBorders>
                  <w:shd w:val="clear" w:color="auto" w:fill="A6A6A6"/>
                  <w:vAlign w:val="center"/>
                </w:tcPr>
                <w:p w14:paraId="65BC0AAA"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GP2x3z</w:t>
                  </w:r>
                </w:p>
              </w:tc>
            </w:tr>
            <w:tr w:rsidR="00600DEE" w:rsidRPr="007463B9" w14:paraId="2984ACCB"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5402CDC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0 - 5 000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A9C7D7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0.017</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0853C7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0.018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26D174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E225F7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7B581A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93B7BE0"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0.289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A0BE743"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0.556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5B3D998"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0.352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FAF776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0.641</w:t>
                  </w:r>
                </w:p>
              </w:tc>
            </w:tr>
            <w:tr w:rsidR="00600DEE" w:rsidRPr="007463B9" w14:paraId="0F4ECFAF"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61E5C3AE" w14:textId="688F1A1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5 000 - 10 000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690E58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FC2DE9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1E1F93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522427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E5DA640"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9BFD43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0.166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F3D428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0.307</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C2F361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0.200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A3B483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0.350</w:t>
                  </w:r>
                </w:p>
              </w:tc>
            </w:tr>
            <w:tr w:rsidR="00600DEE" w:rsidRPr="007463B9" w14:paraId="256703F6"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5D8234A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10 000 - 20 000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72AE0D4"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3001003"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4732B9D"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15D0EDC"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A0FEC2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FE48DE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0.105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E23E38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0.178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1DC965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0.124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6819CB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0.198</w:t>
                  </w:r>
                </w:p>
              </w:tc>
            </w:tr>
            <w:tr w:rsidR="00600DEE" w:rsidRPr="007463B9" w14:paraId="32A2974C"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7C0FAD29" w14:textId="07D4956A"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20</w:t>
                  </w:r>
                  <w:r w:rsidR="00E7601A" w:rsidRPr="0045151D">
                    <w:rPr>
                      <w:rFonts w:ascii="Calibri" w:eastAsia="Calibri" w:hAnsi="Calibri" w:cs="Calibri"/>
                      <w:color w:val="4F81BD"/>
                      <w:sz w:val="15"/>
                      <w:szCs w:val="15"/>
                      <w:lang w:val="en-GB"/>
                    </w:rPr>
                    <w:t> </w:t>
                  </w:r>
                  <w:r w:rsidRPr="0045151D">
                    <w:rPr>
                      <w:rFonts w:ascii="Calibri" w:eastAsia="Calibri" w:hAnsi="Calibri" w:cs="Calibri"/>
                      <w:color w:val="4F81BD"/>
                      <w:sz w:val="15"/>
                      <w:szCs w:val="15"/>
                      <w:lang w:val="en-GB"/>
                    </w:rPr>
                    <w:t>000</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30 000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072F1F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4B92BC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ED1611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1866E9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0.047</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D4DA2B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66957F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0.084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25FC198"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0.125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E92C68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0.095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FD6E88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0.134</w:t>
                  </w:r>
                </w:p>
              </w:tc>
            </w:tr>
            <w:tr w:rsidR="00600DEE" w:rsidRPr="007463B9" w14:paraId="17B088AC"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229310CF" w14:textId="431DC804"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30</w:t>
                  </w:r>
                  <w:r w:rsidR="00E7601A" w:rsidRPr="0045151D">
                    <w:rPr>
                      <w:rFonts w:ascii="Calibri" w:eastAsia="Calibri" w:hAnsi="Calibri" w:cs="Calibri"/>
                      <w:color w:val="4F81BD"/>
                      <w:sz w:val="15"/>
                      <w:szCs w:val="15"/>
                      <w:lang w:val="en-GB"/>
                    </w:rPr>
                    <w:t> </w:t>
                  </w:r>
                  <w:r w:rsidRPr="0045151D">
                    <w:rPr>
                      <w:rFonts w:ascii="Calibri" w:eastAsia="Calibri" w:hAnsi="Calibri" w:cs="Calibri"/>
                      <w:color w:val="4F81BD"/>
                      <w:sz w:val="15"/>
                      <w:szCs w:val="15"/>
                      <w:lang w:val="en-GB"/>
                    </w:rPr>
                    <w:t>000</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40 000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EF892A3"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11E755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887993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50E99D1"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C2FCCE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0D49BF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0.076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7717CEC"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0.101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7D24A2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0.084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97424B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0.106</w:t>
                  </w:r>
                </w:p>
              </w:tc>
            </w:tr>
            <w:tr w:rsidR="00600DEE" w:rsidRPr="007463B9" w14:paraId="5EB33CC9"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6A77F750"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above 40 000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757A72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8B577DD"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4C41F3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2ED86B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D554A1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C07E55D"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5F7038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04FAE8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BE86D3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0.085</w:t>
                  </w:r>
                </w:p>
              </w:tc>
            </w:tr>
          </w:tbl>
          <w:p w14:paraId="1D2FC862" w14:textId="77777777" w:rsidR="00600DEE" w:rsidRPr="0045151D" w:rsidRDefault="00641FB5">
            <w:pPr>
              <w:spacing w:before="120" w:after="120"/>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4D271784" w14:textId="7DC9FF7A" w:rsidR="00600DEE" w:rsidRPr="0045151D" w:rsidRDefault="00641FB5">
            <w:pPr>
              <w:spacing w:before="120" w:after="120"/>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3. RAI indicators for single carriageways (in accidents/10</w:t>
            </w:r>
            <w:r w:rsidRPr="0045151D">
              <w:rPr>
                <w:rFonts w:ascii="Calibri" w:eastAsia="Calibri" w:hAnsi="Calibri" w:cs="Calibri"/>
                <w:b/>
                <w:color w:val="4F81BD"/>
                <w:sz w:val="20"/>
                <w:szCs w:val="20"/>
                <w:vertAlign w:val="superscript"/>
                <w:lang w:val="en-GB"/>
              </w:rPr>
              <w:t>6</w:t>
            </w:r>
            <w:r w:rsidRPr="0045151D">
              <w:rPr>
                <w:rFonts w:ascii="Calibri" w:eastAsia="Calibri" w:hAnsi="Calibri" w:cs="Calibri"/>
                <w:b/>
                <w:color w:val="4F81BD"/>
                <w:sz w:val="20"/>
                <w:szCs w:val="20"/>
                <w:lang w:val="en-GB"/>
              </w:rPr>
              <w:t>veh-km/day)</w:t>
            </w:r>
          </w:p>
          <w:p w14:paraId="495ADD83" w14:textId="77777777" w:rsidR="00E7601A" w:rsidRPr="0045151D" w:rsidRDefault="00E7601A" w:rsidP="00E7601A">
            <w:pPr>
              <w:rPr>
                <w:rFonts w:ascii="Calibri" w:eastAsia="Calibri" w:hAnsi="Calibri" w:cs="Calibri"/>
                <w:b/>
                <w:color w:val="4F81BD"/>
                <w:sz w:val="20"/>
                <w:szCs w:val="20"/>
                <w:lang w:val="en-GB"/>
              </w:rPr>
            </w:pPr>
          </w:p>
          <w:tbl>
            <w:tblPr>
              <w:tblStyle w:val="affffffffffffffff"/>
              <w:tblW w:w="6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38"/>
              <w:gridCol w:w="747"/>
              <w:gridCol w:w="748"/>
              <w:gridCol w:w="748"/>
              <w:gridCol w:w="748"/>
              <w:gridCol w:w="748"/>
              <w:gridCol w:w="748"/>
            </w:tblGrid>
            <w:tr w:rsidR="00600DEE" w:rsidRPr="007463B9" w14:paraId="2DD22B30" w14:textId="77777777" w:rsidTr="00E7601A">
              <w:trPr>
                <w:trHeight w:hRule="exact" w:val="284"/>
              </w:trPr>
              <w:tc>
                <w:tcPr>
                  <w:tcW w:w="1360" w:type="dxa"/>
                  <w:tcBorders>
                    <w:bottom w:val="single" w:sz="4" w:space="0" w:color="FFFFFF"/>
                  </w:tcBorders>
                  <w:shd w:val="clear" w:color="auto" w:fill="A6A6A6"/>
                  <w:vAlign w:val="center"/>
                </w:tcPr>
                <w:p w14:paraId="6FBDFA77"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RAI/ AADT</w:t>
                  </w:r>
                </w:p>
              </w:tc>
              <w:tc>
                <w:tcPr>
                  <w:tcW w:w="454" w:type="dxa"/>
                  <w:tcBorders>
                    <w:bottom w:val="single" w:sz="4" w:space="0" w:color="FFFFFF"/>
                  </w:tcBorders>
                  <w:shd w:val="clear" w:color="auto" w:fill="A6A6A6"/>
                  <w:vAlign w:val="center"/>
                </w:tcPr>
                <w:p w14:paraId="663EAD6D"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454" w:type="dxa"/>
                  <w:tcBorders>
                    <w:bottom w:val="single" w:sz="4" w:space="0" w:color="FFFFFF"/>
                  </w:tcBorders>
                  <w:shd w:val="clear" w:color="auto" w:fill="A6A6A6"/>
                  <w:vAlign w:val="center"/>
                </w:tcPr>
                <w:p w14:paraId="0D9014B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S1x2z</w:t>
                  </w:r>
                </w:p>
              </w:tc>
              <w:tc>
                <w:tcPr>
                  <w:tcW w:w="454" w:type="dxa"/>
                  <w:tcBorders>
                    <w:bottom w:val="single" w:sz="4" w:space="0" w:color="FFFFFF"/>
                  </w:tcBorders>
                  <w:shd w:val="clear" w:color="auto" w:fill="A6A6A6"/>
                  <w:vAlign w:val="center"/>
                </w:tcPr>
                <w:p w14:paraId="6B77ED2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GP1x2n</w:t>
                  </w:r>
                </w:p>
              </w:tc>
              <w:tc>
                <w:tcPr>
                  <w:tcW w:w="454" w:type="dxa"/>
                  <w:tcBorders>
                    <w:bottom w:val="single" w:sz="4" w:space="0" w:color="FFFFFF"/>
                  </w:tcBorders>
                  <w:shd w:val="clear" w:color="auto" w:fill="A6A6A6"/>
                  <w:vAlign w:val="center"/>
                </w:tcPr>
                <w:p w14:paraId="72D1B2E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GP1x2z</w:t>
                  </w:r>
                </w:p>
              </w:tc>
              <w:tc>
                <w:tcPr>
                  <w:tcW w:w="454" w:type="dxa"/>
                  <w:tcBorders>
                    <w:bottom w:val="single" w:sz="4" w:space="0" w:color="FFFFFF"/>
                  </w:tcBorders>
                  <w:shd w:val="clear" w:color="auto" w:fill="A6A6A6"/>
                  <w:vAlign w:val="center"/>
                </w:tcPr>
                <w:p w14:paraId="71C8471D"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G1x2n</w:t>
                  </w:r>
                </w:p>
              </w:tc>
              <w:tc>
                <w:tcPr>
                  <w:tcW w:w="454" w:type="dxa"/>
                  <w:tcBorders>
                    <w:bottom w:val="single" w:sz="4" w:space="0" w:color="FFFFFF"/>
                  </w:tcBorders>
                  <w:shd w:val="clear" w:color="auto" w:fill="A6A6A6"/>
                  <w:vAlign w:val="center"/>
                </w:tcPr>
                <w:p w14:paraId="2B5D1A99" w14:textId="77777777" w:rsidR="00600DEE" w:rsidRPr="0045151D" w:rsidRDefault="00641FB5" w:rsidP="00E7601A">
                  <w:pPr>
                    <w:ind w:right="-91"/>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G1x2z</w:t>
                  </w:r>
                </w:p>
              </w:tc>
            </w:tr>
            <w:tr w:rsidR="00600DEE" w:rsidRPr="007463B9" w14:paraId="5DB3B6AA"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72CF8E7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0 - 5 000</w:t>
                  </w:r>
                </w:p>
              </w:tc>
              <w:tc>
                <w:tcPr>
                  <w:tcW w:w="454" w:type="dxa"/>
                  <w:tcBorders>
                    <w:top w:val="single" w:sz="4" w:space="0" w:color="FFFFFF"/>
                    <w:bottom w:val="single" w:sz="4" w:space="0" w:color="FFFFFF"/>
                  </w:tcBorders>
                  <w:shd w:val="clear" w:color="auto" w:fill="DBE5F1"/>
                  <w:vAlign w:val="center"/>
                </w:tcPr>
                <w:p w14:paraId="1F99C77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0.065</w:t>
                  </w:r>
                </w:p>
              </w:tc>
              <w:tc>
                <w:tcPr>
                  <w:tcW w:w="454" w:type="dxa"/>
                  <w:tcBorders>
                    <w:top w:val="single" w:sz="4" w:space="0" w:color="FFFFFF"/>
                    <w:bottom w:val="single" w:sz="4" w:space="0" w:color="FFFFFF"/>
                  </w:tcBorders>
                  <w:shd w:val="clear" w:color="auto" w:fill="DBE5F1"/>
                  <w:vAlign w:val="center"/>
                </w:tcPr>
                <w:p w14:paraId="6985344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0.085</w:t>
                  </w:r>
                </w:p>
              </w:tc>
              <w:tc>
                <w:tcPr>
                  <w:tcW w:w="454" w:type="dxa"/>
                  <w:tcBorders>
                    <w:top w:val="single" w:sz="4" w:space="0" w:color="FFFFFF"/>
                    <w:bottom w:val="single" w:sz="4" w:space="0" w:color="FFFFFF"/>
                  </w:tcBorders>
                  <w:shd w:val="clear" w:color="auto" w:fill="DBE5F1"/>
                  <w:vAlign w:val="center"/>
                </w:tcPr>
                <w:p w14:paraId="3632ABA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0.119</w:t>
                  </w:r>
                </w:p>
              </w:tc>
              <w:tc>
                <w:tcPr>
                  <w:tcW w:w="454" w:type="dxa"/>
                  <w:tcBorders>
                    <w:top w:val="single" w:sz="4" w:space="0" w:color="FFFFFF"/>
                    <w:bottom w:val="single" w:sz="4" w:space="0" w:color="FFFFFF"/>
                  </w:tcBorders>
                  <w:shd w:val="clear" w:color="auto" w:fill="DBE5F1"/>
                  <w:vAlign w:val="center"/>
                </w:tcPr>
                <w:p w14:paraId="50EF2FA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0.176</w:t>
                  </w:r>
                </w:p>
              </w:tc>
              <w:tc>
                <w:tcPr>
                  <w:tcW w:w="454" w:type="dxa"/>
                  <w:tcBorders>
                    <w:top w:val="single" w:sz="4" w:space="0" w:color="FFFFFF"/>
                    <w:bottom w:val="single" w:sz="4" w:space="0" w:color="FFFFFF"/>
                  </w:tcBorders>
                  <w:shd w:val="clear" w:color="auto" w:fill="DBE5F1"/>
                  <w:vAlign w:val="center"/>
                </w:tcPr>
                <w:p w14:paraId="030416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0.097</w:t>
                  </w:r>
                </w:p>
              </w:tc>
              <w:tc>
                <w:tcPr>
                  <w:tcW w:w="454" w:type="dxa"/>
                  <w:tcBorders>
                    <w:top w:val="single" w:sz="4" w:space="0" w:color="FFFFFF"/>
                    <w:bottom w:val="single" w:sz="4" w:space="0" w:color="FFFFFF"/>
                  </w:tcBorders>
                  <w:shd w:val="clear" w:color="auto" w:fill="DBE5F1"/>
                  <w:vAlign w:val="center"/>
                </w:tcPr>
                <w:p w14:paraId="4EE5B73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0.149</w:t>
                  </w:r>
                </w:p>
              </w:tc>
            </w:tr>
            <w:tr w:rsidR="00600DEE" w:rsidRPr="007463B9" w14:paraId="34C150A2"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527393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5000 - 10 000</w:t>
                  </w:r>
                </w:p>
              </w:tc>
              <w:tc>
                <w:tcPr>
                  <w:tcW w:w="454" w:type="dxa"/>
                  <w:tcBorders>
                    <w:top w:val="single" w:sz="4" w:space="0" w:color="FFFFFF"/>
                    <w:bottom w:val="single" w:sz="4" w:space="0" w:color="FFFFFF"/>
                  </w:tcBorders>
                  <w:shd w:val="clear" w:color="auto" w:fill="DBE5F1"/>
                  <w:vAlign w:val="center"/>
                </w:tcPr>
                <w:p w14:paraId="36E4723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0.055</w:t>
                  </w:r>
                </w:p>
              </w:tc>
              <w:tc>
                <w:tcPr>
                  <w:tcW w:w="454" w:type="dxa"/>
                  <w:tcBorders>
                    <w:top w:val="single" w:sz="4" w:space="0" w:color="FFFFFF"/>
                    <w:bottom w:val="single" w:sz="4" w:space="0" w:color="FFFFFF"/>
                  </w:tcBorders>
                  <w:shd w:val="clear" w:color="auto" w:fill="DBE5F1"/>
                  <w:vAlign w:val="center"/>
                </w:tcPr>
                <w:p w14:paraId="74FD6BE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0.071</w:t>
                  </w:r>
                </w:p>
              </w:tc>
              <w:tc>
                <w:tcPr>
                  <w:tcW w:w="454" w:type="dxa"/>
                  <w:tcBorders>
                    <w:top w:val="single" w:sz="4" w:space="0" w:color="FFFFFF"/>
                    <w:bottom w:val="single" w:sz="4" w:space="0" w:color="FFFFFF"/>
                  </w:tcBorders>
                  <w:shd w:val="clear" w:color="auto" w:fill="DBE5F1"/>
                  <w:vAlign w:val="center"/>
                </w:tcPr>
                <w:p w14:paraId="3921A6A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0.099</w:t>
                  </w:r>
                </w:p>
              </w:tc>
              <w:tc>
                <w:tcPr>
                  <w:tcW w:w="454" w:type="dxa"/>
                  <w:tcBorders>
                    <w:top w:val="single" w:sz="4" w:space="0" w:color="FFFFFF"/>
                    <w:bottom w:val="single" w:sz="4" w:space="0" w:color="FFFFFF"/>
                  </w:tcBorders>
                  <w:shd w:val="clear" w:color="auto" w:fill="DBE5F1"/>
                  <w:vAlign w:val="center"/>
                </w:tcPr>
                <w:p w14:paraId="5B02585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0.147</w:t>
                  </w:r>
                </w:p>
              </w:tc>
              <w:tc>
                <w:tcPr>
                  <w:tcW w:w="454" w:type="dxa"/>
                  <w:tcBorders>
                    <w:top w:val="single" w:sz="4" w:space="0" w:color="FFFFFF"/>
                    <w:bottom w:val="single" w:sz="4" w:space="0" w:color="FFFFFF"/>
                  </w:tcBorders>
                  <w:shd w:val="clear" w:color="auto" w:fill="DBE5F1"/>
                  <w:vAlign w:val="center"/>
                </w:tcPr>
                <w:p w14:paraId="0404B48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0.081</w:t>
                  </w:r>
                </w:p>
              </w:tc>
              <w:tc>
                <w:tcPr>
                  <w:tcW w:w="454" w:type="dxa"/>
                  <w:tcBorders>
                    <w:top w:val="single" w:sz="4" w:space="0" w:color="FFFFFF"/>
                    <w:bottom w:val="single" w:sz="4" w:space="0" w:color="FFFFFF"/>
                  </w:tcBorders>
                  <w:shd w:val="clear" w:color="auto" w:fill="DBE5F1"/>
                  <w:vAlign w:val="center"/>
                </w:tcPr>
                <w:p w14:paraId="438DDF6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0.125</w:t>
                  </w:r>
                </w:p>
              </w:tc>
            </w:tr>
            <w:tr w:rsidR="00600DEE" w:rsidRPr="007463B9" w14:paraId="1147BD64"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773F30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10 000 - 20 000</w:t>
                  </w:r>
                </w:p>
              </w:tc>
              <w:tc>
                <w:tcPr>
                  <w:tcW w:w="454" w:type="dxa"/>
                  <w:tcBorders>
                    <w:top w:val="single" w:sz="4" w:space="0" w:color="FFFFFF"/>
                    <w:bottom w:val="single" w:sz="4" w:space="0" w:color="FFFFFF"/>
                  </w:tcBorders>
                  <w:shd w:val="clear" w:color="auto" w:fill="DBE5F1"/>
                  <w:vAlign w:val="center"/>
                </w:tcPr>
                <w:p w14:paraId="4E2A88B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0.048</w:t>
                  </w:r>
                </w:p>
              </w:tc>
              <w:tc>
                <w:tcPr>
                  <w:tcW w:w="454" w:type="dxa"/>
                  <w:tcBorders>
                    <w:top w:val="single" w:sz="4" w:space="0" w:color="FFFFFF"/>
                    <w:bottom w:val="single" w:sz="4" w:space="0" w:color="FFFFFF"/>
                  </w:tcBorders>
                  <w:shd w:val="clear" w:color="auto" w:fill="DBE5F1"/>
                  <w:vAlign w:val="center"/>
                </w:tcPr>
                <w:p w14:paraId="50CCF9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0.063</w:t>
                  </w:r>
                </w:p>
              </w:tc>
              <w:tc>
                <w:tcPr>
                  <w:tcW w:w="454" w:type="dxa"/>
                  <w:tcBorders>
                    <w:top w:val="single" w:sz="4" w:space="0" w:color="FFFFFF"/>
                    <w:bottom w:val="single" w:sz="4" w:space="0" w:color="FFFFFF"/>
                  </w:tcBorders>
                  <w:shd w:val="clear" w:color="auto" w:fill="DBE5F1"/>
                  <w:vAlign w:val="center"/>
                </w:tcPr>
                <w:p w14:paraId="628C95D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0.088</w:t>
                  </w:r>
                </w:p>
              </w:tc>
              <w:tc>
                <w:tcPr>
                  <w:tcW w:w="454" w:type="dxa"/>
                  <w:tcBorders>
                    <w:top w:val="single" w:sz="4" w:space="0" w:color="FFFFFF"/>
                    <w:bottom w:val="single" w:sz="4" w:space="0" w:color="FFFFFF"/>
                  </w:tcBorders>
                  <w:shd w:val="clear" w:color="auto" w:fill="DBE5F1"/>
                  <w:vAlign w:val="center"/>
                </w:tcPr>
                <w:p w14:paraId="465D39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0.131</w:t>
                  </w:r>
                </w:p>
              </w:tc>
              <w:tc>
                <w:tcPr>
                  <w:tcW w:w="454" w:type="dxa"/>
                  <w:tcBorders>
                    <w:top w:val="single" w:sz="4" w:space="0" w:color="FFFFFF"/>
                    <w:bottom w:val="single" w:sz="4" w:space="0" w:color="FFFFFF"/>
                  </w:tcBorders>
                  <w:shd w:val="clear" w:color="auto" w:fill="DBE5F1"/>
                  <w:vAlign w:val="center"/>
                </w:tcPr>
                <w:p w14:paraId="018673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0.072</w:t>
                  </w:r>
                </w:p>
              </w:tc>
              <w:tc>
                <w:tcPr>
                  <w:tcW w:w="454" w:type="dxa"/>
                  <w:tcBorders>
                    <w:top w:val="single" w:sz="4" w:space="0" w:color="FFFFFF"/>
                    <w:bottom w:val="single" w:sz="4" w:space="0" w:color="FFFFFF"/>
                  </w:tcBorders>
                  <w:shd w:val="clear" w:color="auto" w:fill="DBE5F1"/>
                  <w:vAlign w:val="center"/>
                </w:tcPr>
                <w:p w14:paraId="1E07189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0.111</w:t>
                  </w:r>
                </w:p>
              </w:tc>
            </w:tr>
            <w:tr w:rsidR="00600DEE" w:rsidRPr="007463B9" w14:paraId="346B69BF"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0839647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20000 - 30 000</w:t>
                  </w:r>
                </w:p>
              </w:tc>
              <w:tc>
                <w:tcPr>
                  <w:tcW w:w="454" w:type="dxa"/>
                  <w:tcBorders>
                    <w:top w:val="single" w:sz="4" w:space="0" w:color="FFFFFF"/>
                    <w:bottom w:val="single" w:sz="4" w:space="0" w:color="FFFFFF"/>
                  </w:tcBorders>
                  <w:shd w:val="clear" w:color="auto" w:fill="DBE5F1"/>
                  <w:vAlign w:val="center"/>
                </w:tcPr>
                <w:p w14:paraId="1CCFA46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0.044</w:t>
                  </w:r>
                </w:p>
              </w:tc>
              <w:tc>
                <w:tcPr>
                  <w:tcW w:w="454" w:type="dxa"/>
                  <w:tcBorders>
                    <w:top w:val="single" w:sz="4" w:space="0" w:color="FFFFFF"/>
                    <w:bottom w:val="single" w:sz="4" w:space="0" w:color="FFFFFF"/>
                  </w:tcBorders>
                  <w:shd w:val="clear" w:color="auto" w:fill="DBE5F1"/>
                  <w:vAlign w:val="center"/>
                </w:tcPr>
                <w:p w14:paraId="64E2AE9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0.058</w:t>
                  </w:r>
                </w:p>
              </w:tc>
              <w:tc>
                <w:tcPr>
                  <w:tcW w:w="454" w:type="dxa"/>
                  <w:tcBorders>
                    <w:top w:val="single" w:sz="4" w:space="0" w:color="FFFFFF"/>
                    <w:bottom w:val="single" w:sz="4" w:space="0" w:color="FFFFFF"/>
                  </w:tcBorders>
                  <w:shd w:val="clear" w:color="auto" w:fill="DBE5F1"/>
                  <w:vAlign w:val="center"/>
                </w:tcPr>
                <w:p w14:paraId="67519F2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w:t>
                  </w:r>
                </w:p>
              </w:tc>
              <w:tc>
                <w:tcPr>
                  <w:tcW w:w="454" w:type="dxa"/>
                  <w:tcBorders>
                    <w:top w:val="single" w:sz="4" w:space="0" w:color="FFFFFF"/>
                    <w:bottom w:val="single" w:sz="4" w:space="0" w:color="FFFFFF"/>
                  </w:tcBorders>
                  <w:shd w:val="clear" w:color="auto" w:fill="DBE5F1"/>
                  <w:vAlign w:val="center"/>
                </w:tcPr>
                <w:p w14:paraId="415382B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0.119</w:t>
                  </w:r>
                </w:p>
              </w:tc>
              <w:tc>
                <w:tcPr>
                  <w:tcW w:w="454" w:type="dxa"/>
                  <w:tcBorders>
                    <w:top w:val="single" w:sz="4" w:space="0" w:color="FFFFFF"/>
                    <w:bottom w:val="single" w:sz="4" w:space="0" w:color="FFFFFF"/>
                  </w:tcBorders>
                  <w:shd w:val="clear" w:color="auto" w:fill="DBE5F1"/>
                  <w:vAlign w:val="center"/>
                </w:tcPr>
                <w:p w14:paraId="3BCAA7B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0.066</w:t>
                  </w:r>
                </w:p>
              </w:tc>
              <w:tc>
                <w:tcPr>
                  <w:tcW w:w="454" w:type="dxa"/>
                  <w:tcBorders>
                    <w:top w:val="single" w:sz="4" w:space="0" w:color="FFFFFF"/>
                    <w:bottom w:val="single" w:sz="4" w:space="0" w:color="FFFFFF"/>
                  </w:tcBorders>
                  <w:shd w:val="clear" w:color="auto" w:fill="DBE5F1"/>
                  <w:vAlign w:val="center"/>
                </w:tcPr>
                <w:p w14:paraId="689197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0.101</w:t>
                  </w:r>
                </w:p>
              </w:tc>
            </w:tr>
            <w:tr w:rsidR="00600DEE" w:rsidRPr="007463B9" w14:paraId="513D77A1"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17C497D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30000 - 40 000</w:t>
                  </w:r>
                </w:p>
              </w:tc>
              <w:tc>
                <w:tcPr>
                  <w:tcW w:w="454" w:type="dxa"/>
                  <w:tcBorders>
                    <w:top w:val="single" w:sz="4" w:space="0" w:color="FFFFFF"/>
                    <w:bottom w:val="single" w:sz="4" w:space="0" w:color="FFFFFF"/>
                  </w:tcBorders>
                  <w:shd w:val="clear" w:color="auto" w:fill="DBE5F1"/>
                  <w:vAlign w:val="center"/>
                </w:tcPr>
                <w:p w14:paraId="6C0293B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0.042</w:t>
                  </w:r>
                </w:p>
              </w:tc>
              <w:tc>
                <w:tcPr>
                  <w:tcW w:w="454" w:type="dxa"/>
                  <w:tcBorders>
                    <w:top w:val="single" w:sz="4" w:space="0" w:color="FFFFFF"/>
                    <w:bottom w:val="single" w:sz="4" w:space="0" w:color="FFFFFF"/>
                  </w:tcBorders>
                  <w:shd w:val="clear" w:color="auto" w:fill="DBE5F1"/>
                  <w:vAlign w:val="center"/>
                </w:tcPr>
                <w:p w14:paraId="39EA71B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0.054</w:t>
                  </w:r>
                </w:p>
              </w:tc>
              <w:tc>
                <w:tcPr>
                  <w:tcW w:w="454" w:type="dxa"/>
                  <w:tcBorders>
                    <w:top w:val="single" w:sz="4" w:space="0" w:color="FFFFFF"/>
                    <w:bottom w:val="single" w:sz="4" w:space="0" w:color="FFFFFF"/>
                  </w:tcBorders>
                  <w:shd w:val="clear" w:color="auto" w:fill="DBE5F1"/>
                  <w:vAlign w:val="center"/>
                </w:tcPr>
                <w:p w14:paraId="7219017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0.075</w:t>
                  </w:r>
                </w:p>
              </w:tc>
              <w:tc>
                <w:tcPr>
                  <w:tcW w:w="454" w:type="dxa"/>
                  <w:tcBorders>
                    <w:top w:val="single" w:sz="4" w:space="0" w:color="FFFFFF"/>
                    <w:bottom w:val="single" w:sz="4" w:space="0" w:color="FFFFFF"/>
                  </w:tcBorders>
                  <w:shd w:val="clear" w:color="auto" w:fill="DBE5F1"/>
                  <w:vAlign w:val="center"/>
                </w:tcPr>
                <w:p w14:paraId="445B4FA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0.112</w:t>
                  </w:r>
                </w:p>
              </w:tc>
              <w:tc>
                <w:tcPr>
                  <w:tcW w:w="454" w:type="dxa"/>
                  <w:tcBorders>
                    <w:top w:val="single" w:sz="4" w:space="0" w:color="FFFFFF"/>
                    <w:bottom w:val="single" w:sz="4" w:space="0" w:color="FFFFFF"/>
                  </w:tcBorders>
                  <w:shd w:val="clear" w:color="auto" w:fill="DBE5F1"/>
                  <w:vAlign w:val="center"/>
                </w:tcPr>
                <w:p w14:paraId="7E0CD1C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0.062</w:t>
                  </w:r>
                </w:p>
              </w:tc>
              <w:tc>
                <w:tcPr>
                  <w:tcW w:w="454" w:type="dxa"/>
                  <w:tcBorders>
                    <w:top w:val="single" w:sz="4" w:space="0" w:color="FFFFFF"/>
                    <w:bottom w:val="single" w:sz="4" w:space="0" w:color="FFFFFF"/>
                  </w:tcBorders>
                  <w:shd w:val="clear" w:color="auto" w:fill="DBE5F1"/>
                  <w:vAlign w:val="center"/>
                </w:tcPr>
                <w:p w14:paraId="4CD98E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0.094</w:t>
                  </w:r>
                </w:p>
              </w:tc>
            </w:tr>
            <w:tr w:rsidR="00600DEE" w:rsidRPr="007463B9" w14:paraId="3C60CEB7" w14:textId="77777777" w:rsidTr="00E7601A">
              <w:trPr>
                <w:trHeight w:hRule="exact" w:val="284"/>
              </w:trPr>
              <w:tc>
                <w:tcPr>
                  <w:tcW w:w="1360" w:type="dxa"/>
                  <w:tcBorders>
                    <w:top w:val="single" w:sz="4" w:space="0" w:color="FFFFFF"/>
                  </w:tcBorders>
                  <w:shd w:val="clear" w:color="auto" w:fill="DBE5F1"/>
                  <w:vAlign w:val="center"/>
                </w:tcPr>
                <w:p w14:paraId="3E234A3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454" w:type="dxa"/>
                  <w:tcBorders>
                    <w:top w:val="single" w:sz="4" w:space="0" w:color="FFFFFF"/>
                  </w:tcBorders>
                  <w:shd w:val="clear" w:color="auto" w:fill="DBE5F1"/>
                  <w:vAlign w:val="center"/>
                </w:tcPr>
                <w:p w14:paraId="6AE3A5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0.040</w:t>
                  </w:r>
                </w:p>
              </w:tc>
              <w:tc>
                <w:tcPr>
                  <w:tcW w:w="454" w:type="dxa"/>
                  <w:tcBorders>
                    <w:top w:val="single" w:sz="4" w:space="0" w:color="FFFFFF"/>
                  </w:tcBorders>
                  <w:shd w:val="clear" w:color="auto" w:fill="DBE5F1"/>
                  <w:vAlign w:val="center"/>
                </w:tcPr>
                <w:p w14:paraId="3A41D7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0.050</w:t>
                  </w:r>
                </w:p>
              </w:tc>
              <w:tc>
                <w:tcPr>
                  <w:tcW w:w="454" w:type="dxa"/>
                  <w:tcBorders>
                    <w:top w:val="single" w:sz="4" w:space="0" w:color="FFFFFF"/>
                  </w:tcBorders>
                  <w:shd w:val="clear" w:color="auto" w:fill="DBE5F1"/>
                  <w:vAlign w:val="center"/>
                </w:tcPr>
                <w:p w14:paraId="0AEE4ED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0.070</w:t>
                  </w:r>
                </w:p>
              </w:tc>
              <w:tc>
                <w:tcPr>
                  <w:tcW w:w="454" w:type="dxa"/>
                  <w:tcBorders>
                    <w:top w:val="single" w:sz="4" w:space="0" w:color="FFFFFF"/>
                  </w:tcBorders>
                  <w:shd w:val="clear" w:color="auto" w:fill="DBE5F1"/>
                  <w:vAlign w:val="center"/>
                </w:tcPr>
                <w:p w14:paraId="73525C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0.100</w:t>
                  </w:r>
                </w:p>
              </w:tc>
              <w:tc>
                <w:tcPr>
                  <w:tcW w:w="454" w:type="dxa"/>
                  <w:tcBorders>
                    <w:top w:val="single" w:sz="4" w:space="0" w:color="FFFFFF"/>
                  </w:tcBorders>
                  <w:shd w:val="clear" w:color="auto" w:fill="DBE5F1"/>
                  <w:vAlign w:val="center"/>
                </w:tcPr>
                <w:p w14:paraId="39A8EEA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c>
                <w:tcPr>
                  <w:tcW w:w="454" w:type="dxa"/>
                  <w:tcBorders>
                    <w:top w:val="single" w:sz="4" w:space="0" w:color="FFFFFF"/>
                  </w:tcBorders>
                  <w:shd w:val="clear" w:color="auto" w:fill="DBE5F1"/>
                  <w:vAlign w:val="center"/>
                </w:tcPr>
                <w:p w14:paraId="20D8E8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0.090</w:t>
                  </w:r>
                </w:p>
              </w:tc>
            </w:tr>
          </w:tbl>
          <w:p w14:paraId="68E709BC" w14:textId="77777777" w:rsidR="00600DEE" w:rsidRPr="0045151D" w:rsidRDefault="00641FB5">
            <w:pPr>
              <w:spacing w:before="120" w:after="12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026D678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4F81BD"/>
                <w:sz w:val="20"/>
                <w:szCs w:val="20"/>
                <w:lang w:val="en-GB"/>
              </w:rPr>
            </w:pPr>
            <w:r w:rsidRPr="0045151D">
              <w:rPr>
                <w:rFonts w:ascii="Calibri" w:eastAsia="Calibri" w:hAnsi="Calibri" w:cs="Calibri"/>
                <w:b/>
                <w:color w:val="4F81BD"/>
                <w:sz w:val="20"/>
                <w:szCs w:val="20"/>
                <w:lang w:val="en-GB"/>
              </w:rPr>
              <w:t>Table 4. Road location factor f</w:t>
            </w:r>
            <w:r w:rsidRPr="0045151D">
              <w:rPr>
                <w:rFonts w:ascii="Calibri" w:eastAsia="Calibri" w:hAnsi="Calibri" w:cs="Calibri"/>
                <w:b/>
                <w:color w:val="4F81BD"/>
                <w:sz w:val="20"/>
                <w:szCs w:val="20"/>
                <w:vertAlign w:val="superscript"/>
                <w:lang w:val="en-GB"/>
              </w:rPr>
              <w:t>(1)</w:t>
            </w:r>
            <w:r w:rsidRPr="0045151D">
              <w:rPr>
                <w:rFonts w:ascii="Calibri" w:eastAsia="Calibri" w:hAnsi="Calibri" w:cs="Calibri"/>
                <w:b/>
                <w:color w:val="4F81BD"/>
                <w:sz w:val="20"/>
                <w:szCs w:val="20"/>
                <w:vertAlign w:val="subscript"/>
                <w:lang w:val="en-GB"/>
              </w:rPr>
              <w:t>LDW</w:t>
            </w:r>
            <w:r w:rsidRPr="0045151D">
              <w:rPr>
                <w:rFonts w:ascii="Calibri" w:eastAsia="Calibri" w:hAnsi="Calibri" w:cs="Calibri"/>
                <w:b/>
                <w:color w:val="4F81BD"/>
                <w:sz w:val="20"/>
                <w:szCs w:val="20"/>
                <w:lang w:val="en-GB"/>
              </w:rPr>
              <w:t xml:space="preserve"> </w:t>
            </w:r>
            <w:r w:rsidRPr="0045151D">
              <w:rPr>
                <w:rFonts w:ascii="Calibri" w:eastAsia="Calibri" w:hAnsi="Calibri" w:cs="Calibri"/>
                <w:color w:val="4F81BD"/>
                <w:sz w:val="20"/>
                <w:szCs w:val="20"/>
                <w:lang w:val="en-GB"/>
              </w:rPr>
              <w:t>(only single carriageways)</w:t>
            </w:r>
          </w:p>
          <w:tbl>
            <w:tblPr>
              <w:tblStyle w:val="affffffffffffffff0"/>
              <w:tblW w:w="67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28"/>
              <w:gridCol w:w="1305"/>
              <w:gridCol w:w="2618"/>
              <w:gridCol w:w="879"/>
            </w:tblGrid>
            <w:tr w:rsidR="00600DEE" w:rsidRPr="00132C08" w14:paraId="425E0220" w14:textId="77777777" w:rsidTr="00E7601A">
              <w:trPr>
                <w:trHeight w:val="227"/>
              </w:trPr>
              <w:tc>
                <w:tcPr>
                  <w:tcW w:w="1928" w:type="dxa"/>
                  <w:shd w:val="clear" w:color="auto" w:fill="A6A6A6"/>
                  <w:vAlign w:val="center"/>
                </w:tcPr>
                <w:p w14:paraId="3A29BE5F" w14:textId="77777777" w:rsidR="00600DEE" w:rsidRPr="007463B9" w:rsidRDefault="00641FB5">
                  <w:pPr>
                    <w:jc w:val="center"/>
                    <w:rPr>
                      <w:rFonts w:ascii="Calibri" w:eastAsia="Calibri" w:hAnsi="Calibri" w:cs="Calibri"/>
                      <w:b/>
                      <w:color w:val="FFFFFF"/>
                      <w:sz w:val="17"/>
                      <w:szCs w:val="17"/>
                    </w:rPr>
                  </w:pPr>
                  <w:proofErr w:type="spellStart"/>
                  <w:r w:rsidRPr="007463B9">
                    <w:rPr>
                      <w:rFonts w:ascii="Calibri" w:eastAsia="Calibri" w:hAnsi="Calibri" w:cs="Calibri"/>
                      <w:b/>
                      <w:color w:val="FFFFFF"/>
                      <w:sz w:val="17"/>
                      <w:szCs w:val="17"/>
                    </w:rPr>
                    <w:t>Voivodeship</w:t>
                  </w:r>
                  <w:proofErr w:type="spellEnd"/>
                </w:p>
              </w:tc>
              <w:tc>
                <w:tcPr>
                  <w:tcW w:w="1305" w:type="dxa"/>
                  <w:shd w:val="clear" w:color="auto" w:fill="A6A6A6"/>
                  <w:vAlign w:val="center"/>
                </w:tcPr>
                <w:p w14:paraId="6E7926EA"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c>
                <w:tcPr>
                  <w:tcW w:w="2618" w:type="dxa"/>
                  <w:shd w:val="clear" w:color="auto" w:fill="A6A6A6"/>
                  <w:vAlign w:val="center"/>
                </w:tcPr>
                <w:p w14:paraId="38D6DF23" w14:textId="77777777" w:rsidR="00600DEE" w:rsidRPr="007463B9" w:rsidRDefault="00641FB5">
                  <w:pPr>
                    <w:jc w:val="center"/>
                    <w:rPr>
                      <w:rFonts w:ascii="Calibri" w:eastAsia="Calibri" w:hAnsi="Calibri" w:cs="Calibri"/>
                      <w:b/>
                      <w:color w:val="FFFFFF"/>
                      <w:sz w:val="17"/>
                      <w:szCs w:val="17"/>
                    </w:rPr>
                  </w:pPr>
                  <w:proofErr w:type="spellStart"/>
                  <w:r w:rsidRPr="007463B9">
                    <w:rPr>
                      <w:rFonts w:ascii="Calibri" w:eastAsia="Calibri" w:hAnsi="Calibri" w:cs="Calibri"/>
                      <w:b/>
                      <w:color w:val="FFFFFF"/>
                      <w:sz w:val="17"/>
                      <w:szCs w:val="17"/>
                    </w:rPr>
                    <w:t>Voivodeship</w:t>
                  </w:r>
                  <w:proofErr w:type="spellEnd"/>
                </w:p>
              </w:tc>
              <w:tc>
                <w:tcPr>
                  <w:tcW w:w="879" w:type="dxa"/>
                  <w:shd w:val="clear" w:color="auto" w:fill="A6A6A6"/>
                  <w:vAlign w:val="center"/>
                </w:tcPr>
                <w:p w14:paraId="263B0C92"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r>
            <w:tr w:rsidR="00600DEE" w:rsidRPr="00132C08" w14:paraId="3E8BFA5F" w14:textId="77777777" w:rsidTr="00E7601A">
              <w:trPr>
                <w:trHeight w:val="227"/>
              </w:trPr>
              <w:tc>
                <w:tcPr>
                  <w:tcW w:w="1928" w:type="dxa"/>
                  <w:shd w:val="clear" w:color="auto" w:fill="DBE5F1"/>
                  <w:vAlign w:val="center"/>
                </w:tcPr>
                <w:p w14:paraId="2B844B3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dolnośląskie</w:t>
                  </w:r>
                </w:p>
              </w:tc>
              <w:tc>
                <w:tcPr>
                  <w:tcW w:w="1305" w:type="dxa"/>
                  <w:shd w:val="clear" w:color="auto" w:fill="DBE5F1"/>
                  <w:vAlign w:val="center"/>
                </w:tcPr>
                <w:p w14:paraId="0D470CD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2.342</w:t>
                  </w:r>
                </w:p>
              </w:tc>
              <w:tc>
                <w:tcPr>
                  <w:tcW w:w="2618" w:type="dxa"/>
                  <w:shd w:val="clear" w:color="auto" w:fill="DBE5F1"/>
                  <w:vAlign w:val="center"/>
                </w:tcPr>
                <w:p w14:paraId="79C3ADD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podkarpackie</w:t>
                  </w:r>
                </w:p>
              </w:tc>
              <w:tc>
                <w:tcPr>
                  <w:tcW w:w="879" w:type="dxa"/>
                  <w:shd w:val="clear" w:color="auto" w:fill="DBE5F1"/>
                  <w:vAlign w:val="center"/>
                </w:tcPr>
                <w:p w14:paraId="62F07A2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77C7774E" w14:textId="77777777" w:rsidTr="00E7601A">
              <w:trPr>
                <w:trHeight w:val="227"/>
              </w:trPr>
              <w:tc>
                <w:tcPr>
                  <w:tcW w:w="1928" w:type="dxa"/>
                  <w:shd w:val="clear" w:color="auto" w:fill="DBE5F1"/>
                  <w:vAlign w:val="center"/>
                </w:tcPr>
                <w:p w14:paraId="1B10E92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kujawsko-pomorskie</w:t>
                  </w:r>
                </w:p>
              </w:tc>
              <w:tc>
                <w:tcPr>
                  <w:tcW w:w="1305" w:type="dxa"/>
                  <w:shd w:val="clear" w:color="auto" w:fill="DBE5F1"/>
                  <w:vAlign w:val="center"/>
                </w:tcPr>
                <w:p w14:paraId="72CE34F1"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1.696</w:t>
                  </w:r>
                </w:p>
              </w:tc>
              <w:tc>
                <w:tcPr>
                  <w:tcW w:w="2618" w:type="dxa"/>
                  <w:shd w:val="clear" w:color="auto" w:fill="DBE5F1"/>
                  <w:vAlign w:val="center"/>
                </w:tcPr>
                <w:p w14:paraId="6BD1FA5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podlaskie</w:t>
                  </w:r>
                </w:p>
              </w:tc>
              <w:tc>
                <w:tcPr>
                  <w:tcW w:w="879" w:type="dxa"/>
                  <w:shd w:val="clear" w:color="auto" w:fill="DBE5F1"/>
                  <w:vAlign w:val="center"/>
                </w:tcPr>
                <w:p w14:paraId="717D879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1.760</w:t>
                  </w:r>
                </w:p>
              </w:tc>
            </w:tr>
            <w:tr w:rsidR="00600DEE" w:rsidRPr="00132C08" w14:paraId="15786C55" w14:textId="77777777" w:rsidTr="00E7601A">
              <w:trPr>
                <w:trHeight w:val="227"/>
              </w:trPr>
              <w:tc>
                <w:tcPr>
                  <w:tcW w:w="1928" w:type="dxa"/>
                  <w:shd w:val="clear" w:color="auto" w:fill="DBE5F1"/>
                  <w:vAlign w:val="center"/>
                </w:tcPr>
                <w:p w14:paraId="3A38E83E"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lubelskie</w:t>
                  </w:r>
                </w:p>
              </w:tc>
              <w:tc>
                <w:tcPr>
                  <w:tcW w:w="1305" w:type="dxa"/>
                  <w:shd w:val="clear" w:color="auto" w:fill="DBE5F1"/>
                  <w:vAlign w:val="center"/>
                </w:tcPr>
                <w:p w14:paraId="3432649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2.405</w:t>
                  </w:r>
                </w:p>
              </w:tc>
              <w:tc>
                <w:tcPr>
                  <w:tcW w:w="2618" w:type="dxa"/>
                  <w:shd w:val="clear" w:color="auto" w:fill="DBE5F1"/>
                  <w:vAlign w:val="center"/>
                </w:tcPr>
                <w:p w14:paraId="0C490AE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pomorskie</w:t>
                  </w:r>
                </w:p>
              </w:tc>
              <w:tc>
                <w:tcPr>
                  <w:tcW w:w="879" w:type="dxa"/>
                  <w:shd w:val="clear" w:color="auto" w:fill="DBE5F1"/>
                  <w:vAlign w:val="center"/>
                </w:tcPr>
                <w:p w14:paraId="6934464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2.317</w:t>
                  </w:r>
                </w:p>
              </w:tc>
            </w:tr>
            <w:tr w:rsidR="00600DEE" w:rsidRPr="00132C08" w14:paraId="56C707F0" w14:textId="77777777" w:rsidTr="00E7601A">
              <w:trPr>
                <w:trHeight w:val="227"/>
              </w:trPr>
              <w:tc>
                <w:tcPr>
                  <w:tcW w:w="1928" w:type="dxa"/>
                  <w:shd w:val="clear" w:color="auto" w:fill="DBE5F1"/>
                  <w:vAlign w:val="center"/>
                </w:tcPr>
                <w:p w14:paraId="47E0B33F"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lubuskie</w:t>
                  </w:r>
                </w:p>
              </w:tc>
              <w:tc>
                <w:tcPr>
                  <w:tcW w:w="1305" w:type="dxa"/>
                  <w:shd w:val="clear" w:color="auto" w:fill="DBE5F1"/>
                  <w:vAlign w:val="center"/>
                </w:tcPr>
                <w:p w14:paraId="124964D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1.742</w:t>
                  </w:r>
                </w:p>
              </w:tc>
              <w:tc>
                <w:tcPr>
                  <w:tcW w:w="2618" w:type="dxa"/>
                  <w:shd w:val="clear" w:color="auto" w:fill="DBE5F1"/>
                  <w:vAlign w:val="center"/>
                </w:tcPr>
                <w:p w14:paraId="24AE1D44"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śląskie</w:t>
                  </w:r>
                </w:p>
              </w:tc>
              <w:tc>
                <w:tcPr>
                  <w:tcW w:w="879" w:type="dxa"/>
                  <w:shd w:val="clear" w:color="auto" w:fill="DBE5F1"/>
                  <w:vAlign w:val="center"/>
                </w:tcPr>
                <w:p w14:paraId="46A5840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2.833</w:t>
                  </w:r>
                </w:p>
              </w:tc>
            </w:tr>
            <w:tr w:rsidR="00600DEE" w:rsidRPr="00132C08" w14:paraId="7F4F00D8" w14:textId="77777777" w:rsidTr="00E7601A">
              <w:trPr>
                <w:trHeight w:val="227"/>
              </w:trPr>
              <w:tc>
                <w:tcPr>
                  <w:tcW w:w="1928" w:type="dxa"/>
                  <w:shd w:val="clear" w:color="auto" w:fill="DBE5F1"/>
                  <w:vAlign w:val="center"/>
                </w:tcPr>
                <w:p w14:paraId="2C8864A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łódzkie</w:t>
                  </w:r>
                </w:p>
              </w:tc>
              <w:tc>
                <w:tcPr>
                  <w:tcW w:w="1305" w:type="dxa"/>
                  <w:shd w:val="clear" w:color="auto" w:fill="DBE5F1"/>
                  <w:vAlign w:val="center"/>
                </w:tcPr>
                <w:p w14:paraId="0789DB5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2.701</w:t>
                  </w:r>
                </w:p>
              </w:tc>
              <w:tc>
                <w:tcPr>
                  <w:tcW w:w="2618" w:type="dxa"/>
                  <w:shd w:val="clear" w:color="auto" w:fill="DBE5F1"/>
                  <w:vAlign w:val="center"/>
                </w:tcPr>
                <w:p w14:paraId="4EB08AC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świętokrzyskie</w:t>
                  </w:r>
                </w:p>
              </w:tc>
              <w:tc>
                <w:tcPr>
                  <w:tcW w:w="879" w:type="dxa"/>
                  <w:shd w:val="clear" w:color="auto" w:fill="DBE5F1"/>
                  <w:vAlign w:val="center"/>
                </w:tcPr>
                <w:p w14:paraId="65C9870E"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0AED970C" w14:textId="77777777" w:rsidTr="00E7601A">
              <w:trPr>
                <w:trHeight w:val="227"/>
              </w:trPr>
              <w:tc>
                <w:tcPr>
                  <w:tcW w:w="1928" w:type="dxa"/>
                  <w:shd w:val="clear" w:color="auto" w:fill="DBE5F1"/>
                  <w:vAlign w:val="center"/>
                </w:tcPr>
                <w:p w14:paraId="14E059BB"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małopolskie</w:t>
                  </w:r>
                </w:p>
              </w:tc>
              <w:tc>
                <w:tcPr>
                  <w:tcW w:w="1305" w:type="dxa"/>
                  <w:shd w:val="clear" w:color="auto" w:fill="DBE5F1"/>
                  <w:vAlign w:val="center"/>
                </w:tcPr>
                <w:p w14:paraId="7DDF06C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2.788</w:t>
                  </w:r>
                </w:p>
              </w:tc>
              <w:tc>
                <w:tcPr>
                  <w:tcW w:w="2618" w:type="dxa"/>
                  <w:shd w:val="clear" w:color="auto" w:fill="DBE5F1"/>
                  <w:vAlign w:val="center"/>
                </w:tcPr>
                <w:p w14:paraId="70137101"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warmińsko-mazurskie</w:t>
                  </w:r>
                </w:p>
              </w:tc>
              <w:tc>
                <w:tcPr>
                  <w:tcW w:w="879" w:type="dxa"/>
                  <w:shd w:val="clear" w:color="auto" w:fill="DBE5F1"/>
                  <w:vAlign w:val="center"/>
                </w:tcPr>
                <w:p w14:paraId="34E3317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2.617</w:t>
                  </w:r>
                </w:p>
              </w:tc>
            </w:tr>
            <w:tr w:rsidR="00600DEE" w:rsidRPr="00132C08" w14:paraId="185F1FFD" w14:textId="77777777" w:rsidTr="00E7601A">
              <w:trPr>
                <w:trHeight w:val="227"/>
              </w:trPr>
              <w:tc>
                <w:tcPr>
                  <w:tcW w:w="1928" w:type="dxa"/>
                  <w:shd w:val="clear" w:color="auto" w:fill="DBE5F1"/>
                  <w:vAlign w:val="center"/>
                </w:tcPr>
                <w:p w14:paraId="57C861A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mazowieckie</w:t>
                  </w:r>
                </w:p>
              </w:tc>
              <w:tc>
                <w:tcPr>
                  <w:tcW w:w="1305" w:type="dxa"/>
                  <w:shd w:val="clear" w:color="auto" w:fill="DBE5F1"/>
                  <w:vAlign w:val="center"/>
                </w:tcPr>
                <w:p w14:paraId="3D5729A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2.096</w:t>
                  </w:r>
                </w:p>
              </w:tc>
              <w:tc>
                <w:tcPr>
                  <w:tcW w:w="2618" w:type="dxa"/>
                  <w:shd w:val="clear" w:color="auto" w:fill="DBE5F1"/>
                  <w:vAlign w:val="center"/>
                </w:tcPr>
                <w:p w14:paraId="53E580F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wielkopolskie</w:t>
                  </w:r>
                </w:p>
              </w:tc>
              <w:tc>
                <w:tcPr>
                  <w:tcW w:w="879" w:type="dxa"/>
                  <w:shd w:val="clear" w:color="auto" w:fill="DBE5F1"/>
                  <w:vAlign w:val="center"/>
                </w:tcPr>
                <w:p w14:paraId="2690B43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1.936</w:t>
                  </w:r>
                </w:p>
              </w:tc>
            </w:tr>
            <w:tr w:rsidR="00600DEE" w:rsidRPr="00132C08" w14:paraId="6DB5856E" w14:textId="77777777" w:rsidTr="00E7601A">
              <w:trPr>
                <w:trHeight w:val="227"/>
              </w:trPr>
              <w:tc>
                <w:tcPr>
                  <w:tcW w:w="1928" w:type="dxa"/>
                  <w:shd w:val="clear" w:color="auto" w:fill="DBE5F1"/>
                  <w:vAlign w:val="center"/>
                </w:tcPr>
                <w:p w14:paraId="145AFD9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opolskie</w:t>
                  </w:r>
                </w:p>
              </w:tc>
              <w:tc>
                <w:tcPr>
                  <w:tcW w:w="1305" w:type="dxa"/>
                  <w:shd w:val="clear" w:color="auto" w:fill="DBE5F1"/>
                  <w:vAlign w:val="center"/>
                </w:tcPr>
                <w:p w14:paraId="01C01534"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2.063</w:t>
                  </w:r>
                </w:p>
              </w:tc>
              <w:tc>
                <w:tcPr>
                  <w:tcW w:w="2618" w:type="dxa"/>
                  <w:shd w:val="clear" w:color="auto" w:fill="DBE5F1"/>
                  <w:vAlign w:val="center"/>
                </w:tcPr>
                <w:p w14:paraId="40FA22F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zachodniopomorskie</w:t>
                  </w:r>
                </w:p>
              </w:tc>
              <w:tc>
                <w:tcPr>
                  <w:tcW w:w="879" w:type="dxa"/>
                  <w:shd w:val="clear" w:color="auto" w:fill="DBE5F1"/>
                  <w:vAlign w:val="center"/>
                </w:tcPr>
                <w:p w14:paraId="571C249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1.886</w:t>
                  </w:r>
                </w:p>
              </w:tc>
            </w:tr>
          </w:tbl>
          <w:p w14:paraId="67CCCA77" w14:textId="77777777" w:rsidR="00600DEE" w:rsidRPr="007463B9" w:rsidRDefault="00641FB5">
            <w:pPr>
              <w:spacing w:before="120" w:after="120"/>
              <w:jc w:val="both"/>
              <w:rPr>
                <w:rFonts w:ascii="Calibri" w:eastAsia="Calibri" w:hAnsi="Calibri" w:cs="Calibri"/>
                <w:sz w:val="20"/>
                <w:szCs w:val="20"/>
              </w:rPr>
            </w:pPr>
            <w:r w:rsidRPr="007463B9">
              <w:rPr>
                <w:rFonts w:ascii="Calibri" w:eastAsia="Calibri" w:hAnsi="Calibri" w:cs="Calibri"/>
                <w:b/>
                <w:i/>
                <w:sz w:val="16"/>
                <w:szCs w:val="16"/>
              </w:rPr>
              <w:t xml:space="preserve">Source: Method of RS </w:t>
            </w:r>
            <w:proofErr w:type="spellStart"/>
            <w:r w:rsidRPr="007463B9">
              <w:rPr>
                <w:rFonts w:ascii="Calibri" w:eastAsia="Calibri" w:hAnsi="Calibri" w:cs="Calibri"/>
                <w:b/>
                <w:i/>
                <w:sz w:val="16"/>
                <w:szCs w:val="16"/>
              </w:rPr>
              <w:t>indicators</w:t>
            </w:r>
            <w:proofErr w:type="spellEnd"/>
            <w:r w:rsidRPr="007463B9">
              <w:rPr>
                <w:rFonts w:ascii="Calibri" w:eastAsia="Calibri" w:hAnsi="Calibri" w:cs="Calibri"/>
                <w:sz w:val="20"/>
                <w:szCs w:val="20"/>
              </w:rPr>
              <w:t xml:space="preserve"> </w:t>
            </w:r>
          </w:p>
          <w:p w14:paraId="6B8BA0A8" w14:textId="3ECBB623"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If the project does not include the construction/</w:t>
            </w:r>
            <w:r w:rsidR="00B57CEF">
              <w:rPr>
                <w:rFonts w:ascii="Calibri" w:eastAsia="Calibri" w:hAnsi="Calibri" w:cs="Calibri"/>
                <w:sz w:val="20"/>
                <w:szCs w:val="20"/>
                <w:lang w:val="en-GB"/>
              </w:rPr>
              <w:t xml:space="preserve"> </w:t>
            </w:r>
            <w:r w:rsidRPr="0045151D">
              <w:rPr>
                <w:rFonts w:ascii="Calibri" w:eastAsia="Calibri" w:hAnsi="Calibri" w:cs="Calibri"/>
                <w:sz w:val="20"/>
                <w:szCs w:val="20"/>
                <w:lang w:val="en-GB"/>
              </w:rPr>
              <w:t xml:space="preserve">reconstruction of single carriageway road, the average value of the location factor </w:t>
            </w:r>
            <w:r w:rsidRPr="0045151D">
              <w:rPr>
                <w:rFonts w:ascii="Calibri" w:eastAsia="Calibri" w:hAnsi="Calibri" w:cs="Calibri"/>
                <w:b/>
                <w:i/>
                <w:sz w:val="20"/>
                <w:szCs w:val="20"/>
                <w:lang w:val="en-GB"/>
              </w:rPr>
              <w:t>f</w:t>
            </w:r>
            <w:r w:rsidRPr="0045151D">
              <w:rPr>
                <w:rFonts w:ascii="Calibri" w:eastAsia="Calibri" w:hAnsi="Calibri" w:cs="Calibri"/>
                <w:b/>
                <w:i/>
                <w:sz w:val="20"/>
                <w:szCs w:val="20"/>
                <w:vertAlign w:val="superscript"/>
                <w:lang w:val="en-GB"/>
              </w:rPr>
              <w:t>(1)</w:t>
            </w:r>
            <w:r w:rsidRPr="0045151D">
              <w:rPr>
                <w:rFonts w:ascii="Calibri" w:eastAsia="Calibri" w:hAnsi="Calibri" w:cs="Calibri"/>
                <w:b/>
                <w:i/>
                <w:sz w:val="20"/>
                <w:szCs w:val="20"/>
                <w:vertAlign w:val="subscript"/>
                <w:lang w:val="en-GB"/>
              </w:rPr>
              <w:t xml:space="preserve">LDW </w:t>
            </w:r>
            <w:r w:rsidRPr="0045151D">
              <w:rPr>
                <w:rFonts w:ascii="Calibri" w:eastAsia="Calibri" w:hAnsi="Calibri" w:cs="Calibri"/>
                <w:b/>
                <w:sz w:val="20"/>
                <w:szCs w:val="20"/>
                <w:lang w:val="en-GB"/>
              </w:rPr>
              <w:t>= 2.253</w:t>
            </w:r>
            <w:r w:rsidRPr="0045151D">
              <w:rPr>
                <w:rFonts w:ascii="Calibri" w:eastAsia="Calibri" w:hAnsi="Calibri" w:cs="Calibri"/>
                <w:b/>
                <w:lang w:val="en-GB"/>
              </w:rPr>
              <w:t xml:space="preserve"> </w:t>
            </w:r>
            <w:r w:rsidRPr="0045151D">
              <w:rPr>
                <w:rFonts w:ascii="Calibri" w:eastAsia="Calibri" w:hAnsi="Calibri" w:cs="Calibri"/>
                <w:sz w:val="20"/>
                <w:szCs w:val="20"/>
                <w:lang w:val="en-GB"/>
              </w:rPr>
              <w:t>can be used for network calculations, with RAI value for single carriageway roads according to the table below.</w:t>
            </w:r>
          </w:p>
          <w:p w14:paraId="669F3002" w14:textId="77777777" w:rsidR="00600DEE" w:rsidRPr="0045151D" w:rsidRDefault="00641FB5">
            <w:pPr>
              <w:spacing w:before="120" w:after="12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Table 5. RAI indicators for single carriageways considering average </w:t>
            </w:r>
            <w:r w:rsidRPr="0045151D">
              <w:rPr>
                <w:rFonts w:ascii="Calibri" w:eastAsia="Calibri" w:hAnsi="Calibri" w:cs="Calibri"/>
                <w:b/>
                <w:color w:val="4F81BD"/>
                <w:lang w:val="en-GB"/>
              </w:rPr>
              <w:t>f</w:t>
            </w:r>
            <w:r w:rsidRPr="0045151D">
              <w:rPr>
                <w:rFonts w:ascii="Calibri" w:eastAsia="Calibri" w:hAnsi="Calibri" w:cs="Calibri"/>
                <w:b/>
                <w:color w:val="4F81BD"/>
                <w:vertAlign w:val="superscript"/>
                <w:lang w:val="en-GB"/>
              </w:rPr>
              <w:t>(1)</w:t>
            </w:r>
            <w:r w:rsidRPr="0045151D">
              <w:rPr>
                <w:rFonts w:ascii="Calibri" w:eastAsia="Calibri" w:hAnsi="Calibri" w:cs="Calibri"/>
                <w:b/>
                <w:color w:val="4F81BD"/>
                <w:vertAlign w:val="subscript"/>
                <w:lang w:val="en-GB"/>
              </w:rPr>
              <w:t xml:space="preserve">LDW </w:t>
            </w:r>
            <w:r w:rsidRPr="0045151D">
              <w:rPr>
                <w:rFonts w:ascii="Calibri" w:eastAsia="Calibri" w:hAnsi="Calibri" w:cs="Calibri"/>
                <w:b/>
                <w:color w:val="4F81BD"/>
                <w:sz w:val="20"/>
                <w:szCs w:val="20"/>
                <w:lang w:val="en-GB"/>
              </w:rPr>
              <w:t xml:space="preserve"> (in</w:t>
            </w:r>
            <w:r w:rsidRPr="0045151D">
              <w:rPr>
                <w:rFonts w:ascii="Calibri" w:eastAsia="Calibri" w:hAnsi="Calibri" w:cs="Calibri"/>
                <w:b/>
                <w:color w:val="4F81BD"/>
                <w:sz w:val="20"/>
                <w:szCs w:val="20"/>
                <w:lang w:val="en-GB"/>
              </w:rPr>
              <w:br/>
              <w:t>accidents/10</w:t>
            </w:r>
            <w:r w:rsidRPr="0045151D">
              <w:rPr>
                <w:rFonts w:ascii="Calibri" w:eastAsia="Calibri" w:hAnsi="Calibri" w:cs="Calibri"/>
                <w:b/>
                <w:color w:val="4F81BD"/>
                <w:sz w:val="20"/>
                <w:szCs w:val="20"/>
                <w:vertAlign w:val="superscript"/>
                <w:lang w:val="en-GB"/>
              </w:rPr>
              <w:t>6</w:t>
            </w:r>
            <w:r w:rsidRPr="0045151D">
              <w:rPr>
                <w:rFonts w:ascii="Calibri" w:eastAsia="Calibri" w:hAnsi="Calibri" w:cs="Calibri"/>
                <w:b/>
                <w:color w:val="4F81BD"/>
                <w:sz w:val="20"/>
                <w:szCs w:val="20"/>
                <w:lang w:val="en-GB"/>
              </w:rPr>
              <w:t xml:space="preserve">veh-km/day) </w:t>
            </w:r>
          </w:p>
          <w:tbl>
            <w:tblPr>
              <w:tblStyle w:val="affffffffffffffff1"/>
              <w:tblW w:w="6725" w:type="dxa"/>
              <w:tblLayout w:type="fixed"/>
              <w:tblLook w:val="0400" w:firstRow="0" w:lastRow="0" w:firstColumn="0" w:lastColumn="0" w:noHBand="0" w:noVBand="1"/>
            </w:tblPr>
            <w:tblGrid>
              <w:gridCol w:w="2103"/>
              <w:gridCol w:w="771"/>
              <w:gridCol w:w="771"/>
              <w:gridCol w:w="770"/>
              <w:gridCol w:w="770"/>
              <w:gridCol w:w="770"/>
              <w:gridCol w:w="770"/>
            </w:tblGrid>
            <w:tr w:rsidR="00600DEE" w:rsidRPr="007463B9" w14:paraId="2CCA8EEE" w14:textId="77777777" w:rsidTr="001147E5">
              <w:trPr>
                <w:trHeight w:hRule="exact" w:val="340"/>
              </w:trPr>
              <w:tc>
                <w:tcPr>
                  <w:tcW w:w="154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0401BAF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RAI(LDW)/ AADT</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16F0B7F"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C18D89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039B6F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12D6F68"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GP1x2z</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717D9C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490A577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G1x2z</w:t>
                  </w:r>
                </w:p>
              </w:tc>
            </w:tr>
            <w:tr w:rsidR="00600DEE" w:rsidRPr="007463B9" w14:paraId="321A1A5B"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71DA0F5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0 - 5 000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58C20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BC8A8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BED29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45DEED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2A071B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03666F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0.336</w:t>
                  </w:r>
                </w:p>
              </w:tc>
            </w:tr>
            <w:tr w:rsidR="00600DEE" w:rsidRPr="007463B9" w14:paraId="1CA38046"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2E71E71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5000 - 10 000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2BBCCA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9A7E8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99C010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0DF64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50FD9A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C1E2CA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0.282</w:t>
                  </w:r>
                </w:p>
              </w:tc>
            </w:tr>
            <w:tr w:rsidR="00600DEE" w:rsidRPr="007463B9" w14:paraId="73A8E0CB"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477CB8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10 000 - 20 000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6AF79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4D6708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1A8039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59ED7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9BF32C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70CDDE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0.250</w:t>
                  </w:r>
                </w:p>
              </w:tc>
            </w:tr>
            <w:tr w:rsidR="00600DEE" w:rsidRPr="007463B9" w14:paraId="6E505CE0"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30C4C6B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20000 - 30 000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807C41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CFA01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E0C8B0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23F01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627C4E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EB91B1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0.228</w:t>
                  </w:r>
                </w:p>
              </w:tc>
            </w:tr>
            <w:tr w:rsidR="00600DEE" w:rsidRPr="007463B9" w14:paraId="0A17174E"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1C07E7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30000 - 40 000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6422EF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411D0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A70973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C65641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8BD4A5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0D9441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0.212</w:t>
                  </w:r>
                </w:p>
              </w:tc>
            </w:tr>
            <w:tr w:rsidR="00600DEE" w:rsidRPr="007463B9" w14:paraId="636F3AAC" w14:textId="77777777" w:rsidTr="001147E5">
              <w:trPr>
                <w:trHeight w:hRule="exact" w:val="340"/>
              </w:trPr>
              <w:tc>
                <w:tcPr>
                  <w:tcW w:w="1547" w:type="dxa"/>
                  <w:tcBorders>
                    <w:top w:val="single" w:sz="4" w:space="0" w:color="FFFFFF"/>
                    <w:left w:val="single" w:sz="8" w:space="0" w:color="FFFFFF"/>
                    <w:bottom w:val="single" w:sz="8" w:space="0" w:color="FFFFFF"/>
                    <w:right w:val="nil"/>
                  </w:tcBorders>
                  <w:shd w:val="clear" w:color="auto" w:fill="DBE5F1"/>
                  <w:vAlign w:val="center"/>
                </w:tcPr>
                <w:p w14:paraId="32E5CE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52068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7634FE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77FC5F0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0.158</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27D665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670BAC8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45E7A9F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0.203</w:t>
                  </w:r>
                </w:p>
              </w:tc>
            </w:tr>
          </w:tbl>
          <w:p w14:paraId="3D2AB43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Own calculations based on the method of RS indicators</w:t>
            </w:r>
            <w:r w:rsidRPr="0045151D">
              <w:rPr>
                <w:rFonts w:ascii="Calibri" w:eastAsia="Calibri" w:hAnsi="Calibri" w:cs="Calibri"/>
                <w:sz w:val="20"/>
                <w:szCs w:val="20"/>
                <w:lang w:val="en-GB"/>
              </w:rPr>
              <w:t xml:space="preserve"> </w:t>
            </w:r>
          </w:p>
          <w:p w14:paraId="2A4FC898"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t>3.   Number of accident victims</w:t>
            </w:r>
          </w:p>
          <w:p w14:paraId="51CF2E4F" w14:textId="77777777" w:rsidR="00600DEE" w:rsidRPr="0045151D" w:rsidRDefault="00641FB5">
            <w:pP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 xml:space="preserve">Tables for WR, WCR and WZ include factors on the average number of victims per one road accident (injured, seriously injured and fatalities, respectively), differentiated by road categories. These factors were calculated using national road network data and accidents data for the years 2011 - 2013. </w:t>
            </w:r>
          </w:p>
          <w:p w14:paraId="1430644B" w14:textId="77777777" w:rsidR="00600DEE" w:rsidRPr="0045151D" w:rsidRDefault="00641FB5">
            <w:pP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These factors are the basis to obtain the number of injured (LR), seriously injured (LCR) and fatalities (LZ), multiplying them by the respective number of road accidents.</w:t>
            </w:r>
          </w:p>
          <w:p w14:paraId="1F8451B0" w14:textId="4C1ADF49" w:rsidR="00600DEE" w:rsidRPr="0045151D" w:rsidRDefault="006C5DD9">
            <w:pPr>
              <w:pBdr>
                <w:top w:val="nil"/>
                <w:left w:val="nil"/>
                <w:bottom w:val="nil"/>
                <w:right w:val="nil"/>
                <w:between w:val="nil"/>
              </w:pBdr>
              <w:spacing w:before="120" w:after="120"/>
              <w:jc w:val="both"/>
              <w:rPr>
                <w:rFonts w:ascii="Calibri" w:eastAsia="Calibri" w:hAnsi="Calibri" w:cs="Calibri"/>
                <w:color w:val="222222"/>
                <w:sz w:val="20"/>
                <w:szCs w:val="20"/>
                <w:lang w:val="en-GB"/>
              </w:rPr>
            </w:pPr>
            <w:r>
              <w:rPr>
                <w:rFonts w:ascii="Calibri" w:eastAsia="Calibri" w:hAnsi="Calibri" w:cs="Calibri"/>
                <w:color w:val="222222"/>
                <w:sz w:val="20"/>
                <w:szCs w:val="20"/>
                <w:lang w:val="en-GB"/>
              </w:rPr>
              <w:t>T</w:t>
            </w:r>
            <w:r w:rsidR="00641FB5" w:rsidRPr="0045151D">
              <w:rPr>
                <w:rFonts w:ascii="Calibri" w:eastAsia="Calibri" w:hAnsi="Calibri" w:cs="Calibri"/>
                <w:color w:val="222222"/>
                <w:sz w:val="20"/>
                <w:szCs w:val="20"/>
                <w:lang w:val="en-GB"/>
              </w:rPr>
              <w:t>he number of slightly injured (LLR) sho</w:t>
            </w:r>
            <w:r w:rsidR="00B57CEF">
              <w:rPr>
                <w:rFonts w:ascii="Calibri" w:eastAsia="Calibri" w:hAnsi="Calibri" w:cs="Calibri"/>
                <w:color w:val="222222"/>
                <w:sz w:val="20"/>
                <w:szCs w:val="20"/>
                <w:lang w:val="en-GB"/>
              </w:rPr>
              <w:t xml:space="preserve">uld be </w:t>
            </w:r>
            <w:r w:rsidR="00641FB5" w:rsidRPr="0045151D">
              <w:rPr>
                <w:rFonts w:ascii="Calibri" w:eastAsia="Calibri" w:hAnsi="Calibri" w:cs="Calibri"/>
                <w:color w:val="222222"/>
                <w:sz w:val="20"/>
                <w:szCs w:val="20"/>
                <w:lang w:val="en-GB"/>
              </w:rPr>
              <w:t>calculated as LR-LCR difference.</w:t>
            </w:r>
          </w:p>
          <w:p w14:paraId="323E8882"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323299"/>
                <w:sz w:val="23"/>
                <w:szCs w:val="23"/>
                <w:lang w:val="en-GB"/>
              </w:rPr>
            </w:pPr>
            <w:r w:rsidRPr="0045151D">
              <w:rPr>
                <w:rFonts w:ascii="Calibri" w:eastAsia="Calibri" w:hAnsi="Calibri" w:cs="Calibri"/>
                <w:color w:val="222222"/>
                <w:sz w:val="20"/>
                <w:szCs w:val="20"/>
                <w:lang w:val="en-GB"/>
              </w:rPr>
              <w:t>Tables 6 and 7 provide the values of accident severity indicators calculated for the national roads, while Table 8 applies to the voivodeship, commune and county roads.</w:t>
            </w:r>
          </w:p>
          <w:p w14:paraId="2407A637" w14:textId="77777777" w:rsidR="00600DEE" w:rsidRPr="0045151D" w:rsidRDefault="00600DEE">
            <w:pPr>
              <w:spacing w:before="120" w:after="120"/>
              <w:ind w:left="707" w:hanging="707"/>
              <w:rPr>
                <w:rFonts w:ascii="Calibri" w:eastAsia="Calibri" w:hAnsi="Calibri" w:cs="Calibri"/>
                <w:b/>
                <w:color w:val="4F81BD"/>
                <w:sz w:val="20"/>
                <w:szCs w:val="20"/>
                <w:lang w:val="en-GB"/>
              </w:rPr>
            </w:pPr>
          </w:p>
          <w:p w14:paraId="54804E4B" w14:textId="77777777" w:rsidR="00600DEE" w:rsidRPr="0045151D" w:rsidRDefault="00600DEE">
            <w:pPr>
              <w:spacing w:before="120" w:after="120"/>
              <w:ind w:left="707" w:hanging="707"/>
              <w:rPr>
                <w:rFonts w:ascii="Calibri" w:eastAsia="Calibri" w:hAnsi="Calibri" w:cs="Calibri"/>
                <w:b/>
                <w:color w:val="4F81BD"/>
                <w:sz w:val="20"/>
                <w:szCs w:val="20"/>
                <w:lang w:val="en-GB"/>
              </w:rPr>
            </w:pPr>
          </w:p>
          <w:p w14:paraId="59486391" w14:textId="77777777" w:rsidR="00600DEE" w:rsidRPr="0045151D" w:rsidRDefault="00600DEE">
            <w:pPr>
              <w:spacing w:before="120" w:after="120"/>
              <w:ind w:left="707" w:hanging="707"/>
              <w:rPr>
                <w:rFonts w:ascii="Calibri" w:eastAsia="Calibri" w:hAnsi="Calibri" w:cs="Calibri"/>
                <w:b/>
                <w:color w:val="4F81BD"/>
                <w:sz w:val="20"/>
                <w:szCs w:val="20"/>
                <w:lang w:val="en-GB"/>
              </w:rPr>
            </w:pPr>
          </w:p>
          <w:p w14:paraId="7816C347" w14:textId="77777777" w:rsidR="00600DEE" w:rsidRPr="0045151D" w:rsidRDefault="00641FB5">
            <w:pPr>
              <w:spacing w:before="120" w:after="12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 xml:space="preserve">Table 6.  Accident severity factors (in pers./numb. of accidents) for dual </w:t>
            </w:r>
            <w:proofErr w:type="spellStart"/>
            <w:r w:rsidRPr="0045151D">
              <w:rPr>
                <w:rFonts w:ascii="Calibri" w:eastAsia="Calibri" w:hAnsi="Calibri" w:cs="Calibri"/>
                <w:b/>
                <w:color w:val="4F81BD"/>
                <w:sz w:val="20"/>
                <w:szCs w:val="20"/>
                <w:lang w:val="en-GB"/>
              </w:rPr>
              <w:t>cariageways</w:t>
            </w:r>
            <w:proofErr w:type="spellEnd"/>
          </w:p>
          <w:tbl>
            <w:tblPr>
              <w:tblStyle w:val="affffffffffffffff2"/>
              <w:tblW w:w="6725" w:type="dxa"/>
              <w:tblLayout w:type="fixed"/>
              <w:tblLook w:val="0400" w:firstRow="0" w:lastRow="0" w:firstColumn="0" w:lastColumn="0" w:noHBand="0" w:noVBand="1"/>
            </w:tblPr>
            <w:tblGrid>
              <w:gridCol w:w="673"/>
              <w:gridCol w:w="818"/>
              <w:gridCol w:w="655"/>
              <w:gridCol w:w="655"/>
              <w:gridCol w:w="654"/>
              <w:gridCol w:w="654"/>
              <w:gridCol w:w="654"/>
              <w:gridCol w:w="654"/>
              <w:gridCol w:w="654"/>
              <w:gridCol w:w="654"/>
            </w:tblGrid>
            <w:tr w:rsidR="00600DEE" w:rsidRPr="007463B9" w14:paraId="322C9533"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1C4E5FCC" w14:textId="77777777" w:rsidR="00600DEE" w:rsidRPr="0045151D" w:rsidRDefault="00600DEE">
                  <w:pPr>
                    <w:jc w:val="center"/>
                    <w:rPr>
                      <w:rFonts w:ascii="Calibri" w:eastAsia="Calibri" w:hAnsi="Calibri" w:cs="Calibri"/>
                      <w:b/>
                      <w:color w:val="FFFFFF"/>
                      <w:sz w:val="16"/>
                      <w:szCs w:val="16"/>
                      <w:lang w:val="en-GB"/>
                    </w:rPr>
                  </w:pPr>
                </w:p>
              </w:tc>
              <w:tc>
                <w:tcPr>
                  <w:tcW w:w="708" w:type="dxa"/>
                  <w:tcBorders>
                    <w:top w:val="single" w:sz="8" w:space="0" w:color="FFFFFF"/>
                    <w:left w:val="nil"/>
                    <w:bottom w:val="nil"/>
                    <w:right w:val="nil"/>
                  </w:tcBorders>
                  <w:shd w:val="clear" w:color="auto" w:fill="A6A6A6"/>
                  <w:vAlign w:val="center"/>
                </w:tcPr>
                <w:p w14:paraId="05BDE942"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A2x2</w:t>
                  </w:r>
                </w:p>
              </w:tc>
              <w:tc>
                <w:tcPr>
                  <w:tcW w:w="567"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61AA3BC7"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A2x3</w:t>
                  </w:r>
                </w:p>
              </w:tc>
              <w:tc>
                <w:tcPr>
                  <w:tcW w:w="567" w:type="dxa"/>
                  <w:tcBorders>
                    <w:top w:val="single" w:sz="8" w:space="0" w:color="FFFFFF"/>
                    <w:left w:val="nil"/>
                    <w:bottom w:val="single" w:sz="8" w:space="0" w:color="FFFFFF"/>
                    <w:right w:val="nil"/>
                  </w:tcBorders>
                  <w:shd w:val="clear" w:color="auto" w:fill="A6A6A6"/>
                  <w:vAlign w:val="center"/>
                </w:tcPr>
                <w:p w14:paraId="5AC420F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S2+1</w:t>
                  </w:r>
                </w:p>
              </w:tc>
              <w:tc>
                <w:tcPr>
                  <w:tcW w:w="567"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3131EEF0"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S2x2</w:t>
                  </w:r>
                </w:p>
              </w:tc>
              <w:tc>
                <w:tcPr>
                  <w:tcW w:w="567" w:type="dxa"/>
                  <w:tcBorders>
                    <w:top w:val="single" w:sz="8" w:space="0" w:color="FFFFFF"/>
                    <w:left w:val="nil"/>
                    <w:bottom w:val="single" w:sz="8" w:space="0" w:color="FFFFFF"/>
                    <w:right w:val="single" w:sz="8" w:space="0" w:color="FFFFFF"/>
                  </w:tcBorders>
                  <w:shd w:val="clear" w:color="auto" w:fill="A6A6A6"/>
                  <w:vAlign w:val="center"/>
                </w:tcPr>
                <w:p w14:paraId="63A8380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S2x3</w:t>
                  </w:r>
                </w:p>
              </w:tc>
              <w:tc>
                <w:tcPr>
                  <w:tcW w:w="567" w:type="dxa"/>
                  <w:tcBorders>
                    <w:top w:val="single" w:sz="8" w:space="0" w:color="FFFFFF"/>
                    <w:left w:val="nil"/>
                    <w:bottom w:val="single" w:sz="8" w:space="0" w:color="FFFFFF"/>
                    <w:right w:val="single" w:sz="8" w:space="0" w:color="FFFFFF"/>
                  </w:tcBorders>
                  <w:shd w:val="clear" w:color="auto" w:fill="A6A6A6"/>
                  <w:vAlign w:val="center"/>
                </w:tcPr>
                <w:p w14:paraId="477AC314"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GP2x2n</w:t>
                  </w:r>
                </w:p>
              </w:tc>
              <w:tc>
                <w:tcPr>
                  <w:tcW w:w="567" w:type="dxa"/>
                  <w:tcBorders>
                    <w:top w:val="single" w:sz="8" w:space="0" w:color="FFFFFF"/>
                    <w:left w:val="nil"/>
                    <w:bottom w:val="single" w:sz="8" w:space="0" w:color="FFFFFF"/>
                    <w:right w:val="nil"/>
                  </w:tcBorders>
                  <w:shd w:val="clear" w:color="auto" w:fill="A6A6A6"/>
                  <w:vAlign w:val="center"/>
                </w:tcPr>
                <w:p w14:paraId="4B9AC23D"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GP2x2z</w:t>
                  </w:r>
                </w:p>
              </w:tc>
              <w:tc>
                <w:tcPr>
                  <w:tcW w:w="567"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0B1A6E30"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GP2x3n</w:t>
                  </w:r>
                </w:p>
              </w:tc>
              <w:tc>
                <w:tcPr>
                  <w:tcW w:w="567" w:type="dxa"/>
                  <w:tcBorders>
                    <w:top w:val="single" w:sz="8" w:space="0" w:color="FFFFFF"/>
                    <w:left w:val="nil"/>
                    <w:bottom w:val="single" w:sz="8" w:space="0" w:color="FFFFFF"/>
                    <w:right w:val="single" w:sz="8" w:space="0" w:color="FFFFFF"/>
                  </w:tcBorders>
                  <w:shd w:val="clear" w:color="auto" w:fill="A6A6A6"/>
                  <w:vAlign w:val="center"/>
                </w:tcPr>
                <w:p w14:paraId="1001DA9E"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GP2x3z</w:t>
                  </w:r>
                </w:p>
              </w:tc>
            </w:tr>
            <w:tr w:rsidR="00600DEE" w:rsidRPr="007463B9" w14:paraId="2F48F37C"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7364890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WR</w:t>
                  </w:r>
                </w:p>
              </w:tc>
              <w:tc>
                <w:tcPr>
                  <w:tcW w:w="708" w:type="dxa"/>
                  <w:tcBorders>
                    <w:top w:val="single" w:sz="8" w:space="0" w:color="FFFFFF"/>
                    <w:left w:val="single" w:sz="8" w:space="0" w:color="FFFFFF"/>
                    <w:bottom w:val="single" w:sz="8" w:space="0" w:color="FFFFFF"/>
                    <w:right w:val="nil"/>
                  </w:tcBorders>
                  <w:shd w:val="clear" w:color="auto" w:fill="DBE5F1"/>
                  <w:vAlign w:val="center"/>
                </w:tcPr>
                <w:p w14:paraId="72EA115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1.531</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18A8D04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1.537</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1F4A6C1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2.032</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0521685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1.332</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6DAD0EC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1.333</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231D9A9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1.343</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41C0CE6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1.311</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1CBB11B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1.390</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4FA2B00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1.227</w:t>
                  </w:r>
                </w:p>
              </w:tc>
            </w:tr>
            <w:tr w:rsidR="00600DEE" w:rsidRPr="007463B9" w14:paraId="11BCD9B9"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1CB1B33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WCR</w:t>
                  </w:r>
                </w:p>
              </w:tc>
              <w:tc>
                <w:tcPr>
                  <w:tcW w:w="708" w:type="dxa"/>
                  <w:tcBorders>
                    <w:top w:val="nil"/>
                    <w:left w:val="single" w:sz="8" w:space="0" w:color="FFFFFF"/>
                    <w:bottom w:val="single" w:sz="8" w:space="0" w:color="FFFFFF"/>
                    <w:right w:val="nil"/>
                  </w:tcBorders>
                  <w:shd w:val="clear" w:color="auto" w:fill="DBE5F1"/>
                  <w:vAlign w:val="center"/>
                </w:tcPr>
                <w:p w14:paraId="68341BC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0.321</w:t>
                  </w:r>
                </w:p>
              </w:tc>
              <w:tc>
                <w:tcPr>
                  <w:tcW w:w="567" w:type="dxa"/>
                  <w:tcBorders>
                    <w:top w:val="nil"/>
                    <w:left w:val="single" w:sz="8" w:space="0" w:color="FFFFFF"/>
                    <w:bottom w:val="single" w:sz="8" w:space="0" w:color="FFFFFF"/>
                    <w:right w:val="nil"/>
                  </w:tcBorders>
                  <w:shd w:val="clear" w:color="auto" w:fill="DBE5F1"/>
                  <w:vAlign w:val="center"/>
                </w:tcPr>
                <w:p w14:paraId="321B0F0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0.268</w:t>
                  </w:r>
                </w:p>
              </w:tc>
              <w:tc>
                <w:tcPr>
                  <w:tcW w:w="567" w:type="dxa"/>
                  <w:tcBorders>
                    <w:top w:val="nil"/>
                    <w:left w:val="single" w:sz="8" w:space="0" w:color="FFFFFF"/>
                    <w:bottom w:val="single" w:sz="8" w:space="0" w:color="FFFFFF"/>
                    <w:right w:val="nil"/>
                  </w:tcBorders>
                  <w:shd w:val="clear" w:color="auto" w:fill="DBE5F1"/>
                  <w:vAlign w:val="center"/>
                </w:tcPr>
                <w:p w14:paraId="531CD9B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1.079</w:t>
                  </w:r>
                </w:p>
              </w:tc>
              <w:tc>
                <w:tcPr>
                  <w:tcW w:w="567" w:type="dxa"/>
                  <w:tcBorders>
                    <w:top w:val="nil"/>
                    <w:left w:val="single" w:sz="8" w:space="0" w:color="FFFFFF"/>
                    <w:bottom w:val="single" w:sz="8" w:space="0" w:color="FFFFFF"/>
                    <w:right w:val="nil"/>
                  </w:tcBorders>
                  <w:shd w:val="clear" w:color="auto" w:fill="DBE5F1"/>
                  <w:vAlign w:val="center"/>
                </w:tcPr>
                <w:p w14:paraId="14D9D8B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0.314</w:t>
                  </w:r>
                </w:p>
              </w:tc>
              <w:tc>
                <w:tcPr>
                  <w:tcW w:w="567" w:type="dxa"/>
                  <w:tcBorders>
                    <w:top w:val="nil"/>
                    <w:left w:val="single" w:sz="8" w:space="0" w:color="FFFFFF"/>
                    <w:bottom w:val="single" w:sz="8" w:space="0" w:color="FFFFFF"/>
                    <w:right w:val="nil"/>
                  </w:tcBorders>
                  <w:shd w:val="clear" w:color="auto" w:fill="DBE5F1"/>
                  <w:vAlign w:val="center"/>
                </w:tcPr>
                <w:p w14:paraId="045CA38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0.212</w:t>
                  </w:r>
                </w:p>
              </w:tc>
              <w:tc>
                <w:tcPr>
                  <w:tcW w:w="567" w:type="dxa"/>
                  <w:tcBorders>
                    <w:top w:val="nil"/>
                    <w:left w:val="single" w:sz="8" w:space="0" w:color="FFFFFF"/>
                    <w:bottom w:val="single" w:sz="8" w:space="0" w:color="FFFFFF"/>
                    <w:right w:val="nil"/>
                  </w:tcBorders>
                  <w:shd w:val="clear" w:color="auto" w:fill="DBE5F1"/>
                  <w:vAlign w:val="center"/>
                </w:tcPr>
                <w:p w14:paraId="70FA35D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0.259</w:t>
                  </w:r>
                </w:p>
              </w:tc>
              <w:tc>
                <w:tcPr>
                  <w:tcW w:w="567" w:type="dxa"/>
                  <w:tcBorders>
                    <w:top w:val="nil"/>
                    <w:left w:val="single" w:sz="8" w:space="0" w:color="FFFFFF"/>
                    <w:bottom w:val="single" w:sz="8" w:space="0" w:color="FFFFFF"/>
                    <w:right w:val="nil"/>
                  </w:tcBorders>
                  <w:shd w:val="clear" w:color="auto" w:fill="DBE5F1"/>
                  <w:vAlign w:val="center"/>
                </w:tcPr>
                <w:p w14:paraId="49F0D4C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0.336</w:t>
                  </w:r>
                </w:p>
              </w:tc>
              <w:tc>
                <w:tcPr>
                  <w:tcW w:w="567" w:type="dxa"/>
                  <w:tcBorders>
                    <w:top w:val="nil"/>
                    <w:left w:val="single" w:sz="8" w:space="0" w:color="FFFFFF"/>
                    <w:bottom w:val="single" w:sz="8" w:space="0" w:color="FFFFFF"/>
                    <w:right w:val="nil"/>
                  </w:tcBorders>
                  <w:shd w:val="clear" w:color="auto" w:fill="DBE5F1"/>
                  <w:vAlign w:val="center"/>
                </w:tcPr>
                <w:p w14:paraId="37205F7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0.317</w:t>
                  </w:r>
                </w:p>
              </w:tc>
              <w:tc>
                <w:tcPr>
                  <w:tcW w:w="567" w:type="dxa"/>
                  <w:tcBorders>
                    <w:top w:val="nil"/>
                    <w:left w:val="single" w:sz="8" w:space="0" w:color="FFFFFF"/>
                    <w:bottom w:val="single" w:sz="8" w:space="0" w:color="FFFFFF"/>
                    <w:right w:val="nil"/>
                  </w:tcBorders>
                  <w:shd w:val="clear" w:color="auto" w:fill="DBE5F1"/>
                  <w:vAlign w:val="center"/>
                </w:tcPr>
                <w:p w14:paraId="6FFB2B6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0.136</w:t>
                  </w:r>
                </w:p>
              </w:tc>
            </w:tr>
            <w:tr w:rsidR="00600DEE" w:rsidRPr="007463B9" w14:paraId="201C66FF"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14F956D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WZ</w:t>
                  </w:r>
                </w:p>
              </w:tc>
              <w:tc>
                <w:tcPr>
                  <w:tcW w:w="708" w:type="dxa"/>
                  <w:tcBorders>
                    <w:top w:val="nil"/>
                    <w:left w:val="single" w:sz="8" w:space="0" w:color="FFFFFF"/>
                    <w:bottom w:val="single" w:sz="8" w:space="0" w:color="FFFFFF"/>
                    <w:right w:val="nil"/>
                  </w:tcBorders>
                  <w:shd w:val="clear" w:color="auto" w:fill="DBE5F1"/>
                  <w:vAlign w:val="center"/>
                </w:tcPr>
                <w:p w14:paraId="3C8443C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0.167</w:t>
                  </w:r>
                </w:p>
              </w:tc>
              <w:tc>
                <w:tcPr>
                  <w:tcW w:w="567" w:type="dxa"/>
                  <w:tcBorders>
                    <w:top w:val="nil"/>
                    <w:left w:val="single" w:sz="8" w:space="0" w:color="FFFFFF"/>
                    <w:bottom w:val="single" w:sz="8" w:space="0" w:color="FFFFFF"/>
                    <w:right w:val="nil"/>
                  </w:tcBorders>
                  <w:shd w:val="clear" w:color="auto" w:fill="DBE5F1"/>
                  <w:vAlign w:val="center"/>
                </w:tcPr>
                <w:p w14:paraId="3928F77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0.073</w:t>
                  </w:r>
                </w:p>
              </w:tc>
              <w:tc>
                <w:tcPr>
                  <w:tcW w:w="567" w:type="dxa"/>
                  <w:tcBorders>
                    <w:top w:val="nil"/>
                    <w:left w:val="single" w:sz="8" w:space="0" w:color="FFFFFF"/>
                    <w:bottom w:val="single" w:sz="8" w:space="0" w:color="FFFFFF"/>
                    <w:right w:val="nil"/>
                  </w:tcBorders>
                  <w:shd w:val="clear" w:color="auto" w:fill="DBE5F1"/>
                  <w:vAlign w:val="center"/>
                </w:tcPr>
                <w:p w14:paraId="73A9953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0.270</w:t>
                  </w:r>
                </w:p>
              </w:tc>
              <w:tc>
                <w:tcPr>
                  <w:tcW w:w="567" w:type="dxa"/>
                  <w:tcBorders>
                    <w:top w:val="nil"/>
                    <w:left w:val="single" w:sz="8" w:space="0" w:color="FFFFFF"/>
                    <w:bottom w:val="single" w:sz="8" w:space="0" w:color="FFFFFF"/>
                    <w:right w:val="nil"/>
                  </w:tcBorders>
                  <w:shd w:val="clear" w:color="auto" w:fill="DBE5F1"/>
                  <w:vAlign w:val="center"/>
                </w:tcPr>
                <w:p w14:paraId="4BCD95A0"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0.182</w:t>
                  </w:r>
                </w:p>
              </w:tc>
              <w:tc>
                <w:tcPr>
                  <w:tcW w:w="567" w:type="dxa"/>
                  <w:tcBorders>
                    <w:top w:val="nil"/>
                    <w:left w:val="single" w:sz="8" w:space="0" w:color="FFFFFF"/>
                    <w:bottom w:val="single" w:sz="8" w:space="0" w:color="FFFFFF"/>
                    <w:right w:val="nil"/>
                  </w:tcBorders>
                  <w:shd w:val="clear" w:color="auto" w:fill="DBE5F1"/>
                  <w:vAlign w:val="center"/>
                </w:tcPr>
                <w:p w14:paraId="28F1FBB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0.061</w:t>
                  </w:r>
                </w:p>
              </w:tc>
              <w:tc>
                <w:tcPr>
                  <w:tcW w:w="567" w:type="dxa"/>
                  <w:tcBorders>
                    <w:top w:val="nil"/>
                    <w:left w:val="single" w:sz="8" w:space="0" w:color="FFFFFF"/>
                    <w:bottom w:val="single" w:sz="8" w:space="0" w:color="FFFFFF"/>
                    <w:right w:val="nil"/>
                  </w:tcBorders>
                  <w:shd w:val="clear" w:color="auto" w:fill="DBE5F1"/>
                  <w:vAlign w:val="center"/>
                </w:tcPr>
                <w:p w14:paraId="66522DC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0.188</w:t>
                  </w:r>
                </w:p>
              </w:tc>
              <w:tc>
                <w:tcPr>
                  <w:tcW w:w="567" w:type="dxa"/>
                  <w:tcBorders>
                    <w:top w:val="nil"/>
                    <w:left w:val="single" w:sz="8" w:space="0" w:color="FFFFFF"/>
                    <w:bottom w:val="single" w:sz="8" w:space="0" w:color="FFFFFF"/>
                    <w:right w:val="nil"/>
                  </w:tcBorders>
                  <w:shd w:val="clear" w:color="auto" w:fill="DBE5F1"/>
                  <w:vAlign w:val="center"/>
                </w:tcPr>
                <w:p w14:paraId="79B277F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0.126</w:t>
                  </w:r>
                </w:p>
              </w:tc>
              <w:tc>
                <w:tcPr>
                  <w:tcW w:w="567" w:type="dxa"/>
                  <w:tcBorders>
                    <w:top w:val="nil"/>
                    <w:left w:val="single" w:sz="8" w:space="0" w:color="FFFFFF"/>
                    <w:bottom w:val="single" w:sz="8" w:space="0" w:color="FFFFFF"/>
                    <w:right w:val="nil"/>
                  </w:tcBorders>
                  <w:shd w:val="clear" w:color="auto" w:fill="DBE5F1"/>
                  <w:vAlign w:val="center"/>
                </w:tcPr>
                <w:p w14:paraId="4EB12EA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0.146</w:t>
                  </w:r>
                </w:p>
              </w:tc>
              <w:tc>
                <w:tcPr>
                  <w:tcW w:w="567" w:type="dxa"/>
                  <w:tcBorders>
                    <w:top w:val="nil"/>
                    <w:left w:val="single" w:sz="8" w:space="0" w:color="FFFFFF"/>
                    <w:bottom w:val="single" w:sz="8" w:space="0" w:color="FFFFFF"/>
                    <w:right w:val="nil"/>
                  </w:tcBorders>
                  <w:shd w:val="clear" w:color="auto" w:fill="DBE5F1"/>
                  <w:vAlign w:val="center"/>
                </w:tcPr>
                <w:p w14:paraId="7E5864B5"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0.045</w:t>
                  </w:r>
                </w:p>
              </w:tc>
            </w:tr>
          </w:tbl>
          <w:p w14:paraId="7CA8063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Expert study</w:t>
            </w:r>
            <w:r w:rsidRPr="0045151D">
              <w:rPr>
                <w:rFonts w:ascii="Calibri" w:eastAsia="Calibri" w:hAnsi="Calibri" w:cs="Calibri"/>
                <w:sz w:val="20"/>
                <w:szCs w:val="20"/>
                <w:lang w:val="en-GB"/>
              </w:rPr>
              <w:t xml:space="preserve"> </w:t>
            </w:r>
          </w:p>
          <w:p w14:paraId="5502A9E5" w14:textId="77777777" w:rsidR="00600DEE" w:rsidRPr="0045151D" w:rsidRDefault="00641FB5">
            <w:pPr>
              <w:spacing w:before="120" w:after="12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Table 7. Accident severity factors (in pers./numb. of accidents) for single </w:t>
            </w:r>
            <w:r w:rsidRPr="0045151D">
              <w:rPr>
                <w:rFonts w:ascii="Calibri" w:eastAsia="Calibri" w:hAnsi="Calibri" w:cs="Calibri"/>
                <w:b/>
                <w:color w:val="4F81BD"/>
                <w:sz w:val="20"/>
                <w:szCs w:val="20"/>
                <w:lang w:val="en-GB"/>
              </w:rPr>
              <w:br/>
              <w:t>carriageways</w:t>
            </w:r>
          </w:p>
          <w:tbl>
            <w:tblPr>
              <w:tblStyle w:val="affffffffffffffff3"/>
              <w:tblW w:w="4949" w:type="dxa"/>
              <w:tblLayout w:type="fixed"/>
              <w:tblLook w:val="0400" w:firstRow="0" w:lastRow="0" w:firstColumn="0" w:lastColumn="0" w:noHBand="0" w:noVBand="1"/>
            </w:tblPr>
            <w:tblGrid>
              <w:gridCol w:w="582"/>
              <w:gridCol w:w="708"/>
              <w:gridCol w:w="709"/>
              <w:gridCol w:w="709"/>
              <w:gridCol w:w="824"/>
              <w:gridCol w:w="708"/>
              <w:gridCol w:w="709"/>
            </w:tblGrid>
            <w:tr w:rsidR="00600DEE" w:rsidRPr="007463B9" w14:paraId="66FC360F" w14:textId="77777777">
              <w:trPr>
                <w:trHeight w:val="340"/>
              </w:trPr>
              <w:tc>
                <w:tcPr>
                  <w:tcW w:w="582"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623C883C"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 </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7436207"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7F14868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S1x2z</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179B6AB"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GP1x2n</w:t>
                  </w:r>
                </w:p>
              </w:tc>
              <w:tc>
                <w:tcPr>
                  <w:tcW w:w="82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5619ED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GP1x2z</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D17FE24"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G1x2n</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2C7D88F7"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G1x2z</w:t>
                  </w:r>
                </w:p>
              </w:tc>
            </w:tr>
            <w:tr w:rsidR="00600DEE" w:rsidRPr="007463B9" w14:paraId="4F6F0B50" w14:textId="77777777">
              <w:trPr>
                <w:trHeight w:val="276"/>
              </w:trPr>
              <w:tc>
                <w:tcPr>
                  <w:tcW w:w="58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74B2BE7A"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8425725"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7415CDA0"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37E734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82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25184F78"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30AD73AE"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93B9FD3"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r>
            <w:tr w:rsidR="00600DEE" w:rsidRPr="007463B9" w14:paraId="140F74F6" w14:textId="77777777">
              <w:trPr>
                <w:trHeight w:val="315"/>
              </w:trPr>
              <w:tc>
                <w:tcPr>
                  <w:tcW w:w="582" w:type="dxa"/>
                  <w:tcBorders>
                    <w:top w:val="nil"/>
                    <w:left w:val="single" w:sz="8" w:space="0" w:color="FFFFFF"/>
                    <w:bottom w:val="nil"/>
                    <w:right w:val="nil"/>
                  </w:tcBorders>
                  <w:shd w:val="clear" w:color="auto" w:fill="A6A6A6"/>
                  <w:vAlign w:val="center"/>
                </w:tcPr>
                <w:p w14:paraId="7211D59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WR</w:t>
                  </w:r>
                </w:p>
              </w:tc>
              <w:tc>
                <w:tcPr>
                  <w:tcW w:w="708" w:type="dxa"/>
                  <w:tcBorders>
                    <w:top w:val="nil"/>
                    <w:left w:val="single" w:sz="8" w:space="0" w:color="FFFFFF"/>
                    <w:bottom w:val="single" w:sz="8" w:space="0" w:color="FFFFFF"/>
                    <w:right w:val="single" w:sz="8" w:space="0" w:color="FFFFFF"/>
                  </w:tcBorders>
                  <w:shd w:val="clear" w:color="auto" w:fill="DBE5F1"/>
                  <w:vAlign w:val="center"/>
                </w:tcPr>
                <w:p w14:paraId="313C511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1.242</w:t>
                  </w:r>
                </w:p>
              </w:tc>
              <w:tc>
                <w:tcPr>
                  <w:tcW w:w="709" w:type="dxa"/>
                  <w:tcBorders>
                    <w:top w:val="nil"/>
                    <w:left w:val="nil"/>
                    <w:bottom w:val="single" w:sz="8" w:space="0" w:color="FFFFFF"/>
                    <w:right w:val="nil"/>
                  </w:tcBorders>
                  <w:shd w:val="clear" w:color="auto" w:fill="DBE5F1"/>
                  <w:vAlign w:val="center"/>
                </w:tcPr>
                <w:p w14:paraId="720062D4"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1.627</w:t>
                  </w:r>
                </w:p>
              </w:tc>
              <w:tc>
                <w:tcPr>
                  <w:tcW w:w="709" w:type="dxa"/>
                  <w:tcBorders>
                    <w:top w:val="nil"/>
                    <w:left w:val="single" w:sz="8" w:space="0" w:color="FFFFFF"/>
                    <w:bottom w:val="single" w:sz="8" w:space="0" w:color="FFFFFF"/>
                    <w:right w:val="nil"/>
                  </w:tcBorders>
                  <w:shd w:val="clear" w:color="auto" w:fill="DBE5F1"/>
                  <w:vAlign w:val="center"/>
                </w:tcPr>
                <w:p w14:paraId="13DC600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1.424</w:t>
                  </w:r>
                </w:p>
              </w:tc>
              <w:tc>
                <w:tcPr>
                  <w:tcW w:w="824" w:type="dxa"/>
                  <w:tcBorders>
                    <w:top w:val="nil"/>
                    <w:left w:val="single" w:sz="8" w:space="0" w:color="FFFFFF"/>
                    <w:bottom w:val="single" w:sz="8" w:space="0" w:color="FFFFFF"/>
                    <w:right w:val="nil"/>
                  </w:tcBorders>
                  <w:shd w:val="clear" w:color="auto" w:fill="DBE5F1"/>
                  <w:vAlign w:val="center"/>
                </w:tcPr>
                <w:p w14:paraId="085D57B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1.266</w:t>
                  </w:r>
                </w:p>
              </w:tc>
              <w:tc>
                <w:tcPr>
                  <w:tcW w:w="708" w:type="dxa"/>
                  <w:tcBorders>
                    <w:top w:val="nil"/>
                    <w:left w:val="single" w:sz="8" w:space="0" w:color="FFFFFF"/>
                    <w:bottom w:val="single" w:sz="8" w:space="0" w:color="FFFFFF"/>
                    <w:right w:val="nil"/>
                  </w:tcBorders>
                  <w:shd w:val="clear" w:color="auto" w:fill="DBE5F1"/>
                  <w:vAlign w:val="center"/>
                </w:tcPr>
                <w:p w14:paraId="7FFBF461"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1.381</w:t>
                  </w:r>
                </w:p>
              </w:tc>
              <w:tc>
                <w:tcPr>
                  <w:tcW w:w="709" w:type="dxa"/>
                  <w:tcBorders>
                    <w:top w:val="nil"/>
                    <w:left w:val="single" w:sz="8" w:space="0" w:color="FFFFFF"/>
                    <w:bottom w:val="single" w:sz="8" w:space="0" w:color="FFFFFF"/>
                    <w:right w:val="nil"/>
                  </w:tcBorders>
                  <w:shd w:val="clear" w:color="auto" w:fill="DBE5F1"/>
                  <w:vAlign w:val="center"/>
                </w:tcPr>
                <w:p w14:paraId="7FDB1DB4"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1.229</w:t>
                  </w:r>
                </w:p>
              </w:tc>
            </w:tr>
            <w:tr w:rsidR="00600DEE" w:rsidRPr="007463B9" w14:paraId="69D873CF"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3006AA8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WCR</w:t>
                  </w:r>
                </w:p>
              </w:tc>
              <w:tc>
                <w:tcPr>
                  <w:tcW w:w="708" w:type="dxa"/>
                  <w:tcBorders>
                    <w:top w:val="nil"/>
                    <w:left w:val="single" w:sz="8" w:space="0" w:color="FFFFFF"/>
                    <w:bottom w:val="single" w:sz="8" w:space="0" w:color="FFFFFF"/>
                    <w:right w:val="single" w:sz="8" w:space="0" w:color="FFFFFF"/>
                  </w:tcBorders>
                  <w:shd w:val="clear" w:color="auto" w:fill="DBE5F1"/>
                  <w:vAlign w:val="center"/>
                </w:tcPr>
                <w:p w14:paraId="0AC7E5F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0.488</w:t>
                  </w:r>
                </w:p>
              </w:tc>
              <w:tc>
                <w:tcPr>
                  <w:tcW w:w="709" w:type="dxa"/>
                  <w:tcBorders>
                    <w:top w:val="nil"/>
                    <w:left w:val="nil"/>
                    <w:bottom w:val="single" w:sz="8" w:space="0" w:color="FFFFFF"/>
                    <w:right w:val="nil"/>
                  </w:tcBorders>
                  <w:shd w:val="clear" w:color="auto" w:fill="DBE5F1"/>
                  <w:vAlign w:val="center"/>
                </w:tcPr>
                <w:p w14:paraId="31CEED8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0.733</w:t>
                  </w:r>
                </w:p>
              </w:tc>
              <w:tc>
                <w:tcPr>
                  <w:tcW w:w="709" w:type="dxa"/>
                  <w:tcBorders>
                    <w:top w:val="nil"/>
                    <w:left w:val="single" w:sz="8" w:space="0" w:color="FFFFFF"/>
                    <w:bottom w:val="single" w:sz="8" w:space="0" w:color="FFFFFF"/>
                    <w:right w:val="nil"/>
                  </w:tcBorders>
                  <w:shd w:val="clear" w:color="auto" w:fill="DBE5F1"/>
                  <w:vAlign w:val="center"/>
                </w:tcPr>
                <w:p w14:paraId="6A7C47D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0.425</w:t>
                  </w:r>
                </w:p>
              </w:tc>
              <w:tc>
                <w:tcPr>
                  <w:tcW w:w="824" w:type="dxa"/>
                  <w:tcBorders>
                    <w:top w:val="nil"/>
                    <w:left w:val="single" w:sz="8" w:space="0" w:color="FFFFFF"/>
                    <w:bottom w:val="single" w:sz="8" w:space="0" w:color="FFFFFF"/>
                    <w:right w:val="nil"/>
                  </w:tcBorders>
                  <w:shd w:val="clear" w:color="auto" w:fill="DBE5F1"/>
                  <w:vAlign w:val="center"/>
                </w:tcPr>
                <w:p w14:paraId="3CDCC21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0.326</w:t>
                  </w:r>
                </w:p>
              </w:tc>
              <w:tc>
                <w:tcPr>
                  <w:tcW w:w="708" w:type="dxa"/>
                  <w:tcBorders>
                    <w:top w:val="nil"/>
                    <w:left w:val="single" w:sz="8" w:space="0" w:color="FFFFFF"/>
                    <w:bottom w:val="single" w:sz="8" w:space="0" w:color="FFFFFF"/>
                    <w:right w:val="nil"/>
                  </w:tcBorders>
                  <w:shd w:val="clear" w:color="auto" w:fill="DBE5F1"/>
                  <w:vAlign w:val="center"/>
                </w:tcPr>
                <w:p w14:paraId="7C0FEFE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0.362</w:t>
                  </w:r>
                </w:p>
              </w:tc>
              <w:tc>
                <w:tcPr>
                  <w:tcW w:w="709" w:type="dxa"/>
                  <w:tcBorders>
                    <w:top w:val="nil"/>
                    <w:left w:val="single" w:sz="8" w:space="0" w:color="FFFFFF"/>
                    <w:bottom w:val="single" w:sz="8" w:space="0" w:color="FFFFFF"/>
                    <w:right w:val="nil"/>
                  </w:tcBorders>
                  <w:shd w:val="clear" w:color="auto" w:fill="DBE5F1"/>
                  <w:vAlign w:val="center"/>
                </w:tcPr>
                <w:p w14:paraId="0A729C0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0.285</w:t>
                  </w:r>
                </w:p>
              </w:tc>
            </w:tr>
            <w:tr w:rsidR="00600DEE" w:rsidRPr="007463B9" w14:paraId="28C5468B"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2FDFC00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WZ</w:t>
                  </w:r>
                </w:p>
              </w:tc>
              <w:tc>
                <w:tcPr>
                  <w:tcW w:w="708" w:type="dxa"/>
                  <w:tcBorders>
                    <w:top w:val="nil"/>
                    <w:left w:val="single" w:sz="8" w:space="0" w:color="FFFFFF"/>
                    <w:bottom w:val="single" w:sz="8" w:space="0" w:color="FFFFFF"/>
                    <w:right w:val="single" w:sz="8" w:space="0" w:color="FFFFFF"/>
                  </w:tcBorders>
                  <w:shd w:val="clear" w:color="auto" w:fill="D4E3F4"/>
                  <w:vAlign w:val="center"/>
                </w:tcPr>
                <w:p w14:paraId="35D7126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0.403</w:t>
                  </w:r>
                </w:p>
              </w:tc>
              <w:tc>
                <w:tcPr>
                  <w:tcW w:w="709" w:type="dxa"/>
                  <w:tcBorders>
                    <w:top w:val="nil"/>
                    <w:left w:val="nil"/>
                    <w:bottom w:val="single" w:sz="8" w:space="0" w:color="FFFFFF"/>
                    <w:right w:val="nil"/>
                  </w:tcBorders>
                  <w:shd w:val="clear" w:color="auto" w:fill="D4E3F4"/>
                  <w:vAlign w:val="center"/>
                </w:tcPr>
                <w:p w14:paraId="16EAD4C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0.453</w:t>
                  </w:r>
                </w:p>
              </w:tc>
              <w:tc>
                <w:tcPr>
                  <w:tcW w:w="709" w:type="dxa"/>
                  <w:tcBorders>
                    <w:top w:val="nil"/>
                    <w:left w:val="single" w:sz="8" w:space="0" w:color="FFFFFF"/>
                    <w:bottom w:val="single" w:sz="8" w:space="0" w:color="FFFFFF"/>
                    <w:right w:val="nil"/>
                  </w:tcBorders>
                  <w:shd w:val="clear" w:color="auto" w:fill="D4E3F4"/>
                  <w:vAlign w:val="center"/>
                </w:tcPr>
                <w:p w14:paraId="49F20028"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0.238</w:t>
                  </w:r>
                </w:p>
              </w:tc>
              <w:tc>
                <w:tcPr>
                  <w:tcW w:w="824" w:type="dxa"/>
                  <w:tcBorders>
                    <w:top w:val="nil"/>
                    <w:left w:val="single" w:sz="8" w:space="0" w:color="FFFFFF"/>
                    <w:bottom w:val="single" w:sz="8" w:space="0" w:color="FFFFFF"/>
                    <w:right w:val="nil"/>
                  </w:tcBorders>
                  <w:shd w:val="clear" w:color="auto" w:fill="D4E3F4"/>
                  <w:vAlign w:val="center"/>
                </w:tcPr>
                <w:p w14:paraId="63FCCFE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0.122</w:t>
                  </w:r>
                </w:p>
              </w:tc>
              <w:tc>
                <w:tcPr>
                  <w:tcW w:w="708" w:type="dxa"/>
                  <w:tcBorders>
                    <w:top w:val="nil"/>
                    <w:left w:val="single" w:sz="8" w:space="0" w:color="FFFFFF"/>
                    <w:bottom w:val="single" w:sz="8" w:space="0" w:color="FFFFFF"/>
                    <w:right w:val="nil"/>
                  </w:tcBorders>
                  <w:shd w:val="clear" w:color="auto" w:fill="D4E3F4"/>
                  <w:vAlign w:val="center"/>
                </w:tcPr>
                <w:p w14:paraId="74C0B4C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0.217</w:t>
                  </w:r>
                </w:p>
              </w:tc>
              <w:tc>
                <w:tcPr>
                  <w:tcW w:w="709" w:type="dxa"/>
                  <w:tcBorders>
                    <w:top w:val="nil"/>
                    <w:left w:val="single" w:sz="8" w:space="0" w:color="FFFFFF"/>
                    <w:bottom w:val="single" w:sz="8" w:space="0" w:color="FFFFFF"/>
                    <w:right w:val="nil"/>
                  </w:tcBorders>
                  <w:shd w:val="clear" w:color="auto" w:fill="D4E3F4"/>
                  <w:vAlign w:val="center"/>
                </w:tcPr>
                <w:p w14:paraId="1FE4D4D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0.107</w:t>
                  </w:r>
                </w:p>
              </w:tc>
            </w:tr>
          </w:tbl>
          <w:p w14:paraId="33301C9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Expert study</w:t>
            </w:r>
            <w:r w:rsidRPr="0045151D">
              <w:rPr>
                <w:rFonts w:ascii="Calibri" w:eastAsia="Calibri" w:hAnsi="Calibri" w:cs="Calibri"/>
                <w:sz w:val="20"/>
                <w:szCs w:val="20"/>
                <w:lang w:val="en-GB"/>
              </w:rPr>
              <w:t xml:space="preserve"> </w:t>
            </w:r>
          </w:p>
          <w:p w14:paraId="57C48086" w14:textId="77777777" w:rsidR="00600DEE" w:rsidRPr="0045151D" w:rsidRDefault="00641FB5" w:rsidP="00EE29B5">
            <w:pPr>
              <w:spacing w:before="120" w:after="24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8. Accident severity factors (in pers./numb. of accidents) for voivodeship,</w:t>
            </w:r>
            <w:r w:rsidRPr="0045151D">
              <w:rPr>
                <w:rFonts w:ascii="Calibri" w:eastAsia="Calibri" w:hAnsi="Calibri" w:cs="Calibri"/>
                <w:b/>
                <w:color w:val="4F81BD"/>
                <w:sz w:val="20"/>
                <w:szCs w:val="20"/>
                <w:lang w:val="en-GB"/>
              </w:rPr>
              <w:br/>
              <w:t>community and county roads.</w:t>
            </w:r>
          </w:p>
          <w:tbl>
            <w:tblPr>
              <w:tblStyle w:val="affffffffffffffff4"/>
              <w:tblW w:w="5940" w:type="dxa"/>
              <w:tblLayout w:type="fixed"/>
              <w:tblLook w:val="0400" w:firstRow="0" w:lastRow="0" w:firstColumn="0" w:lastColumn="0" w:noHBand="0" w:noVBand="1"/>
            </w:tblPr>
            <w:tblGrid>
              <w:gridCol w:w="581"/>
              <w:gridCol w:w="1390"/>
              <w:gridCol w:w="1276"/>
              <w:gridCol w:w="1276"/>
              <w:gridCol w:w="1417"/>
            </w:tblGrid>
            <w:tr w:rsidR="00600DEE" w:rsidRPr="007463B9" w14:paraId="37D0113B" w14:textId="77777777" w:rsidTr="00EE29B5">
              <w:trPr>
                <w:trHeight w:hRule="exact" w:val="680"/>
              </w:trPr>
              <w:tc>
                <w:tcPr>
                  <w:tcW w:w="582"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28838812"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 </w:t>
                  </w:r>
                </w:p>
              </w:tc>
              <w:tc>
                <w:tcPr>
                  <w:tcW w:w="1390"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907E9E3"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Voivodeship rd. undeveloped  area (n)</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1FA49105"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Voivodeship rd. built-up area (z)</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075C2158" w14:textId="77777777" w:rsidR="00600DEE" w:rsidRPr="0045151D" w:rsidRDefault="00641FB5">
                  <w:pPr>
                    <w:jc w:val="center"/>
                    <w:rPr>
                      <w:rFonts w:ascii="Calibri" w:eastAsia="Calibri" w:hAnsi="Calibri" w:cs="Calibri"/>
                      <w:b/>
                      <w:color w:val="FFFFFF"/>
                      <w:sz w:val="16"/>
                      <w:szCs w:val="16"/>
                      <w:lang w:val="en-GB"/>
                    </w:rPr>
                  </w:pPr>
                  <w:proofErr w:type="spellStart"/>
                  <w:r w:rsidRPr="0045151D">
                    <w:rPr>
                      <w:rFonts w:ascii="Calibri" w:eastAsia="Calibri" w:hAnsi="Calibri" w:cs="Calibri"/>
                      <w:b/>
                      <w:color w:val="FFFFFF"/>
                      <w:sz w:val="16"/>
                      <w:szCs w:val="16"/>
                      <w:lang w:val="en-GB"/>
                    </w:rPr>
                    <w:t>commmunity</w:t>
                  </w:r>
                  <w:proofErr w:type="spellEnd"/>
                  <w:r w:rsidRPr="0045151D">
                    <w:rPr>
                      <w:rFonts w:ascii="Calibri" w:eastAsia="Calibri" w:hAnsi="Calibri" w:cs="Calibri"/>
                      <w:b/>
                      <w:color w:val="FFFFFF"/>
                      <w:sz w:val="16"/>
                      <w:szCs w:val="16"/>
                      <w:lang w:val="en-GB"/>
                    </w:rPr>
                    <w:t>, county rd.    undeveloped area (n)</w:t>
                  </w:r>
                </w:p>
              </w:tc>
              <w:tc>
                <w:tcPr>
                  <w:tcW w:w="141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7477ED1B" w14:textId="77777777" w:rsidR="00600DEE" w:rsidRPr="0045151D" w:rsidRDefault="00641FB5">
                  <w:pPr>
                    <w:jc w:val="center"/>
                    <w:rPr>
                      <w:rFonts w:ascii="Calibri" w:eastAsia="Calibri" w:hAnsi="Calibri" w:cs="Calibri"/>
                      <w:b/>
                      <w:color w:val="FFFFFF"/>
                      <w:sz w:val="16"/>
                      <w:szCs w:val="16"/>
                      <w:lang w:val="en-GB"/>
                    </w:rPr>
                  </w:pPr>
                  <w:proofErr w:type="spellStart"/>
                  <w:r w:rsidRPr="0045151D">
                    <w:rPr>
                      <w:rFonts w:ascii="Calibri" w:eastAsia="Calibri" w:hAnsi="Calibri" w:cs="Calibri"/>
                      <w:b/>
                      <w:color w:val="FFFFFF"/>
                      <w:sz w:val="16"/>
                      <w:szCs w:val="16"/>
                      <w:lang w:val="en-GB"/>
                    </w:rPr>
                    <w:t>commmunity</w:t>
                  </w:r>
                  <w:proofErr w:type="spellEnd"/>
                  <w:r w:rsidRPr="0045151D">
                    <w:rPr>
                      <w:rFonts w:ascii="Calibri" w:eastAsia="Calibri" w:hAnsi="Calibri" w:cs="Calibri"/>
                      <w:b/>
                      <w:color w:val="FFFFFF"/>
                      <w:sz w:val="16"/>
                      <w:szCs w:val="16"/>
                      <w:lang w:val="en-GB"/>
                    </w:rPr>
                    <w:t>, county rd.    built-up area (z)</w:t>
                  </w:r>
                </w:p>
              </w:tc>
            </w:tr>
            <w:tr w:rsidR="00600DEE" w:rsidRPr="007463B9" w14:paraId="36C82FAB" w14:textId="77777777">
              <w:trPr>
                <w:trHeight w:val="276"/>
              </w:trPr>
              <w:tc>
                <w:tcPr>
                  <w:tcW w:w="58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431D7FB"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390"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7377FF7"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27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37350105"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27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774F1F0"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41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2C7244DA"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r>
            <w:tr w:rsidR="00600DEE" w:rsidRPr="007463B9" w14:paraId="684316D1" w14:textId="77777777">
              <w:trPr>
                <w:trHeight w:val="315"/>
              </w:trPr>
              <w:tc>
                <w:tcPr>
                  <w:tcW w:w="582" w:type="dxa"/>
                  <w:tcBorders>
                    <w:top w:val="nil"/>
                    <w:left w:val="single" w:sz="8" w:space="0" w:color="FFFFFF"/>
                    <w:bottom w:val="nil"/>
                    <w:right w:val="nil"/>
                  </w:tcBorders>
                  <w:shd w:val="clear" w:color="auto" w:fill="A6A6A6"/>
                  <w:vAlign w:val="center"/>
                </w:tcPr>
                <w:p w14:paraId="38D9901C"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WR</w:t>
                  </w:r>
                </w:p>
              </w:tc>
              <w:tc>
                <w:tcPr>
                  <w:tcW w:w="1390" w:type="dxa"/>
                  <w:tcBorders>
                    <w:top w:val="nil"/>
                    <w:left w:val="single" w:sz="8" w:space="0" w:color="FFFFFF"/>
                    <w:bottom w:val="single" w:sz="8" w:space="0" w:color="FFFFFF"/>
                    <w:right w:val="single" w:sz="8" w:space="0" w:color="FFFFFF"/>
                  </w:tcBorders>
                  <w:shd w:val="clear" w:color="auto" w:fill="DBE5F1"/>
                  <w:vAlign w:val="center"/>
                </w:tcPr>
                <w:p w14:paraId="0D7A459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1.322</w:t>
                  </w:r>
                </w:p>
              </w:tc>
              <w:tc>
                <w:tcPr>
                  <w:tcW w:w="1276" w:type="dxa"/>
                  <w:tcBorders>
                    <w:top w:val="nil"/>
                    <w:left w:val="nil"/>
                    <w:bottom w:val="single" w:sz="8" w:space="0" w:color="FFFFFF"/>
                    <w:right w:val="nil"/>
                  </w:tcBorders>
                  <w:shd w:val="clear" w:color="auto" w:fill="DBE5F1"/>
                  <w:vAlign w:val="center"/>
                </w:tcPr>
                <w:p w14:paraId="26CD376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1.226</w:t>
                  </w:r>
                </w:p>
              </w:tc>
              <w:tc>
                <w:tcPr>
                  <w:tcW w:w="1276" w:type="dxa"/>
                  <w:tcBorders>
                    <w:top w:val="nil"/>
                    <w:left w:val="single" w:sz="8" w:space="0" w:color="FFFFFF"/>
                    <w:bottom w:val="single" w:sz="8" w:space="0" w:color="FFFFFF"/>
                    <w:right w:val="nil"/>
                  </w:tcBorders>
                  <w:shd w:val="clear" w:color="auto" w:fill="DBE5F1"/>
                  <w:vAlign w:val="center"/>
                </w:tcPr>
                <w:p w14:paraId="29D454E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1.334</w:t>
                  </w:r>
                </w:p>
              </w:tc>
              <w:tc>
                <w:tcPr>
                  <w:tcW w:w="1417" w:type="dxa"/>
                  <w:tcBorders>
                    <w:top w:val="nil"/>
                    <w:left w:val="single" w:sz="8" w:space="0" w:color="FFFFFF"/>
                    <w:bottom w:val="single" w:sz="8" w:space="0" w:color="FFFFFF"/>
                    <w:right w:val="nil"/>
                  </w:tcBorders>
                  <w:shd w:val="clear" w:color="auto" w:fill="DBE5F1"/>
                  <w:vAlign w:val="center"/>
                </w:tcPr>
                <w:p w14:paraId="51CAB308"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1.194</w:t>
                  </w:r>
                </w:p>
              </w:tc>
            </w:tr>
            <w:tr w:rsidR="00600DEE" w:rsidRPr="007463B9" w14:paraId="0D918CA4"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70CF32C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WCR</w:t>
                  </w:r>
                </w:p>
              </w:tc>
              <w:tc>
                <w:tcPr>
                  <w:tcW w:w="1390" w:type="dxa"/>
                  <w:tcBorders>
                    <w:top w:val="nil"/>
                    <w:left w:val="single" w:sz="8" w:space="0" w:color="FFFFFF"/>
                    <w:bottom w:val="single" w:sz="8" w:space="0" w:color="FFFFFF"/>
                    <w:right w:val="single" w:sz="8" w:space="0" w:color="FFFFFF"/>
                  </w:tcBorders>
                  <w:shd w:val="clear" w:color="auto" w:fill="DBE5F1"/>
                  <w:vAlign w:val="center"/>
                </w:tcPr>
                <w:p w14:paraId="57DB065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0.381</w:t>
                  </w:r>
                </w:p>
              </w:tc>
              <w:tc>
                <w:tcPr>
                  <w:tcW w:w="1276" w:type="dxa"/>
                  <w:tcBorders>
                    <w:top w:val="nil"/>
                    <w:left w:val="nil"/>
                    <w:bottom w:val="single" w:sz="8" w:space="0" w:color="FFFFFF"/>
                    <w:right w:val="nil"/>
                  </w:tcBorders>
                  <w:shd w:val="clear" w:color="auto" w:fill="DBE5F1"/>
                  <w:vAlign w:val="center"/>
                </w:tcPr>
                <w:p w14:paraId="088FAEC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0.318</w:t>
                  </w:r>
                </w:p>
              </w:tc>
              <w:tc>
                <w:tcPr>
                  <w:tcW w:w="1276" w:type="dxa"/>
                  <w:tcBorders>
                    <w:top w:val="nil"/>
                    <w:left w:val="single" w:sz="8" w:space="0" w:color="FFFFFF"/>
                    <w:bottom w:val="single" w:sz="8" w:space="0" w:color="FFFFFF"/>
                    <w:right w:val="nil"/>
                  </w:tcBorders>
                  <w:shd w:val="clear" w:color="auto" w:fill="DBE5F1"/>
                  <w:vAlign w:val="center"/>
                </w:tcPr>
                <w:p w14:paraId="0B318481"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0.393</w:t>
                  </w:r>
                </w:p>
              </w:tc>
              <w:tc>
                <w:tcPr>
                  <w:tcW w:w="1417" w:type="dxa"/>
                  <w:tcBorders>
                    <w:top w:val="nil"/>
                    <w:left w:val="single" w:sz="8" w:space="0" w:color="FFFFFF"/>
                    <w:bottom w:val="single" w:sz="8" w:space="0" w:color="FFFFFF"/>
                    <w:right w:val="nil"/>
                  </w:tcBorders>
                  <w:shd w:val="clear" w:color="auto" w:fill="DBE5F1"/>
                  <w:vAlign w:val="center"/>
                </w:tcPr>
                <w:p w14:paraId="05B50BC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0.288</w:t>
                  </w:r>
                </w:p>
              </w:tc>
            </w:tr>
            <w:tr w:rsidR="00600DEE" w:rsidRPr="007463B9" w14:paraId="2CC4DFC7"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23CD1DA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WZ</w:t>
                  </w:r>
                </w:p>
              </w:tc>
              <w:tc>
                <w:tcPr>
                  <w:tcW w:w="1390" w:type="dxa"/>
                  <w:tcBorders>
                    <w:top w:val="nil"/>
                    <w:left w:val="single" w:sz="8" w:space="0" w:color="FFFFFF"/>
                    <w:bottom w:val="single" w:sz="8" w:space="0" w:color="FFFFFF"/>
                    <w:right w:val="single" w:sz="8" w:space="0" w:color="FFFFFF"/>
                  </w:tcBorders>
                  <w:shd w:val="clear" w:color="auto" w:fill="DBE5F1"/>
                  <w:vAlign w:val="center"/>
                </w:tcPr>
                <w:p w14:paraId="0EF7AB1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0.178</w:t>
                  </w:r>
                </w:p>
              </w:tc>
              <w:tc>
                <w:tcPr>
                  <w:tcW w:w="1276" w:type="dxa"/>
                  <w:tcBorders>
                    <w:top w:val="nil"/>
                    <w:left w:val="nil"/>
                    <w:bottom w:val="single" w:sz="8" w:space="0" w:color="FFFFFF"/>
                    <w:right w:val="nil"/>
                  </w:tcBorders>
                  <w:shd w:val="clear" w:color="auto" w:fill="DBE5F1"/>
                  <w:vAlign w:val="center"/>
                </w:tcPr>
                <w:p w14:paraId="4E6AA0BD"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0.100</w:t>
                  </w:r>
                </w:p>
              </w:tc>
              <w:tc>
                <w:tcPr>
                  <w:tcW w:w="1276" w:type="dxa"/>
                  <w:tcBorders>
                    <w:top w:val="nil"/>
                    <w:left w:val="single" w:sz="8" w:space="0" w:color="FFFFFF"/>
                    <w:bottom w:val="single" w:sz="8" w:space="0" w:color="FFFFFF"/>
                    <w:right w:val="nil"/>
                  </w:tcBorders>
                  <w:shd w:val="clear" w:color="auto" w:fill="DBE5F1"/>
                  <w:vAlign w:val="center"/>
                </w:tcPr>
                <w:p w14:paraId="6BA54C4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0.143</w:t>
                  </w:r>
                </w:p>
              </w:tc>
              <w:tc>
                <w:tcPr>
                  <w:tcW w:w="1417" w:type="dxa"/>
                  <w:tcBorders>
                    <w:top w:val="nil"/>
                    <w:left w:val="single" w:sz="8" w:space="0" w:color="FFFFFF"/>
                    <w:bottom w:val="single" w:sz="8" w:space="0" w:color="FFFFFF"/>
                    <w:right w:val="nil"/>
                  </w:tcBorders>
                  <w:shd w:val="clear" w:color="auto" w:fill="DBE5F1"/>
                  <w:vAlign w:val="center"/>
                </w:tcPr>
                <w:p w14:paraId="3F6BFC8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0.087</w:t>
                  </w:r>
                </w:p>
              </w:tc>
            </w:tr>
          </w:tbl>
          <w:p w14:paraId="17C9A95E" w14:textId="461595E9"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Expert study</w:t>
            </w:r>
            <w:r w:rsidRPr="0045151D">
              <w:rPr>
                <w:rFonts w:ascii="Calibri" w:eastAsia="Calibri" w:hAnsi="Calibri" w:cs="Calibri"/>
                <w:sz w:val="20"/>
                <w:szCs w:val="20"/>
                <w:lang w:val="en-GB"/>
              </w:rPr>
              <w:t xml:space="preserve"> </w:t>
            </w:r>
          </w:p>
          <w:p w14:paraId="4524D30D" w14:textId="30C17789" w:rsidR="00EE29B5" w:rsidRPr="0045151D" w:rsidRDefault="00EE29B5">
            <w:pPr>
              <w:spacing w:before="120" w:after="120"/>
              <w:jc w:val="both"/>
              <w:rPr>
                <w:rFonts w:ascii="Calibri" w:eastAsia="Calibri" w:hAnsi="Calibri" w:cs="Calibri"/>
                <w:sz w:val="20"/>
                <w:szCs w:val="20"/>
                <w:lang w:val="en-GB"/>
              </w:rPr>
            </w:pPr>
          </w:p>
          <w:p w14:paraId="09138622" w14:textId="77777777" w:rsidR="00EE29B5" w:rsidRPr="0045151D" w:rsidRDefault="00EE29B5">
            <w:pPr>
              <w:spacing w:before="120" w:after="120"/>
              <w:jc w:val="both"/>
              <w:rPr>
                <w:rFonts w:ascii="Calibri" w:eastAsia="Calibri" w:hAnsi="Calibri" w:cs="Calibri"/>
                <w:sz w:val="20"/>
                <w:szCs w:val="20"/>
                <w:lang w:val="en-GB"/>
              </w:rPr>
            </w:pPr>
          </w:p>
          <w:p w14:paraId="2E7326FC"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lastRenderedPageBreak/>
              <w:t>4.   Road safety forecast</w:t>
            </w:r>
          </w:p>
          <w:p w14:paraId="7E01F7DB" w14:textId="77777777" w:rsidR="00B57CEF" w:rsidRPr="00371A33" w:rsidRDefault="00B57CEF" w:rsidP="00B57CEF">
            <w:pPr>
              <w:pStyle w:val="anxnormal"/>
              <w:spacing w:after="120"/>
              <w:ind w:left="0"/>
              <w:rPr>
                <w:rFonts w:asciiTheme="minorHAnsi" w:hAnsiTheme="minorHAnsi" w:cstheme="minorHAnsi"/>
                <w:lang w:val="en-GB"/>
              </w:rPr>
            </w:pPr>
            <w:r w:rsidRPr="00AB5C56">
              <w:rPr>
                <w:rFonts w:asciiTheme="minorHAnsi" w:hAnsiTheme="minorHAnsi" w:cstheme="minorHAnsi"/>
                <w:lang w:val="en-GB"/>
              </w:rPr>
              <w:t>The forecasted values of LR, LCR, LZ, LLR should be calculated by multiplying the forecasted values of LW (for the given reference period) by the corresponding values of WR, WCR and WZ differentiated by road categories. The WR, WCR and LZ valu</w:t>
            </w:r>
            <w:r w:rsidRPr="00371A33">
              <w:rPr>
                <w:rFonts w:asciiTheme="minorHAnsi" w:hAnsiTheme="minorHAnsi" w:cstheme="minorHAnsi"/>
                <w:lang w:val="en-GB"/>
              </w:rPr>
              <w:t xml:space="preserve">es do not change over time. </w:t>
            </w:r>
          </w:p>
          <w:p w14:paraId="2C8E8139" w14:textId="77777777" w:rsidR="00B57CEF" w:rsidRDefault="00B57CEF" w:rsidP="00B57CEF">
            <w:pPr>
              <w:pStyle w:val="anxnormal"/>
              <w:spacing w:after="120"/>
              <w:ind w:left="0"/>
              <w:rPr>
                <w:rFonts w:asciiTheme="minorHAnsi" w:hAnsiTheme="minorHAnsi" w:cstheme="minorHAnsi"/>
                <w:lang w:val="en-GB"/>
              </w:rPr>
            </w:pPr>
            <w:r w:rsidRPr="00371A33">
              <w:rPr>
                <w:rFonts w:asciiTheme="minorHAnsi" w:hAnsiTheme="minorHAnsi" w:cstheme="minorHAnsi"/>
                <w:lang w:val="en-GB"/>
              </w:rPr>
              <w:t>The number of slightly injured (LLR) should be calculated as LR-LCR difference.</w:t>
            </w:r>
            <w:r>
              <w:rPr>
                <w:rFonts w:asciiTheme="minorHAnsi" w:hAnsiTheme="minorHAnsi" w:cstheme="minorHAnsi"/>
                <w:lang w:val="en-GB"/>
              </w:rPr>
              <w:t xml:space="preserve"> </w:t>
            </w:r>
          </w:p>
          <w:p w14:paraId="6EB6E524" w14:textId="77777777" w:rsidR="00EE29B5" w:rsidRPr="0045151D" w:rsidRDefault="00EE29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p>
          <w:p w14:paraId="5852300B"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t>5.   Costs of accidents</w:t>
            </w:r>
          </w:p>
          <w:p w14:paraId="6409EFA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The total costs of road accidents are calculated using the formula presented in Table 20 of the main document.</w:t>
            </w:r>
          </w:p>
        </w:tc>
      </w:tr>
    </w:tbl>
    <w:p w14:paraId="79D0061D" w14:textId="77777777" w:rsidR="00600DEE" w:rsidRDefault="00641FB5">
      <w:pPr>
        <w:spacing w:before="120" w:after="120"/>
        <w:rPr>
          <w:rFonts w:ascii="Calibri" w:eastAsia="Calibri" w:hAnsi="Calibri" w:cs="Calibri"/>
          <w:b/>
          <w:color w:val="4F81BD"/>
          <w:sz w:val="28"/>
          <w:szCs w:val="28"/>
        </w:rPr>
      </w:pPr>
      <w:r>
        <w:rPr>
          <w:rFonts w:ascii="Calibri" w:eastAsia="Calibri" w:hAnsi="Calibri" w:cs="Calibri"/>
          <w:b/>
          <w:color w:val="4F81BD"/>
          <w:sz w:val="28"/>
          <w:szCs w:val="28"/>
        </w:rPr>
        <w:lastRenderedPageBreak/>
        <w:t>Metoda II</w:t>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t xml:space="preserve">         </w:t>
      </w:r>
      <w:r>
        <w:rPr>
          <w:rFonts w:ascii="Calibri" w:eastAsia="Calibri" w:hAnsi="Calibri" w:cs="Calibri"/>
          <w:b/>
          <w:i/>
          <w:color w:val="4F81BD"/>
          <w:sz w:val="28"/>
          <w:szCs w:val="28"/>
        </w:rPr>
        <w:t>Method II</w:t>
      </w:r>
    </w:p>
    <w:tbl>
      <w:tblPr>
        <w:tblStyle w:val="affffffffffffffff5"/>
        <w:tblW w:w="14571" w:type="dxa"/>
        <w:tblLayout w:type="fixed"/>
        <w:tblLook w:val="0400" w:firstRow="0" w:lastRow="0" w:firstColumn="0" w:lastColumn="0" w:noHBand="0" w:noVBand="1"/>
      </w:tblPr>
      <w:tblGrid>
        <w:gridCol w:w="7370"/>
        <w:gridCol w:w="7201"/>
      </w:tblGrid>
      <w:tr w:rsidR="00600DEE" w:rsidRPr="007463B9" w14:paraId="28313505" w14:textId="77777777">
        <w:tc>
          <w:tcPr>
            <w:tcW w:w="7370" w:type="dxa"/>
            <w:tcBorders>
              <w:right w:val="single" w:sz="4" w:space="0" w:color="000000"/>
            </w:tcBorders>
            <w:tcMar>
              <w:left w:w="284" w:type="dxa"/>
              <w:right w:w="284" w:type="dxa"/>
            </w:tcMar>
          </w:tcPr>
          <w:p w14:paraId="3C877A7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Metoda przedstawiona poniżej powinna być stosowana wyłącznie dla celów AKK dla projektów zamiejskich. Zastosowanie pełnej szczegółowej metody prognozowania wskaźników BRD (przygotowanej na zlecenie GDDKiA) jest również możliwe.</w:t>
            </w:r>
          </w:p>
          <w:p w14:paraId="3471679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metodzie tej głównymi miarami BRD są miary wielkości strat społecznych:</w:t>
            </w:r>
          </w:p>
          <w:p w14:paraId="7DA0EA11"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wypadków (</w:t>
            </w:r>
            <w:r>
              <w:rPr>
                <w:rFonts w:ascii="Calibri" w:eastAsia="Calibri" w:hAnsi="Calibri" w:cs="Calibri"/>
                <w:b/>
                <w:color w:val="000000"/>
                <w:sz w:val="20"/>
                <w:szCs w:val="20"/>
              </w:rPr>
              <w:t>LW</w:t>
            </w:r>
            <w:r>
              <w:rPr>
                <w:rFonts w:ascii="Calibri" w:eastAsia="Calibri" w:hAnsi="Calibri" w:cs="Calibri"/>
                <w:color w:val="000000"/>
                <w:sz w:val="20"/>
                <w:szCs w:val="20"/>
              </w:rPr>
              <w:t>),</w:t>
            </w:r>
          </w:p>
          <w:p w14:paraId="21408DEE"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rannych (</w:t>
            </w:r>
            <w:r>
              <w:rPr>
                <w:rFonts w:ascii="Calibri" w:eastAsia="Calibri" w:hAnsi="Calibri" w:cs="Calibri"/>
                <w:b/>
                <w:color w:val="000000"/>
                <w:sz w:val="20"/>
                <w:szCs w:val="20"/>
              </w:rPr>
              <w:t>LR</w:t>
            </w:r>
            <w:r>
              <w:rPr>
                <w:rFonts w:ascii="Calibri" w:eastAsia="Calibri" w:hAnsi="Calibri" w:cs="Calibri"/>
                <w:color w:val="000000"/>
                <w:sz w:val="20"/>
                <w:szCs w:val="20"/>
              </w:rPr>
              <w:t>),</w:t>
            </w:r>
          </w:p>
          <w:p w14:paraId="4491B1C3"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ciężko rannych (</w:t>
            </w:r>
            <w:r>
              <w:rPr>
                <w:rFonts w:ascii="Calibri" w:eastAsia="Calibri" w:hAnsi="Calibri" w:cs="Calibri"/>
                <w:b/>
                <w:color w:val="000000"/>
                <w:sz w:val="20"/>
                <w:szCs w:val="20"/>
              </w:rPr>
              <w:t>LCR</w:t>
            </w:r>
            <w:r>
              <w:rPr>
                <w:rFonts w:ascii="Calibri" w:eastAsia="Calibri" w:hAnsi="Calibri" w:cs="Calibri"/>
                <w:color w:val="000000"/>
                <w:sz w:val="20"/>
                <w:szCs w:val="20"/>
              </w:rPr>
              <w:t xml:space="preserve">), </w:t>
            </w:r>
          </w:p>
          <w:p w14:paraId="245D5890"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ofiar śmiertelnych (</w:t>
            </w:r>
            <w:r>
              <w:rPr>
                <w:rFonts w:ascii="Calibri" w:eastAsia="Calibri" w:hAnsi="Calibri" w:cs="Calibri"/>
                <w:b/>
                <w:color w:val="000000"/>
                <w:sz w:val="20"/>
                <w:szCs w:val="20"/>
              </w:rPr>
              <w:t>LZ</w:t>
            </w:r>
            <w:r>
              <w:rPr>
                <w:rFonts w:ascii="Calibri" w:eastAsia="Calibri" w:hAnsi="Calibri" w:cs="Calibri"/>
                <w:color w:val="000000"/>
                <w:sz w:val="20"/>
                <w:szCs w:val="20"/>
              </w:rPr>
              <w:t>).</w:t>
            </w:r>
          </w:p>
          <w:p w14:paraId="2C1B542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Podstawą obliczenia aktualnej oraz prognozowanej liczby wypadków, zabitych oraz rannych w wypadkach drogowych w danym roku, zarówno dla wariantu inwestycyjnego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jak i bezinwestycyjnego W0 jest określenie tzw. pomocniczych miar ryzyka społecznego:</w:t>
            </w:r>
          </w:p>
          <w:p w14:paraId="2F78D6E1"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wypadków (</w:t>
            </w:r>
            <w:r>
              <w:rPr>
                <w:rFonts w:ascii="Calibri" w:eastAsia="Calibri" w:hAnsi="Calibri" w:cs="Calibri"/>
                <w:b/>
                <w:color w:val="000000"/>
                <w:sz w:val="20"/>
                <w:szCs w:val="20"/>
              </w:rPr>
              <w:t>GW</w:t>
            </w:r>
            <w:r>
              <w:rPr>
                <w:rFonts w:ascii="Calibri" w:eastAsia="Calibri" w:hAnsi="Calibri" w:cs="Calibri"/>
                <w:color w:val="000000"/>
                <w:sz w:val="20"/>
                <w:szCs w:val="20"/>
              </w:rPr>
              <w:t>),</w:t>
            </w:r>
          </w:p>
          <w:p w14:paraId="49D846BC"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ofiar rannych (</w:t>
            </w:r>
            <w:r>
              <w:rPr>
                <w:rFonts w:ascii="Calibri" w:eastAsia="Calibri" w:hAnsi="Calibri" w:cs="Calibri"/>
                <w:b/>
                <w:color w:val="000000"/>
                <w:sz w:val="20"/>
                <w:szCs w:val="20"/>
              </w:rPr>
              <w:t>GR</w:t>
            </w:r>
            <w:r>
              <w:rPr>
                <w:rFonts w:ascii="Calibri" w:eastAsia="Calibri" w:hAnsi="Calibri" w:cs="Calibri"/>
                <w:color w:val="000000"/>
                <w:sz w:val="20"/>
                <w:szCs w:val="20"/>
              </w:rPr>
              <w:t>),</w:t>
            </w:r>
          </w:p>
          <w:p w14:paraId="091E81B4"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ofiar ciężko rannych (</w:t>
            </w:r>
            <w:r>
              <w:rPr>
                <w:rFonts w:ascii="Calibri" w:eastAsia="Calibri" w:hAnsi="Calibri" w:cs="Calibri"/>
                <w:b/>
                <w:color w:val="000000"/>
                <w:sz w:val="20"/>
                <w:szCs w:val="20"/>
              </w:rPr>
              <w:t>GCR</w:t>
            </w:r>
            <w:r>
              <w:rPr>
                <w:rFonts w:ascii="Calibri" w:eastAsia="Calibri" w:hAnsi="Calibri" w:cs="Calibri"/>
                <w:color w:val="000000"/>
                <w:sz w:val="20"/>
                <w:szCs w:val="20"/>
              </w:rPr>
              <w:t>),</w:t>
            </w:r>
          </w:p>
          <w:p w14:paraId="72627CFA"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ofiar śmiertelnych (</w:t>
            </w:r>
            <w:r>
              <w:rPr>
                <w:rFonts w:ascii="Calibri" w:eastAsia="Calibri" w:hAnsi="Calibri" w:cs="Calibri"/>
                <w:b/>
                <w:color w:val="000000"/>
                <w:sz w:val="20"/>
                <w:szCs w:val="20"/>
              </w:rPr>
              <w:t>GZ</w:t>
            </w:r>
            <w:r>
              <w:rPr>
                <w:rFonts w:ascii="Calibri" w:eastAsia="Calibri" w:hAnsi="Calibri" w:cs="Calibri"/>
                <w:color w:val="000000"/>
                <w:sz w:val="20"/>
                <w:szCs w:val="20"/>
              </w:rPr>
              <w:t>).</w:t>
            </w:r>
          </w:p>
          <w:p w14:paraId="4761719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Wartości te określamy przy pomocy poniższych tabel (od tabeli 9 do tabeli 20), opracowanych na podstawie metody wskaźników BRD przy pomocy następujących danych wejściowych:</w:t>
            </w:r>
          </w:p>
          <w:p w14:paraId="004E8D23"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rodzaj inwestycji (ciąg drogowy, obwodnica),</w:t>
            </w:r>
          </w:p>
          <w:p w14:paraId="608939CD"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liczba jezdni (dwujezdniowe, jednojezdniowe),</w:t>
            </w:r>
          </w:p>
          <w:p w14:paraId="0B7B4F42"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klasa drogi (opracowanie rozróżnia następujące klasy: A, S(i S2+1), GP, G),</w:t>
            </w:r>
          </w:p>
          <w:p w14:paraId="149C5A6A"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prognoza ruchu, średnioroczny Średni Dobowy Ruch (SDR),</w:t>
            </w:r>
          </w:p>
          <w:p w14:paraId="4D455A44"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lokalizacja (województwo), dotyczy ciągów jednojezdniowych,</w:t>
            </w:r>
          </w:p>
          <w:p w14:paraId="78A4C0A9" w14:textId="069D51E1"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obszar zabudowany (</w:t>
            </w:r>
            <w:r w:rsidR="00EB716F">
              <w:rPr>
                <w:rFonts w:ascii="Calibri" w:eastAsia="Calibri" w:hAnsi="Calibri" w:cs="Calibri"/>
                <w:b/>
                <w:color w:val="000000"/>
                <w:sz w:val="20"/>
                <w:szCs w:val="20"/>
              </w:rPr>
              <w:t>z</w:t>
            </w:r>
            <w:r>
              <w:rPr>
                <w:rFonts w:ascii="Calibri" w:eastAsia="Calibri" w:hAnsi="Calibri" w:cs="Calibri"/>
                <w:color w:val="000000"/>
                <w:sz w:val="20"/>
                <w:szCs w:val="20"/>
              </w:rPr>
              <w:t>) / obszar niezabudowany (</w:t>
            </w:r>
            <w:r w:rsidR="00EB716F">
              <w:rPr>
                <w:rFonts w:ascii="Calibri" w:eastAsia="Calibri" w:hAnsi="Calibri" w:cs="Calibri"/>
                <w:b/>
                <w:color w:val="000000"/>
                <w:sz w:val="20"/>
                <w:szCs w:val="20"/>
              </w:rPr>
              <w:t>n</w:t>
            </w:r>
            <w:r>
              <w:rPr>
                <w:rFonts w:ascii="Calibri" w:eastAsia="Calibri" w:hAnsi="Calibri" w:cs="Calibri"/>
                <w:color w:val="000000"/>
                <w:sz w:val="20"/>
                <w:szCs w:val="20"/>
              </w:rPr>
              <w:t>)</w:t>
            </w:r>
            <w:r w:rsidR="003E14E4">
              <w:rPr>
                <w:rStyle w:val="Odwoanieprzypisudolnego"/>
                <w:rFonts w:ascii="Calibri" w:eastAsia="Calibri" w:hAnsi="Calibri" w:cs="Calibri"/>
                <w:color w:val="000000"/>
                <w:sz w:val="20"/>
                <w:szCs w:val="20"/>
              </w:rPr>
              <w:footnoteReference w:id="29"/>
            </w:r>
            <w:r>
              <w:rPr>
                <w:rFonts w:ascii="Calibri" w:eastAsia="Calibri" w:hAnsi="Calibri" w:cs="Calibri"/>
                <w:color w:val="000000"/>
                <w:sz w:val="20"/>
                <w:szCs w:val="20"/>
              </w:rPr>
              <w:t>.</w:t>
            </w:r>
            <w:r>
              <w:rPr>
                <w:rFonts w:ascii="Calibri" w:eastAsia="Calibri" w:hAnsi="Calibri" w:cs="Calibri"/>
                <w:color w:val="000000"/>
                <w:sz w:val="20"/>
                <w:szCs w:val="20"/>
                <w:vertAlign w:val="superscript"/>
              </w:rPr>
              <w:t xml:space="preserve"> </w:t>
            </w:r>
          </w:p>
          <w:p w14:paraId="63800B0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Liczbę wypadków </w:t>
            </w:r>
            <w:proofErr w:type="spellStart"/>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wt</w:t>
            </w:r>
            <w:proofErr w:type="spellEnd"/>
            <w:r>
              <w:rPr>
                <w:rFonts w:ascii="Calibri" w:eastAsia="Calibri" w:hAnsi="Calibri" w:cs="Calibri"/>
                <w:color w:val="000000"/>
                <w:sz w:val="20"/>
                <w:szCs w:val="20"/>
              </w:rPr>
              <w:t xml:space="preserve"> w danym roku t na odcinku o długości L wyliczamy za pomocą wzoru:</w:t>
            </w:r>
          </w:p>
          <w:p w14:paraId="5F66B550" w14:textId="77777777" w:rsidR="003E14E4" w:rsidRPr="00731E4E" w:rsidRDefault="003E14E4" w:rsidP="003E14E4">
            <w:pPr>
              <w:pStyle w:val="anxnormal"/>
              <w:spacing w:after="120"/>
              <w:ind w:left="0"/>
              <w:rPr>
                <w:rFonts w:asciiTheme="minorHAnsi" w:hAnsiTheme="minorHAnsi"/>
                <w:b/>
              </w:rPr>
            </w:pPr>
            <w:proofErr w:type="spellStart"/>
            <w:r w:rsidRPr="00731E4E">
              <w:rPr>
                <w:rFonts w:asciiTheme="minorHAnsi" w:hAnsiTheme="minorHAnsi"/>
                <w:b/>
              </w:rPr>
              <w:t>a</w:t>
            </w:r>
            <w:r w:rsidRPr="00731E4E">
              <w:rPr>
                <w:rFonts w:asciiTheme="minorHAnsi" w:hAnsiTheme="minorHAnsi"/>
                <w:b/>
                <w:vertAlign w:val="subscript"/>
              </w:rPr>
              <w:t>wt</w:t>
            </w:r>
            <w:proofErr w:type="spellEnd"/>
            <w:r w:rsidRPr="00731E4E">
              <w:rPr>
                <w:rFonts w:asciiTheme="minorHAnsi" w:hAnsiTheme="minorHAnsi"/>
                <w:b/>
              </w:rPr>
              <w:t xml:space="preserve"> = GW</w:t>
            </w:r>
            <w:r w:rsidRPr="00731E4E">
              <w:rPr>
                <w:rFonts w:asciiTheme="minorHAnsi" w:hAnsiTheme="minorHAnsi"/>
                <w:b/>
              </w:rPr>
              <w:sym w:font="Symbol" w:char="F0D7"/>
            </w:r>
            <w:r w:rsidRPr="00731E4E">
              <w:rPr>
                <w:rFonts w:asciiTheme="minorHAnsi" w:hAnsiTheme="minorHAnsi"/>
                <w:b/>
              </w:rPr>
              <w:t>L</w:t>
            </w:r>
            <w:r w:rsidRPr="00731E4E">
              <w:rPr>
                <w:rFonts w:asciiTheme="minorHAnsi" w:hAnsiTheme="minorHAnsi"/>
                <w:b/>
              </w:rPr>
              <w:sym w:font="Symbol" w:char="F0D7"/>
            </w:r>
            <w:proofErr w:type="spellStart"/>
            <w:r w:rsidRPr="00731E4E">
              <w:rPr>
                <w:rFonts w:asciiTheme="minorHAnsi" w:hAnsiTheme="minorHAnsi"/>
                <w:b/>
                <w:i/>
              </w:rPr>
              <w:t>f</w:t>
            </w:r>
            <w:r w:rsidRPr="00731E4E">
              <w:rPr>
                <w:rFonts w:asciiTheme="minorHAnsi" w:hAnsiTheme="minorHAnsi"/>
                <w:b/>
                <w:i/>
                <w:vertAlign w:val="subscript"/>
              </w:rPr>
              <w:t>HP</w:t>
            </w:r>
            <w:proofErr w:type="spellEnd"/>
          </w:p>
          <w:p w14:paraId="04AA9D57"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GW – gęstość wypadków [wypadki/ km/rok], L—długość odcinka w km, </w:t>
            </w:r>
            <w:proofErr w:type="spellStart"/>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proofErr w:type="spellEnd"/>
            <w:r>
              <w:rPr>
                <w:rFonts w:ascii="Calibri" w:eastAsia="Calibri" w:hAnsi="Calibri" w:cs="Calibri"/>
                <w:color w:val="000000"/>
                <w:sz w:val="20"/>
                <w:szCs w:val="20"/>
              </w:rPr>
              <w:t xml:space="preserve">  -współczynnik wpływu horyzontu prognozy.</w:t>
            </w:r>
          </w:p>
          <w:p w14:paraId="2062D85E" w14:textId="688259C1"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Liczba wypadków </w:t>
            </w:r>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wt</w:t>
            </w:r>
            <w:proofErr w:type="spellEnd"/>
            <w:r>
              <w:rPr>
                <w:rFonts w:ascii="Calibri" w:eastAsia="Calibri" w:hAnsi="Calibri" w:cs="Calibri"/>
                <w:color w:val="000000"/>
                <w:sz w:val="20"/>
                <w:szCs w:val="20"/>
              </w:rPr>
              <w:t xml:space="preserve"> dotyczy również wypadków ze stratami materialnymi (</w:t>
            </w:r>
            <w:proofErr w:type="spellStart"/>
            <w:r>
              <w:rPr>
                <w:rFonts w:ascii="Calibri" w:eastAsia="Calibri" w:hAnsi="Calibri" w:cs="Calibri"/>
                <w:color w:val="000000"/>
                <w:sz w:val="20"/>
                <w:szCs w:val="20"/>
              </w:rPr>
              <w:t>a</w:t>
            </w:r>
            <w:r>
              <w:rPr>
                <w:rFonts w:ascii="Calibri" w:eastAsia="Calibri" w:hAnsi="Calibri" w:cs="Calibri"/>
                <w:color w:val="000000"/>
                <w:sz w:val="20"/>
                <w:szCs w:val="20"/>
                <w:vertAlign w:val="subscript"/>
              </w:rPr>
              <w:t>mt</w:t>
            </w:r>
            <w:proofErr w:type="spellEnd"/>
            <w:r>
              <w:rPr>
                <w:rFonts w:ascii="Calibri" w:eastAsia="Calibri" w:hAnsi="Calibri" w:cs="Calibri"/>
                <w:color w:val="000000"/>
                <w:sz w:val="20"/>
                <w:szCs w:val="20"/>
                <w:vertAlign w:val="subscript"/>
              </w:rPr>
              <w:t xml:space="preserve">  </w:t>
            </w:r>
            <w:r w:rsidR="00EB716F" w:rsidRPr="00EB716F">
              <w:rPr>
                <w:rFonts w:asciiTheme="minorHAnsi" w:hAnsiTheme="minorHAnsi"/>
                <w:sz w:val="20"/>
                <w:szCs w:val="20"/>
              </w:rPr>
              <w:t>we wzorze przedstawionym w Tabeli </w:t>
            </w:r>
            <w:r w:rsidR="00EB716F">
              <w:rPr>
                <w:rFonts w:asciiTheme="minorHAnsi" w:hAnsiTheme="minorHAnsi"/>
                <w:sz w:val="20"/>
                <w:szCs w:val="20"/>
              </w:rPr>
              <w:t>19</w:t>
            </w:r>
            <w:r w:rsidR="00EB716F" w:rsidRPr="00EB716F">
              <w:rPr>
                <w:rFonts w:asciiTheme="minorHAnsi" w:hAnsiTheme="minorHAnsi"/>
                <w:sz w:val="20"/>
                <w:szCs w:val="20"/>
              </w:rPr>
              <w:t xml:space="preserve"> dokumentu głównego</w:t>
            </w:r>
            <w:r w:rsidR="003E14E4">
              <w:rPr>
                <w:rFonts w:asciiTheme="minorHAnsi" w:hAnsiTheme="minorHAnsi"/>
                <w:sz w:val="20"/>
                <w:szCs w:val="20"/>
              </w:rPr>
              <w:t>)</w:t>
            </w:r>
            <w:r w:rsidR="00EB716F">
              <w:rPr>
                <w:rFonts w:asciiTheme="minorHAnsi" w:hAnsiTheme="minorHAnsi"/>
                <w:sz w:val="20"/>
                <w:szCs w:val="20"/>
              </w:rPr>
              <w:t>.</w:t>
            </w:r>
          </w:p>
          <w:p w14:paraId="0B1345C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Liczbę rannych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rt</w:t>
            </w:r>
            <w:r>
              <w:rPr>
                <w:rFonts w:ascii="Calibri" w:eastAsia="Calibri" w:hAnsi="Calibri" w:cs="Calibri"/>
                <w:color w:val="000000"/>
                <w:sz w:val="20"/>
                <w:szCs w:val="20"/>
              </w:rPr>
              <w:t xml:space="preserve"> w danym roku t na odcinku o długości L wyliczamy za pomocą wzoru:</w:t>
            </w:r>
          </w:p>
          <w:p w14:paraId="4655A8E2" w14:textId="77777777" w:rsidR="003E14E4" w:rsidRPr="00731E4E" w:rsidRDefault="003E14E4" w:rsidP="003E14E4">
            <w:pPr>
              <w:pStyle w:val="anxnormal"/>
              <w:spacing w:after="120"/>
              <w:ind w:left="0"/>
              <w:rPr>
                <w:rFonts w:asciiTheme="minorHAnsi" w:hAnsiTheme="minorHAnsi"/>
                <w:b/>
              </w:rPr>
            </w:pPr>
            <w:r w:rsidRPr="00731E4E">
              <w:rPr>
                <w:rFonts w:asciiTheme="minorHAnsi" w:hAnsiTheme="minorHAnsi"/>
                <w:b/>
              </w:rPr>
              <w:t>a</w:t>
            </w:r>
            <w:r w:rsidRPr="00731E4E">
              <w:rPr>
                <w:rFonts w:asciiTheme="minorHAnsi" w:hAnsiTheme="minorHAnsi"/>
                <w:b/>
                <w:vertAlign w:val="subscript"/>
              </w:rPr>
              <w:t>rt</w:t>
            </w:r>
            <w:r w:rsidRPr="00731E4E">
              <w:rPr>
                <w:rFonts w:asciiTheme="minorHAnsi" w:hAnsiTheme="minorHAnsi"/>
                <w:b/>
              </w:rPr>
              <w:t xml:space="preserve"> =GR</w:t>
            </w:r>
            <w:r w:rsidRPr="00731E4E">
              <w:rPr>
                <w:rFonts w:asciiTheme="minorHAnsi" w:hAnsiTheme="minorHAnsi"/>
                <w:b/>
              </w:rPr>
              <w:sym w:font="Symbol" w:char="F0D7"/>
            </w:r>
            <w:r w:rsidRPr="00731E4E">
              <w:rPr>
                <w:rFonts w:asciiTheme="minorHAnsi" w:hAnsiTheme="minorHAnsi"/>
                <w:b/>
              </w:rPr>
              <w:t>L</w:t>
            </w:r>
            <w:r w:rsidRPr="00731E4E">
              <w:rPr>
                <w:rFonts w:asciiTheme="minorHAnsi" w:hAnsiTheme="minorHAnsi"/>
                <w:b/>
              </w:rPr>
              <w:sym w:font="Symbol" w:char="F0D7"/>
            </w:r>
            <w:proofErr w:type="spellStart"/>
            <w:r w:rsidRPr="00731E4E">
              <w:rPr>
                <w:rFonts w:asciiTheme="minorHAnsi" w:hAnsiTheme="minorHAnsi"/>
                <w:b/>
                <w:i/>
              </w:rPr>
              <w:t>f</w:t>
            </w:r>
            <w:r w:rsidRPr="00731E4E">
              <w:rPr>
                <w:rFonts w:asciiTheme="minorHAnsi" w:hAnsiTheme="minorHAnsi"/>
                <w:b/>
                <w:i/>
                <w:vertAlign w:val="subscript"/>
              </w:rPr>
              <w:t>HP</w:t>
            </w:r>
            <w:proofErr w:type="spellEnd"/>
            <w:r w:rsidRPr="00731E4E">
              <w:rPr>
                <w:rFonts w:asciiTheme="minorHAnsi" w:hAnsiTheme="minorHAnsi"/>
                <w:b/>
                <w:i/>
                <w:vertAlign w:val="subscript"/>
              </w:rPr>
              <w:t xml:space="preserve"> </w:t>
            </w:r>
          </w:p>
          <w:p w14:paraId="06E6F37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L—długość w km; GR – gęstość rannych [osób/ km/rok], </w:t>
            </w:r>
            <w:proofErr w:type="spellStart"/>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proofErr w:type="spellEnd"/>
            <w:r>
              <w:rPr>
                <w:rFonts w:ascii="Calibri" w:eastAsia="Calibri" w:hAnsi="Calibri" w:cs="Calibri"/>
                <w:color w:val="000000"/>
                <w:sz w:val="20"/>
                <w:szCs w:val="20"/>
              </w:rPr>
              <w:t xml:space="preserve"> – współczynnik wpływu horyzontu prognozy.</w:t>
            </w:r>
          </w:p>
          <w:p w14:paraId="6517BEE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Liczbę zabitych </w:t>
            </w:r>
            <w:proofErr w:type="spellStart"/>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zt</w:t>
            </w:r>
            <w:proofErr w:type="spellEnd"/>
            <w:r>
              <w:rPr>
                <w:rFonts w:ascii="Calibri" w:eastAsia="Calibri" w:hAnsi="Calibri" w:cs="Calibri"/>
                <w:color w:val="000000"/>
                <w:sz w:val="20"/>
                <w:szCs w:val="20"/>
              </w:rPr>
              <w:t xml:space="preserve"> w danym roku t na odcinku o długości L wyliczamy za pomocą wzoru:</w:t>
            </w:r>
          </w:p>
          <w:p w14:paraId="00132AFD" w14:textId="77777777" w:rsidR="003E14E4" w:rsidRPr="00731E4E" w:rsidRDefault="003E14E4" w:rsidP="003E14E4">
            <w:pPr>
              <w:pStyle w:val="anxnormal"/>
              <w:spacing w:after="120"/>
              <w:ind w:left="0"/>
              <w:rPr>
                <w:rFonts w:asciiTheme="minorHAnsi" w:hAnsiTheme="minorHAnsi"/>
                <w:b/>
                <w:i/>
                <w:vertAlign w:val="subscript"/>
              </w:rPr>
            </w:pPr>
            <w:proofErr w:type="spellStart"/>
            <w:r w:rsidRPr="00731E4E">
              <w:rPr>
                <w:rFonts w:asciiTheme="minorHAnsi" w:hAnsiTheme="minorHAnsi"/>
                <w:b/>
              </w:rPr>
              <w:t>a</w:t>
            </w:r>
            <w:r w:rsidRPr="00731E4E">
              <w:rPr>
                <w:rFonts w:asciiTheme="minorHAnsi" w:hAnsiTheme="minorHAnsi"/>
                <w:b/>
                <w:vertAlign w:val="subscript"/>
              </w:rPr>
              <w:t>zt</w:t>
            </w:r>
            <w:proofErr w:type="spellEnd"/>
            <w:r w:rsidRPr="00731E4E">
              <w:rPr>
                <w:rFonts w:asciiTheme="minorHAnsi" w:hAnsiTheme="minorHAnsi"/>
                <w:b/>
              </w:rPr>
              <w:t xml:space="preserve"> = GZ L</w:t>
            </w:r>
            <w:r w:rsidRPr="00731E4E">
              <w:rPr>
                <w:rFonts w:asciiTheme="minorHAnsi" w:hAnsiTheme="minorHAnsi"/>
                <w:b/>
              </w:rPr>
              <w:sym w:font="Symbol" w:char="F0D7"/>
            </w:r>
            <w:proofErr w:type="spellStart"/>
            <w:r w:rsidRPr="00731E4E">
              <w:rPr>
                <w:rFonts w:asciiTheme="minorHAnsi" w:hAnsiTheme="minorHAnsi"/>
                <w:b/>
                <w:i/>
              </w:rPr>
              <w:t>f</w:t>
            </w:r>
            <w:r w:rsidRPr="00731E4E">
              <w:rPr>
                <w:rFonts w:asciiTheme="minorHAnsi" w:hAnsiTheme="minorHAnsi"/>
                <w:b/>
                <w:i/>
                <w:vertAlign w:val="subscript"/>
              </w:rPr>
              <w:t>HP</w:t>
            </w:r>
            <w:proofErr w:type="spellEnd"/>
            <w:r w:rsidRPr="00731E4E">
              <w:rPr>
                <w:rFonts w:asciiTheme="minorHAnsi" w:hAnsiTheme="minorHAnsi"/>
                <w:b/>
                <w:i/>
                <w:vertAlign w:val="subscript"/>
              </w:rPr>
              <w:t xml:space="preserve"> </w:t>
            </w:r>
          </w:p>
          <w:p w14:paraId="0B1995F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L—długość w km; GZ – gęstość zabitych [osób/ km/rok], </w:t>
            </w:r>
            <w:proofErr w:type="spellStart"/>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proofErr w:type="spellEnd"/>
            <w:r>
              <w:rPr>
                <w:rFonts w:ascii="Calibri" w:eastAsia="Calibri" w:hAnsi="Calibri" w:cs="Calibri"/>
                <w:color w:val="000000"/>
                <w:sz w:val="20"/>
                <w:szCs w:val="20"/>
              </w:rPr>
              <w:t xml:space="preserve"> – współczynnik wpływu horyzontu prognozy.</w:t>
            </w:r>
          </w:p>
          <w:p w14:paraId="6F9BB95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Liczbę ciężko rannych </w:t>
            </w:r>
            <w:proofErr w:type="spellStart"/>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crt</w:t>
            </w:r>
            <w:proofErr w:type="spellEnd"/>
            <w:r>
              <w:rPr>
                <w:rFonts w:ascii="Calibri" w:eastAsia="Calibri" w:hAnsi="Calibri" w:cs="Calibri"/>
                <w:color w:val="000000"/>
                <w:sz w:val="20"/>
                <w:szCs w:val="20"/>
              </w:rPr>
              <w:t xml:space="preserve"> w danym roku t na odcinku o długości L wyliczamy za pomocą wzoru:</w:t>
            </w:r>
          </w:p>
          <w:p w14:paraId="11EB8B2E" w14:textId="77777777" w:rsidR="003E14E4" w:rsidRPr="003E14E4" w:rsidRDefault="003E14E4" w:rsidP="003E14E4">
            <w:pPr>
              <w:pStyle w:val="anxnormal"/>
              <w:spacing w:after="120"/>
              <w:ind w:left="0"/>
              <w:rPr>
                <w:rFonts w:asciiTheme="minorHAnsi" w:hAnsiTheme="minorHAnsi"/>
                <w:b/>
                <w:i/>
                <w:vertAlign w:val="subscript"/>
              </w:rPr>
            </w:pPr>
            <w:proofErr w:type="spellStart"/>
            <w:r w:rsidRPr="003E14E4">
              <w:rPr>
                <w:rFonts w:asciiTheme="minorHAnsi" w:hAnsiTheme="minorHAnsi"/>
                <w:b/>
              </w:rPr>
              <w:t>a</w:t>
            </w:r>
            <w:r w:rsidRPr="003E14E4">
              <w:rPr>
                <w:rFonts w:asciiTheme="minorHAnsi" w:hAnsiTheme="minorHAnsi"/>
                <w:b/>
                <w:vertAlign w:val="subscript"/>
              </w:rPr>
              <w:t>crt</w:t>
            </w:r>
            <w:proofErr w:type="spellEnd"/>
            <w:r w:rsidRPr="003E14E4">
              <w:rPr>
                <w:rFonts w:asciiTheme="minorHAnsi" w:hAnsiTheme="minorHAnsi"/>
                <w:b/>
              </w:rPr>
              <w:t xml:space="preserve"> =GCR</w:t>
            </w:r>
            <w:r w:rsidRPr="00731E4E">
              <w:rPr>
                <w:rFonts w:asciiTheme="minorHAnsi" w:hAnsiTheme="minorHAnsi"/>
                <w:b/>
                <w:lang w:val="en-GB"/>
              </w:rPr>
              <w:sym w:font="Symbol" w:char="F0D7"/>
            </w:r>
            <w:r w:rsidRPr="003E14E4">
              <w:rPr>
                <w:rFonts w:asciiTheme="minorHAnsi" w:hAnsiTheme="minorHAnsi"/>
                <w:b/>
              </w:rPr>
              <w:t>L</w:t>
            </w:r>
            <w:r w:rsidRPr="00731E4E">
              <w:rPr>
                <w:rFonts w:asciiTheme="minorHAnsi" w:hAnsiTheme="minorHAnsi"/>
                <w:b/>
                <w:lang w:val="en-GB"/>
              </w:rPr>
              <w:sym w:font="Symbol" w:char="F0D7"/>
            </w:r>
            <w:proofErr w:type="spellStart"/>
            <w:r w:rsidRPr="003E14E4">
              <w:rPr>
                <w:rFonts w:asciiTheme="minorHAnsi" w:hAnsiTheme="minorHAnsi"/>
                <w:b/>
                <w:i/>
              </w:rPr>
              <w:t>f</w:t>
            </w:r>
            <w:r w:rsidRPr="003E14E4">
              <w:rPr>
                <w:rFonts w:asciiTheme="minorHAnsi" w:hAnsiTheme="minorHAnsi"/>
                <w:b/>
                <w:i/>
                <w:vertAlign w:val="subscript"/>
              </w:rPr>
              <w:t>HP</w:t>
            </w:r>
            <w:proofErr w:type="spellEnd"/>
            <w:r w:rsidRPr="003E14E4">
              <w:rPr>
                <w:rFonts w:asciiTheme="minorHAnsi" w:hAnsiTheme="minorHAnsi"/>
                <w:b/>
                <w:i/>
                <w:vertAlign w:val="subscript"/>
              </w:rPr>
              <w:t xml:space="preserve"> </w:t>
            </w:r>
          </w:p>
          <w:p w14:paraId="111B690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L—długość w km; GCR – gęstość ciężko rannych [ osób/ km/rok], </w:t>
            </w:r>
            <w:proofErr w:type="spellStart"/>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proofErr w:type="spellEnd"/>
            <w:r>
              <w:rPr>
                <w:rFonts w:ascii="Calibri" w:eastAsia="Calibri" w:hAnsi="Calibri" w:cs="Calibri"/>
                <w:color w:val="000000"/>
                <w:sz w:val="20"/>
                <w:szCs w:val="20"/>
              </w:rPr>
              <w:t xml:space="preserve"> – współczynnik wpływu horyzontu prognozy.</w:t>
            </w:r>
          </w:p>
          <w:p w14:paraId="63982DD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Liczbę lekko rannych (</w:t>
            </w:r>
            <w:proofErr w:type="spellStart"/>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lrt</w:t>
            </w:r>
            <w:proofErr w:type="spellEnd"/>
            <w:r>
              <w:rPr>
                <w:rFonts w:ascii="Calibri" w:eastAsia="Calibri" w:hAnsi="Calibri" w:cs="Calibri"/>
                <w:color w:val="000000"/>
                <w:sz w:val="20"/>
                <w:szCs w:val="20"/>
              </w:rPr>
              <w:t xml:space="preserve">), należy wyliczyć jako różnicę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rt</w:t>
            </w:r>
            <w:r>
              <w:rPr>
                <w:rFonts w:ascii="Calibri" w:eastAsia="Calibri" w:hAnsi="Calibri" w:cs="Calibri"/>
                <w:color w:val="000000"/>
                <w:sz w:val="20"/>
                <w:szCs w:val="20"/>
              </w:rPr>
              <w:t>-</w:t>
            </w:r>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crt</w:t>
            </w:r>
            <w:proofErr w:type="spellEnd"/>
            <w:r>
              <w:rPr>
                <w:rFonts w:ascii="Calibri" w:eastAsia="Calibri" w:hAnsi="Calibri" w:cs="Calibri"/>
                <w:b/>
                <w:color w:val="000000"/>
                <w:sz w:val="20"/>
                <w:szCs w:val="20"/>
                <w:vertAlign w:val="subscript"/>
              </w:rPr>
              <w:t>.</w:t>
            </w:r>
          </w:p>
          <w:p w14:paraId="60229EB0"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color w:val="000000"/>
                <w:sz w:val="20"/>
                <w:szCs w:val="20"/>
              </w:rPr>
              <w:t>Wartości zestawione w tabelach (od tabeli 10 do tabeli 20) dotyczą roku 2010. Dla roku bazowego oraz celów prognostycznych należy odpowiednio uwzględnić wartości współczynnika wpływu horyzontu prognozy (tabela 9) zawartego w powyższych wzorach.</w:t>
            </w:r>
            <w:r>
              <w:rPr>
                <w:rFonts w:ascii="Calibri" w:eastAsia="Calibri" w:hAnsi="Calibri" w:cs="Calibri"/>
                <w:b/>
                <w:i/>
                <w:color w:val="000000"/>
                <w:sz w:val="20"/>
                <w:szCs w:val="20"/>
              </w:rPr>
              <w:t xml:space="preserve"> </w:t>
            </w:r>
            <w:r>
              <w:rPr>
                <w:rFonts w:ascii="Calibri" w:eastAsia="Calibri" w:hAnsi="Calibri" w:cs="Calibri"/>
                <w:color w:val="000000"/>
                <w:sz w:val="20"/>
                <w:szCs w:val="20"/>
              </w:rPr>
              <w:t xml:space="preserve">Współczynnik ten uwzględnia zmiany w rozwoju </w:t>
            </w:r>
            <w:proofErr w:type="spellStart"/>
            <w:r>
              <w:rPr>
                <w:rFonts w:ascii="Calibri" w:eastAsia="Calibri" w:hAnsi="Calibri" w:cs="Calibri"/>
                <w:color w:val="000000"/>
                <w:sz w:val="20"/>
                <w:szCs w:val="20"/>
              </w:rPr>
              <w:t>społeczno</w:t>
            </w:r>
            <w:proofErr w:type="spellEnd"/>
            <w:r>
              <w:rPr>
                <w:rFonts w:ascii="Calibri" w:eastAsia="Calibri" w:hAnsi="Calibri" w:cs="Calibri"/>
                <w:color w:val="000000"/>
                <w:sz w:val="20"/>
                <w:szCs w:val="20"/>
              </w:rPr>
              <w:t>—gospodarczym Polski oraz planowane działania podejmowane na rzecz poprawy bezpieczeństwa ruchu drogowego w przyszłości.</w:t>
            </w:r>
          </w:p>
          <w:p w14:paraId="2B2EB821" w14:textId="77777777" w:rsidR="00600DEE" w:rsidRDefault="00600DEE">
            <w:pPr>
              <w:pBdr>
                <w:top w:val="nil"/>
                <w:left w:val="nil"/>
                <w:bottom w:val="nil"/>
                <w:right w:val="nil"/>
                <w:between w:val="nil"/>
              </w:pBdr>
              <w:spacing w:after="120"/>
              <w:ind w:left="1134" w:hanging="1134"/>
              <w:jc w:val="both"/>
              <w:rPr>
                <w:rFonts w:ascii="Calibri" w:eastAsia="Calibri" w:hAnsi="Calibri" w:cs="Calibri"/>
                <w:b/>
                <w:color w:val="4F81BD"/>
                <w:sz w:val="20"/>
                <w:szCs w:val="20"/>
              </w:rPr>
            </w:pPr>
          </w:p>
          <w:p w14:paraId="3A5A9CEF" w14:textId="51DD5A5D"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9. Współczynnik wpływu horyzontu czasowego prognozy </w:t>
            </w:r>
            <w:proofErr w:type="spellStart"/>
            <w:r>
              <w:rPr>
                <w:rFonts w:ascii="Calibri" w:eastAsia="Calibri" w:hAnsi="Calibri" w:cs="Calibri"/>
                <w:b/>
                <w:color w:val="4F81BD"/>
                <w:sz w:val="20"/>
                <w:szCs w:val="20"/>
              </w:rPr>
              <w:t>f</w:t>
            </w:r>
            <w:r w:rsidR="003E14E4">
              <w:rPr>
                <w:rFonts w:ascii="Calibri" w:eastAsia="Calibri" w:hAnsi="Calibri" w:cs="Calibri"/>
                <w:b/>
                <w:color w:val="4F81BD"/>
                <w:sz w:val="20"/>
                <w:szCs w:val="20"/>
                <w:vertAlign w:val="subscript"/>
              </w:rPr>
              <w:t>HP</w:t>
            </w:r>
            <w:proofErr w:type="spellEnd"/>
            <w:r w:rsidR="003E14E4">
              <w:rPr>
                <w:rFonts w:ascii="Calibri" w:eastAsia="Calibri" w:hAnsi="Calibri" w:cs="Calibri"/>
                <w:b/>
                <w:color w:val="4F81BD"/>
                <w:sz w:val="20"/>
                <w:szCs w:val="20"/>
                <w:vertAlign w:val="subscript"/>
              </w:rPr>
              <w:br/>
            </w:r>
            <w:r>
              <w:rPr>
                <w:rFonts w:ascii="Calibri" w:eastAsia="Calibri" w:hAnsi="Calibri" w:cs="Calibri"/>
                <w:b/>
                <w:i/>
                <w:color w:val="4F81BD"/>
                <w:sz w:val="20"/>
                <w:szCs w:val="20"/>
              </w:rPr>
              <w:t>(ta sama tabela jak dla Metody I)</w:t>
            </w:r>
          </w:p>
          <w:tbl>
            <w:tblPr>
              <w:tblStyle w:val="affffffffffffffff6"/>
              <w:tblW w:w="6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33"/>
              <w:gridCol w:w="1275"/>
              <w:gridCol w:w="1794"/>
              <w:gridCol w:w="1293"/>
            </w:tblGrid>
            <w:tr w:rsidR="00600DEE" w14:paraId="1CED44E1" w14:textId="77777777" w:rsidTr="00AB1BC5">
              <w:trPr>
                <w:trHeight w:val="284"/>
              </w:trPr>
              <w:tc>
                <w:tcPr>
                  <w:tcW w:w="1933" w:type="dxa"/>
                  <w:shd w:val="clear" w:color="auto" w:fill="A6A6A6"/>
                  <w:vAlign w:val="center"/>
                </w:tcPr>
                <w:p w14:paraId="4143599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75" w:type="dxa"/>
                  <w:shd w:val="clear" w:color="auto" w:fill="A6A6A6"/>
                  <w:vAlign w:val="center"/>
                </w:tcPr>
                <w:p w14:paraId="4FD0A463"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roofErr w:type="spellEnd"/>
                </w:p>
              </w:tc>
              <w:tc>
                <w:tcPr>
                  <w:tcW w:w="1794" w:type="dxa"/>
                  <w:shd w:val="clear" w:color="auto" w:fill="A6A6A6"/>
                  <w:vAlign w:val="center"/>
                </w:tcPr>
                <w:p w14:paraId="123F3C1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93" w:type="dxa"/>
                  <w:shd w:val="clear" w:color="auto" w:fill="A6A6A6"/>
                  <w:vAlign w:val="center"/>
                </w:tcPr>
                <w:p w14:paraId="1EF0F4D5"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roofErr w:type="spellEnd"/>
                </w:p>
              </w:tc>
            </w:tr>
            <w:tr w:rsidR="00600DEE" w14:paraId="10BECA9D" w14:textId="77777777" w:rsidTr="00AB1BC5">
              <w:trPr>
                <w:trHeight w:val="284"/>
              </w:trPr>
              <w:tc>
                <w:tcPr>
                  <w:tcW w:w="1933" w:type="dxa"/>
                  <w:shd w:val="clear" w:color="auto" w:fill="DBE5F1"/>
                  <w:vAlign w:val="center"/>
                </w:tcPr>
                <w:p w14:paraId="557839B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2009 - 2010</w:t>
                  </w:r>
                </w:p>
              </w:tc>
              <w:tc>
                <w:tcPr>
                  <w:tcW w:w="1275" w:type="dxa"/>
                  <w:shd w:val="clear" w:color="auto" w:fill="DBE5F1"/>
                  <w:vAlign w:val="center"/>
                </w:tcPr>
                <w:p w14:paraId="004BE4E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1794" w:type="dxa"/>
                  <w:shd w:val="clear" w:color="auto" w:fill="DBE5F1"/>
                  <w:vAlign w:val="center"/>
                </w:tcPr>
                <w:p w14:paraId="7A9817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2030 - 2033</w:t>
                  </w:r>
                </w:p>
              </w:tc>
              <w:tc>
                <w:tcPr>
                  <w:tcW w:w="1293" w:type="dxa"/>
                  <w:shd w:val="clear" w:color="auto" w:fill="DBE5F1"/>
                  <w:vAlign w:val="center"/>
                </w:tcPr>
                <w:p w14:paraId="37C4B77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w:t>
                  </w:r>
                </w:p>
              </w:tc>
            </w:tr>
            <w:tr w:rsidR="00600DEE" w14:paraId="2200A12A" w14:textId="77777777" w:rsidTr="00AB1BC5">
              <w:trPr>
                <w:trHeight w:val="284"/>
              </w:trPr>
              <w:tc>
                <w:tcPr>
                  <w:tcW w:w="1933" w:type="dxa"/>
                  <w:shd w:val="clear" w:color="auto" w:fill="DBE5F1"/>
                  <w:vAlign w:val="center"/>
                </w:tcPr>
                <w:p w14:paraId="026FAA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 xml:space="preserve">2011 - 2016 </w:t>
                  </w:r>
                </w:p>
              </w:tc>
              <w:tc>
                <w:tcPr>
                  <w:tcW w:w="1275" w:type="dxa"/>
                  <w:shd w:val="clear" w:color="auto" w:fill="DBE5F1"/>
                  <w:vAlign w:val="center"/>
                </w:tcPr>
                <w:p w14:paraId="10FEE6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794" w:type="dxa"/>
                  <w:shd w:val="clear" w:color="auto" w:fill="DBE5F1"/>
                  <w:vAlign w:val="center"/>
                </w:tcPr>
                <w:p w14:paraId="1DD5FBA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2034 - 2039</w:t>
                  </w:r>
                </w:p>
              </w:tc>
              <w:tc>
                <w:tcPr>
                  <w:tcW w:w="1293" w:type="dxa"/>
                  <w:shd w:val="clear" w:color="auto" w:fill="DBE5F1"/>
                  <w:vAlign w:val="center"/>
                </w:tcPr>
                <w:p w14:paraId="352330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w:t>
                  </w:r>
                </w:p>
              </w:tc>
            </w:tr>
            <w:tr w:rsidR="00600DEE" w14:paraId="0D041FD1" w14:textId="77777777" w:rsidTr="00AB1BC5">
              <w:trPr>
                <w:trHeight w:val="284"/>
              </w:trPr>
              <w:tc>
                <w:tcPr>
                  <w:tcW w:w="1933" w:type="dxa"/>
                  <w:shd w:val="clear" w:color="auto" w:fill="DBE5F1"/>
                  <w:vAlign w:val="center"/>
                </w:tcPr>
                <w:p w14:paraId="0D337B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2017 - 2021</w:t>
                  </w:r>
                </w:p>
              </w:tc>
              <w:tc>
                <w:tcPr>
                  <w:tcW w:w="1275" w:type="dxa"/>
                  <w:shd w:val="clear" w:color="auto" w:fill="DBE5F1"/>
                  <w:vAlign w:val="center"/>
                </w:tcPr>
                <w:p w14:paraId="0B1BCD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794" w:type="dxa"/>
                  <w:shd w:val="clear" w:color="auto" w:fill="DBE5F1"/>
                  <w:vAlign w:val="center"/>
                </w:tcPr>
                <w:p w14:paraId="449815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2040 - 2045</w:t>
                  </w:r>
                </w:p>
              </w:tc>
              <w:tc>
                <w:tcPr>
                  <w:tcW w:w="1293" w:type="dxa"/>
                  <w:shd w:val="clear" w:color="auto" w:fill="DBE5F1"/>
                  <w:vAlign w:val="center"/>
                </w:tcPr>
                <w:p w14:paraId="198136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w:t>
                  </w:r>
                </w:p>
              </w:tc>
            </w:tr>
            <w:tr w:rsidR="00600DEE" w14:paraId="07F19301" w14:textId="77777777" w:rsidTr="00AB1BC5">
              <w:trPr>
                <w:trHeight w:val="284"/>
              </w:trPr>
              <w:tc>
                <w:tcPr>
                  <w:tcW w:w="1933" w:type="dxa"/>
                  <w:shd w:val="clear" w:color="auto" w:fill="DBE5F1"/>
                  <w:vAlign w:val="center"/>
                </w:tcPr>
                <w:p w14:paraId="72454F2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2022 - 2025</w:t>
                  </w:r>
                </w:p>
              </w:tc>
              <w:tc>
                <w:tcPr>
                  <w:tcW w:w="1275" w:type="dxa"/>
                  <w:shd w:val="clear" w:color="auto" w:fill="DBE5F1"/>
                  <w:vAlign w:val="center"/>
                </w:tcPr>
                <w:p w14:paraId="67FA1D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w:t>
                  </w:r>
                </w:p>
              </w:tc>
              <w:tc>
                <w:tcPr>
                  <w:tcW w:w="1794" w:type="dxa"/>
                  <w:shd w:val="clear" w:color="auto" w:fill="DBE5F1"/>
                  <w:vAlign w:val="center"/>
                </w:tcPr>
                <w:p w14:paraId="0148AAE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2046 - 2050</w:t>
                  </w:r>
                </w:p>
              </w:tc>
              <w:tc>
                <w:tcPr>
                  <w:tcW w:w="1293" w:type="dxa"/>
                  <w:shd w:val="clear" w:color="auto" w:fill="DBE5F1"/>
                  <w:vAlign w:val="center"/>
                </w:tcPr>
                <w:p w14:paraId="5BD14FD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w:t>
                  </w:r>
                </w:p>
              </w:tc>
            </w:tr>
            <w:tr w:rsidR="00600DEE" w14:paraId="07037137" w14:textId="77777777" w:rsidTr="00AB1BC5">
              <w:trPr>
                <w:trHeight w:val="284"/>
              </w:trPr>
              <w:tc>
                <w:tcPr>
                  <w:tcW w:w="1933" w:type="dxa"/>
                  <w:shd w:val="clear" w:color="auto" w:fill="DBE5F1"/>
                  <w:vAlign w:val="center"/>
                </w:tcPr>
                <w:p w14:paraId="59A1316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2026 - 2029</w:t>
                  </w:r>
                </w:p>
              </w:tc>
              <w:tc>
                <w:tcPr>
                  <w:tcW w:w="1275" w:type="dxa"/>
                  <w:shd w:val="clear" w:color="auto" w:fill="DBE5F1"/>
                  <w:vAlign w:val="center"/>
                </w:tcPr>
                <w:p w14:paraId="17F1246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w:t>
                  </w:r>
                </w:p>
              </w:tc>
              <w:tc>
                <w:tcPr>
                  <w:tcW w:w="1794" w:type="dxa"/>
                  <w:shd w:val="clear" w:color="auto" w:fill="DBE5F1"/>
                </w:tcPr>
                <w:p w14:paraId="190EFB35" w14:textId="77777777" w:rsidR="00600DEE" w:rsidRDefault="00600DEE">
                  <w:pPr>
                    <w:jc w:val="both"/>
                    <w:rPr>
                      <w:rFonts w:ascii="Calibri" w:eastAsia="Calibri" w:hAnsi="Calibri" w:cs="Calibri"/>
                      <w:color w:val="4F81BD"/>
                      <w:sz w:val="18"/>
                      <w:szCs w:val="18"/>
                    </w:rPr>
                  </w:pPr>
                </w:p>
              </w:tc>
              <w:tc>
                <w:tcPr>
                  <w:tcW w:w="1293" w:type="dxa"/>
                  <w:shd w:val="clear" w:color="auto" w:fill="DBE5F1"/>
                </w:tcPr>
                <w:p w14:paraId="6EC7EE07" w14:textId="77777777" w:rsidR="00600DEE" w:rsidRDefault="00600DEE">
                  <w:pPr>
                    <w:rPr>
                      <w:rFonts w:ascii="Calibri" w:eastAsia="Calibri" w:hAnsi="Calibri" w:cs="Calibri"/>
                      <w:color w:val="4F81BD"/>
                      <w:sz w:val="18"/>
                      <w:szCs w:val="18"/>
                    </w:rPr>
                  </w:pPr>
                </w:p>
              </w:tc>
            </w:tr>
          </w:tbl>
          <w:p w14:paraId="2A1B0966"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6A444D4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Tabele, zamieszczone w dalszej części, dotyczą dwóch rodzajów inwestycji: </w:t>
            </w:r>
          </w:p>
          <w:p w14:paraId="59561BC6" w14:textId="77777777" w:rsidR="00600DEE" w:rsidRDefault="00641FB5" w:rsidP="00D5736B">
            <w:pPr>
              <w:numPr>
                <w:ilvl w:val="1"/>
                <w:numId w:val="2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inwestycje liniowe, ciągi drogowe (dwujezdniowe i jednojezdniowe o długości powyżej 10 km),</w:t>
            </w:r>
          </w:p>
          <w:p w14:paraId="5774597D" w14:textId="77777777" w:rsidR="00600DEE" w:rsidRDefault="00641FB5" w:rsidP="00D5736B">
            <w:pPr>
              <w:numPr>
                <w:ilvl w:val="1"/>
                <w:numId w:val="2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obwodnice (jednojezdniowe).</w:t>
            </w:r>
          </w:p>
          <w:p w14:paraId="2599F31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Wartości w tabelach odnoszą się do odpowiednich przedziałów SDR i takie przybliżone wartości można stosować na potrzeby AKK. Jakkolwiek możliwa jest również interpolacja szczególnie w przypadku nieznacznych różnic w wartościach SDR.</w:t>
            </w:r>
          </w:p>
          <w:p w14:paraId="1E0F9BAA"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lastRenderedPageBreak/>
              <w:t>Ciągi drogowe dwujezdniowe</w:t>
            </w:r>
          </w:p>
          <w:p w14:paraId="57D3883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skutków wypadków drogowych dla ciągów drogowych dwujezdniowych dla wariantów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xml:space="preserve"> i W0</w:t>
            </w:r>
            <w:r>
              <w:rPr>
                <w:rFonts w:ascii="Calibri" w:eastAsia="Calibri" w:hAnsi="Calibri" w:cs="Calibri"/>
                <w:color w:val="000000"/>
                <w:sz w:val="20"/>
                <w:szCs w:val="20"/>
                <w:vertAlign w:val="subscript"/>
              </w:rPr>
              <w:t xml:space="preserve"> </w:t>
            </w:r>
            <w:r>
              <w:rPr>
                <w:rFonts w:ascii="Calibri" w:eastAsia="Calibri" w:hAnsi="Calibri" w:cs="Calibri"/>
                <w:color w:val="000000"/>
                <w:sz w:val="20"/>
                <w:szCs w:val="20"/>
              </w:rPr>
              <w:t xml:space="preserve">wylicza się jako sumy kosztów lekko rannych, ciężko rannych, ofiar śmiertelnych oraz strat materialnych. </w:t>
            </w:r>
          </w:p>
          <w:p w14:paraId="691DC6C6"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p w14:paraId="365F927D" w14:textId="7EFDBA44"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10. Gęstość wypadków drogowych </w:t>
            </w:r>
            <w:r w:rsidR="0080071C">
              <w:rPr>
                <w:rFonts w:ascii="Calibri" w:eastAsia="Calibri" w:hAnsi="Calibri" w:cs="Calibri"/>
                <w:b/>
                <w:color w:val="4F81BD"/>
                <w:sz w:val="20"/>
                <w:szCs w:val="20"/>
              </w:rPr>
              <w:t>(GW) dla ciągów drogowych</w:t>
            </w:r>
            <w:r>
              <w:rPr>
                <w:rFonts w:ascii="Calibri" w:eastAsia="Calibri" w:hAnsi="Calibri" w:cs="Calibri"/>
                <w:b/>
                <w:color w:val="4F81BD"/>
                <w:sz w:val="20"/>
                <w:szCs w:val="20"/>
              </w:rPr>
              <w:t xml:space="preserve"> dwujezdniowych [wypadki/km/rok]</w:t>
            </w:r>
          </w:p>
          <w:tbl>
            <w:tblPr>
              <w:tblStyle w:val="affffffffffffffff7"/>
              <w:tblW w:w="68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459"/>
              <w:gridCol w:w="1244"/>
              <w:gridCol w:w="1244"/>
              <w:gridCol w:w="1244"/>
              <w:gridCol w:w="1671"/>
            </w:tblGrid>
            <w:tr w:rsidR="00600DEE" w14:paraId="49CA25D0" w14:textId="77777777" w:rsidTr="0080071C">
              <w:trPr>
                <w:trHeight w:val="246"/>
              </w:trPr>
              <w:tc>
                <w:tcPr>
                  <w:tcW w:w="1459" w:type="dxa"/>
                  <w:shd w:val="clear" w:color="auto" w:fill="A6A6A6"/>
                  <w:vAlign w:val="center"/>
                </w:tcPr>
                <w:p w14:paraId="0B83A93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44" w:type="dxa"/>
                  <w:shd w:val="clear" w:color="auto" w:fill="A6A6A6"/>
                  <w:vAlign w:val="center"/>
                </w:tcPr>
                <w:p w14:paraId="54FF7AB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244" w:type="dxa"/>
                  <w:shd w:val="clear" w:color="auto" w:fill="A6A6A6"/>
                  <w:vAlign w:val="center"/>
                </w:tcPr>
                <w:p w14:paraId="6813D994" w14:textId="73EEED1A"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r w:rsidR="003D2AC3">
                    <w:rPr>
                      <w:rFonts w:ascii="Calibri" w:eastAsia="Calibri" w:hAnsi="Calibri" w:cs="Calibri"/>
                      <w:b/>
                      <w:color w:val="FFFFFF"/>
                      <w:sz w:val="17"/>
                      <w:szCs w:val="17"/>
                    </w:rPr>
                    <w:t xml:space="preserve"> </w:t>
                  </w:r>
                  <w:r>
                    <w:rPr>
                      <w:rFonts w:ascii="Calibri" w:eastAsia="Calibri" w:hAnsi="Calibri" w:cs="Calibri"/>
                      <w:b/>
                      <w:color w:val="FFFFFF"/>
                      <w:sz w:val="17"/>
                      <w:szCs w:val="17"/>
                    </w:rPr>
                    <w:t>A</w:t>
                  </w:r>
                </w:p>
              </w:tc>
              <w:tc>
                <w:tcPr>
                  <w:tcW w:w="1244" w:type="dxa"/>
                  <w:shd w:val="clear" w:color="auto" w:fill="A6A6A6"/>
                  <w:vAlign w:val="center"/>
                </w:tcPr>
                <w:p w14:paraId="5C8F02D1"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GPn</w:t>
                  </w:r>
                  <w:proofErr w:type="spellEnd"/>
                  <w:r>
                    <w:rPr>
                      <w:rFonts w:ascii="Calibri" w:eastAsia="Calibri" w:hAnsi="Calibri" w:cs="Calibri"/>
                      <w:b/>
                      <w:color w:val="FFFFFF"/>
                      <w:sz w:val="17"/>
                      <w:szCs w:val="17"/>
                    </w:rPr>
                    <w:t>*</w:t>
                  </w:r>
                </w:p>
              </w:tc>
              <w:tc>
                <w:tcPr>
                  <w:tcW w:w="1671" w:type="dxa"/>
                  <w:shd w:val="clear" w:color="auto" w:fill="A6A6A6"/>
                  <w:vAlign w:val="center"/>
                </w:tcPr>
                <w:p w14:paraId="756BF605"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GPz</w:t>
                  </w:r>
                  <w:proofErr w:type="spellEnd"/>
                  <w:r>
                    <w:rPr>
                      <w:rFonts w:ascii="Calibri" w:eastAsia="Calibri" w:hAnsi="Calibri" w:cs="Calibri"/>
                      <w:b/>
                      <w:color w:val="FFFFFF"/>
                      <w:sz w:val="17"/>
                      <w:szCs w:val="17"/>
                    </w:rPr>
                    <w:t xml:space="preserve"> **</w:t>
                  </w:r>
                </w:p>
              </w:tc>
            </w:tr>
            <w:tr w:rsidR="00600DEE" w14:paraId="7CFFB9D9" w14:textId="77777777" w:rsidTr="0080071C">
              <w:trPr>
                <w:trHeight w:val="246"/>
              </w:trPr>
              <w:tc>
                <w:tcPr>
                  <w:tcW w:w="1459" w:type="dxa"/>
                  <w:shd w:val="clear" w:color="auto" w:fill="DBE5F1"/>
                  <w:vAlign w:val="bottom"/>
                </w:tcPr>
                <w:p w14:paraId="6B196A1C" w14:textId="10539A4F"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44" w:type="dxa"/>
                  <w:shd w:val="clear" w:color="auto" w:fill="DBE5F1"/>
                  <w:vAlign w:val="bottom"/>
                </w:tcPr>
                <w:p w14:paraId="4908B44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0,040</w:t>
                  </w:r>
                </w:p>
              </w:tc>
              <w:tc>
                <w:tcPr>
                  <w:tcW w:w="1244" w:type="dxa"/>
                  <w:shd w:val="clear" w:color="auto" w:fill="DBE5F1"/>
                  <w:vAlign w:val="bottom"/>
                </w:tcPr>
                <w:p w14:paraId="6DF9B8D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0,029</w:t>
                  </w:r>
                </w:p>
              </w:tc>
              <w:tc>
                <w:tcPr>
                  <w:tcW w:w="1244" w:type="dxa"/>
                  <w:shd w:val="clear" w:color="auto" w:fill="DBE5F1"/>
                  <w:vAlign w:val="bottom"/>
                </w:tcPr>
                <w:p w14:paraId="203462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0,396</w:t>
                  </w:r>
                </w:p>
              </w:tc>
              <w:tc>
                <w:tcPr>
                  <w:tcW w:w="1671" w:type="dxa"/>
                  <w:shd w:val="clear" w:color="auto" w:fill="DBE5F1"/>
                  <w:vAlign w:val="bottom"/>
                </w:tcPr>
                <w:p w14:paraId="14A4453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0,739</w:t>
                  </w:r>
                </w:p>
              </w:tc>
            </w:tr>
            <w:tr w:rsidR="00600DEE" w14:paraId="0DFD2794" w14:textId="77777777" w:rsidTr="0080071C">
              <w:trPr>
                <w:trHeight w:val="246"/>
              </w:trPr>
              <w:tc>
                <w:tcPr>
                  <w:tcW w:w="1459" w:type="dxa"/>
                  <w:shd w:val="clear" w:color="auto" w:fill="DBE5F1"/>
                  <w:vAlign w:val="bottom"/>
                </w:tcPr>
                <w:p w14:paraId="7989B17D" w14:textId="72F7572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44" w:type="dxa"/>
                  <w:shd w:val="clear" w:color="auto" w:fill="DBE5F1"/>
                  <w:vAlign w:val="bottom"/>
                </w:tcPr>
                <w:p w14:paraId="326B0BC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c>
                <w:tcPr>
                  <w:tcW w:w="1244" w:type="dxa"/>
                  <w:shd w:val="clear" w:color="auto" w:fill="DBE5F1"/>
                  <w:vAlign w:val="bottom"/>
                </w:tcPr>
                <w:p w14:paraId="4FAEFB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0,081</w:t>
                  </w:r>
                </w:p>
              </w:tc>
              <w:tc>
                <w:tcPr>
                  <w:tcW w:w="1244" w:type="dxa"/>
                  <w:shd w:val="clear" w:color="auto" w:fill="DBE5F1"/>
                  <w:vAlign w:val="bottom"/>
                </w:tcPr>
                <w:p w14:paraId="06ED786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0,460</w:t>
                  </w:r>
                </w:p>
              </w:tc>
              <w:tc>
                <w:tcPr>
                  <w:tcW w:w="1671" w:type="dxa"/>
                  <w:shd w:val="clear" w:color="auto" w:fill="DBE5F1"/>
                  <w:vAlign w:val="bottom"/>
                </w:tcPr>
                <w:p w14:paraId="5F31A1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0,819</w:t>
                  </w:r>
                </w:p>
              </w:tc>
            </w:tr>
            <w:tr w:rsidR="00600DEE" w14:paraId="0E3740F8" w14:textId="77777777" w:rsidTr="0080071C">
              <w:trPr>
                <w:trHeight w:val="246"/>
              </w:trPr>
              <w:tc>
                <w:tcPr>
                  <w:tcW w:w="1459" w:type="dxa"/>
                  <w:shd w:val="clear" w:color="auto" w:fill="DBE5F1"/>
                  <w:vAlign w:val="bottom"/>
                </w:tcPr>
                <w:p w14:paraId="43E40BCB" w14:textId="17FCCDB4"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244" w:type="dxa"/>
                  <w:shd w:val="clear" w:color="auto" w:fill="DBE5F1"/>
                  <w:vAlign w:val="bottom"/>
                </w:tcPr>
                <w:p w14:paraId="1EA538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0,294</w:t>
                  </w:r>
                </w:p>
              </w:tc>
              <w:tc>
                <w:tcPr>
                  <w:tcW w:w="1244" w:type="dxa"/>
                  <w:shd w:val="clear" w:color="auto" w:fill="DBE5F1"/>
                  <w:vAlign w:val="bottom"/>
                </w:tcPr>
                <w:p w14:paraId="4387743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0,220</w:t>
                  </w:r>
                </w:p>
              </w:tc>
              <w:tc>
                <w:tcPr>
                  <w:tcW w:w="1244" w:type="dxa"/>
                  <w:shd w:val="clear" w:color="auto" w:fill="DBE5F1"/>
                  <w:vAlign w:val="bottom"/>
                </w:tcPr>
                <w:p w14:paraId="3E8207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0,603</w:t>
                  </w:r>
                </w:p>
              </w:tc>
              <w:tc>
                <w:tcPr>
                  <w:tcW w:w="1671" w:type="dxa"/>
                  <w:shd w:val="clear" w:color="auto" w:fill="DBE5F1"/>
                  <w:vAlign w:val="bottom"/>
                </w:tcPr>
                <w:p w14:paraId="1D6A33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0,974</w:t>
                  </w:r>
                </w:p>
              </w:tc>
            </w:tr>
            <w:tr w:rsidR="00600DEE" w14:paraId="0C188AD1" w14:textId="77777777" w:rsidTr="0080071C">
              <w:trPr>
                <w:trHeight w:val="246"/>
              </w:trPr>
              <w:tc>
                <w:tcPr>
                  <w:tcW w:w="1459" w:type="dxa"/>
                  <w:shd w:val="clear" w:color="auto" w:fill="DBE5F1"/>
                  <w:vAlign w:val="bottom"/>
                </w:tcPr>
                <w:p w14:paraId="78C4195F" w14:textId="3A21F754"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44" w:type="dxa"/>
                  <w:shd w:val="clear" w:color="auto" w:fill="DBE5F1"/>
                  <w:vAlign w:val="bottom"/>
                </w:tcPr>
                <w:p w14:paraId="160E42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0,554</w:t>
                  </w:r>
                </w:p>
              </w:tc>
              <w:tc>
                <w:tcPr>
                  <w:tcW w:w="1244" w:type="dxa"/>
                  <w:shd w:val="clear" w:color="auto" w:fill="DBE5F1"/>
                  <w:vAlign w:val="bottom"/>
                </w:tcPr>
                <w:p w14:paraId="3C2B64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0,396</w:t>
                  </w:r>
                </w:p>
              </w:tc>
              <w:tc>
                <w:tcPr>
                  <w:tcW w:w="1244" w:type="dxa"/>
                  <w:shd w:val="clear" w:color="auto" w:fill="DBE5F1"/>
                  <w:vAlign w:val="bottom"/>
                </w:tcPr>
                <w:p w14:paraId="67C613D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0,810</w:t>
                  </w:r>
                </w:p>
              </w:tc>
              <w:tc>
                <w:tcPr>
                  <w:tcW w:w="1671" w:type="dxa"/>
                  <w:shd w:val="clear" w:color="auto" w:fill="DBE5F1"/>
                  <w:vAlign w:val="bottom"/>
                </w:tcPr>
                <w:p w14:paraId="34F3E80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1,161</w:t>
                  </w:r>
                </w:p>
              </w:tc>
            </w:tr>
            <w:tr w:rsidR="00600DEE" w14:paraId="72EF9EA2" w14:textId="77777777" w:rsidTr="0080071C">
              <w:trPr>
                <w:trHeight w:val="246"/>
              </w:trPr>
              <w:tc>
                <w:tcPr>
                  <w:tcW w:w="1459" w:type="dxa"/>
                  <w:shd w:val="clear" w:color="auto" w:fill="DBE5F1"/>
                  <w:vAlign w:val="bottom"/>
                </w:tcPr>
                <w:p w14:paraId="24923198" w14:textId="185AF801"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44" w:type="dxa"/>
                  <w:shd w:val="clear" w:color="auto" w:fill="DBE5F1"/>
                  <w:vAlign w:val="bottom"/>
                </w:tcPr>
                <w:p w14:paraId="17855A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0,800</w:t>
                  </w:r>
                </w:p>
              </w:tc>
              <w:tc>
                <w:tcPr>
                  <w:tcW w:w="1244" w:type="dxa"/>
                  <w:shd w:val="clear" w:color="auto" w:fill="DBE5F1"/>
                  <w:vAlign w:val="bottom"/>
                </w:tcPr>
                <w:p w14:paraId="71EDC8D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0,571</w:t>
                  </w:r>
                </w:p>
              </w:tc>
              <w:tc>
                <w:tcPr>
                  <w:tcW w:w="1244" w:type="dxa"/>
                  <w:shd w:val="clear" w:color="auto" w:fill="DBE5F1"/>
                  <w:vAlign w:val="bottom"/>
                </w:tcPr>
                <w:p w14:paraId="4A4014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1,016</w:t>
                  </w:r>
                </w:p>
              </w:tc>
              <w:tc>
                <w:tcPr>
                  <w:tcW w:w="1671" w:type="dxa"/>
                  <w:shd w:val="clear" w:color="auto" w:fill="DBE5F1"/>
                  <w:vAlign w:val="bottom"/>
                </w:tcPr>
                <w:p w14:paraId="175354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1,309</w:t>
                  </w:r>
                </w:p>
              </w:tc>
            </w:tr>
            <w:tr w:rsidR="00600DEE" w14:paraId="4E511508" w14:textId="77777777" w:rsidTr="0080071C">
              <w:trPr>
                <w:trHeight w:val="246"/>
              </w:trPr>
              <w:tc>
                <w:tcPr>
                  <w:tcW w:w="1459" w:type="dxa"/>
                  <w:shd w:val="clear" w:color="auto" w:fill="DBE5F1"/>
                  <w:vAlign w:val="bottom"/>
                </w:tcPr>
                <w:p w14:paraId="6DA5A6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44" w:type="dxa"/>
                  <w:shd w:val="clear" w:color="auto" w:fill="DBE5F1"/>
                  <w:vAlign w:val="bottom"/>
                </w:tcPr>
                <w:p w14:paraId="06EA0F7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1,255</w:t>
                  </w:r>
                </w:p>
              </w:tc>
              <w:tc>
                <w:tcPr>
                  <w:tcW w:w="1244" w:type="dxa"/>
                  <w:shd w:val="clear" w:color="auto" w:fill="DBE5F1"/>
                  <w:vAlign w:val="bottom"/>
                </w:tcPr>
                <w:p w14:paraId="5C6068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0,877</w:t>
                  </w:r>
                </w:p>
              </w:tc>
              <w:tc>
                <w:tcPr>
                  <w:tcW w:w="1244" w:type="dxa"/>
                  <w:shd w:val="clear" w:color="auto" w:fill="DBE5F1"/>
                  <w:vAlign w:val="bottom"/>
                </w:tcPr>
                <w:p w14:paraId="799BA46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1,447</w:t>
                  </w:r>
                </w:p>
              </w:tc>
              <w:tc>
                <w:tcPr>
                  <w:tcW w:w="1671" w:type="dxa"/>
                  <w:shd w:val="clear" w:color="auto" w:fill="DBE5F1"/>
                  <w:vAlign w:val="bottom"/>
                </w:tcPr>
                <w:p w14:paraId="62FE3C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1,535</w:t>
                  </w:r>
                </w:p>
              </w:tc>
            </w:tr>
          </w:tbl>
          <w:p w14:paraId="17A0BADC"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0C2D536E"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41E65DB4"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3DA5ABD1" w14:textId="7F0ECF09"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11. Gęstość rannych w wypadkach drogowych (GR) dla ciągów dr</w:t>
            </w:r>
            <w:r w:rsidR="0080071C">
              <w:rPr>
                <w:rFonts w:ascii="Calibri" w:eastAsia="Calibri" w:hAnsi="Calibri" w:cs="Calibri"/>
                <w:b/>
                <w:color w:val="4F81BD"/>
                <w:sz w:val="20"/>
                <w:szCs w:val="20"/>
              </w:rPr>
              <w:t xml:space="preserve">ogowych </w:t>
            </w:r>
            <w:r>
              <w:rPr>
                <w:rFonts w:ascii="Calibri" w:eastAsia="Calibri" w:hAnsi="Calibri" w:cs="Calibri"/>
                <w:b/>
                <w:color w:val="4F81BD"/>
                <w:sz w:val="20"/>
                <w:szCs w:val="20"/>
              </w:rPr>
              <w:t>dwujezdniowych [osób/ km/rok]</w:t>
            </w:r>
          </w:p>
          <w:tbl>
            <w:tblPr>
              <w:tblStyle w:val="affffffffffffffff8"/>
              <w:tblW w:w="68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34"/>
              <w:gridCol w:w="1231"/>
              <w:gridCol w:w="1231"/>
              <w:gridCol w:w="1242"/>
              <w:gridCol w:w="1524"/>
            </w:tblGrid>
            <w:tr w:rsidR="00600DEE" w14:paraId="6F725A22" w14:textId="77777777" w:rsidTr="0080071C">
              <w:trPr>
                <w:trHeight w:val="244"/>
              </w:trPr>
              <w:tc>
                <w:tcPr>
                  <w:tcW w:w="1634" w:type="dxa"/>
                  <w:shd w:val="clear" w:color="auto" w:fill="A6A6A6"/>
                  <w:vAlign w:val="center"/>
                </w:tcPr>
                <w:p w14:paraId="17BD3A3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31" w:type="dxa"/>
                  <w:shd w:val="clear" w:color="auto" w:fill="A6A6A6"/>
                  <w:vAlign w:val="center"/>
                </w:tcPr>
                <w:p w14:paraId="516ECF7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231" w:type="dxa"/>
                  <w:shd w:val="clear" w:color="auto" w:fill="A6A6A6"/>
                  <w:vAlign w:val="center"/>
                </w:tcPr>
                <w:p w14:paraId="23198AEE" w14:textId="5DB8EF42"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r w:rsidR="003D2AC3">
                    <w:rPr>
                      <w:rFonts w:ascii="Calibri" w:eastAsia="Calibri" w:hAnsi="Calibri" w:cs="Calibri"/>
                      <w:b/>
                      <w:color w:val="FFFFFF"/>
                      <w:sz w:val="17"/>
                      <w:szCs w:val="17"/>
                    </w:rPr>
                    <w:t xml:space="preserve"> </w:t>
                  </w:r>
                  <w:r>
                    <w:rPr>
                      <w:rFonts w:ascii="Calibri" w:eastAsia="Calibri" w:hAnsi="Calibri" w:cs="Calibri"/>
                      <w:b/>
                      <w:color w:val="FFFFFF"/>
                      <w:sz w:val="17"/>
                      <w:szCs w:val="17"/>
                    </w:rPr>
                    <w:t>A</w:t>
                  </w:r>
                </w:p>
              </w:tc>
              <w:tc>
                <w:tcPr>
                  <w:tcW w:w="1242" w:type="dxa"/>
                  <w:shd w:val="clear" w:color="auto" w:fill="A6A6A6"/>
                  <w:vAlign w:val="center"/>
                </w:tcPr>
                <w:p w14:paraId="25F3949E" w14:textId="05834FD6" w:rsidR="00600DEE" w:rsidRDefault="003D2AC3">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GPn</w:t>
                  </w:r>
                  <w:proofErr w:type="spellEnd"/>
                  <w:r>
                    <w:rPr>
                      <w:rFonts w:ascii="Calibri" w:eastAsia="Calibri" w:hAnsi="Calibri" w:cs="Calibri"/>
                      <w:b/>
                      <w:color w:val="FFFFFF"/>
                      <w:sz w:val="17"/>
                      <w:szCs w:val="17"/>
                    </w:rPr>
                    <w:t>*</w:t>
                  </w:r>
                </w:p>
              </w:tc>
              <w:tc>
                <w:tcPr>
                  <w:tcW w:w="1524" w:type="dxa"/>
                  <w:shd w:val="clear" w:color="auto" w:fill="A6A6A6"/>
                  <w:vAlign w:val="center"/>
                </w:tcPr>
                <w:p w14:paraId="0C99482B" w14:textId="7105A089" w:rsidR="00600DEE" w:rsidRDefault="003D2AC3">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GPz</w:t>
                  </w:r>
                  <w:proofErr w:type="spellEnd"/>
                  <w:r>
                    <w:rPr>
                      <w:rFonts w:ascii="Calibri" w:eastAsia="Calibri" w:hAnsi="Calibri" w:cs="Calibri"/>
                      <w:b/>
                      <w:color w:val="FFFFFF"/>
                      <w:sz w:val="17"/>
                      <w:szCs w:val="17"/>
                    </w:rPr>
                    <w:t xml:space="preserve"> **</w:t>
                  </w:r>
                </w:p>
              </w:tc>
            </w:tr>
            <w:tr w:rsidR="00600DEE" w14:paraId="0EB87A91" w14:textId="77777777" w:rsidTr="0080071C">
              <w:trPr>
                <w:trHeight w:val="244"/>
              </w:trPr>
              <w:tc>
                <w:tcPr>
                  <w:tcW w:w="1634" w:type="dxa"/>
                  <w:shd w:val="clear" w:color="auto" w:fill="DBE5F1"/>
                  <w:vAlign w:val="bottom"/>
                </w:tcPr>
                <w:p w14:paraId="10F8B341" w14:textId="07E85421"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31" w:type="dxa"/>
                  <w:shd w:val="clear" w:color="auto" w:fill="DBE5F1"/>
                  <w:vAlign w:val="bottom"/>
                </w:tcPr>
                <w:p w14:paraId="300183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0,051</w:t>
                  </w:r>
                </w:p>
              </w:tc>
              <w:tc>
                <w:tcPr>
                  <w:tcW w:w="1231" w:type="dxa"/>
                  <w:shd w:val="clear" w:color="auto" w:fill="DBE5F1"/>
                  <w:vAlign w:val="bottom"/>
                </w:tcPr>
                <w:p w14:paraId="451DC85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0,034</w:t>
                  </w:r>
                </w:p>
              </w:tc>
              <w:tc>
                <w:tcPr>
                  <w:tcW w:w="1242" w:type="dxa"/>
                  <w:shd w:val="clear" w:color="auto" w:fill="DBE5F1"/>
                  <w:vAlign w:val="bottom"/>
                </w:tcPr>
                <w:p w14:paraId="229CB15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0,519</w:t>
                  </w:r>
                </w:p>
              </w:tc>
              <w:tc>
                <w:tcPr>
                  <w:tcW w:w="1524" w:type="dxa"/>
                  <w:shd w:val="clear" w:color="auto" w:fill="DBE5F1"/>
                  <w:vAlign w:val="bottom"/>
                </w:tcPr>
                <w:p w14:paraId="704B2A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0,981</w:t>
                  </w:r>
                </w:p>
              </w:tc>
            </w:tr>
            <w:tr w:rsidR="00600DEE" w14:paraId="3FC67D1C" w14:textId="77777777" w:rsidTr="0080071C">
              <w:trPr>
                <w:trHeight w:val="244"/>
              </w:trPr>
              <w:tc>
                <w:tcPr>
                  <w:tcW w:w="1634" w:type="dxa"/>
                  <w:shd w:val="clear" w:color="auto" w:fill="DBE5F1"/>
                  <w:vAlign w:val="bottom"/>
                </w:tcPr>
                <w:p w14:paraId="5642C027" w14:textId="52318029"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31" w:type="dxa"/>
                  <w:shd w:val="clear" w:color="auto" w:fill="DBE5F1"/>
                  <w:vAlign w:val="bottom"/>
                </w:tcPr>
                <w:p w14:paraId="59D269D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0,144</w:t>
                  </w:r>
                </w:p>
              </w:tc>
              <w:tc>
                <w:tcPr>
                  <w:tcW w:w="1231" w:type="dxa"/>
                  <w:shd w:val="clear" w:color="auto" w:fill="DBE5F1"/>
                  <w:vAlign w:val="bottom"/>
                </w:tcPr>
                <w:p w14:paraId="7833367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0,096</w:t>
                  </w:r>
                </w:p>
              </w:tc>
              <w:tc>
                <w:tcPr>
                  <w:tcW w:w="1242" w:type="dxa"/>
                  <w:shd w:val="clear" w:color="auto" w:fill="DBE5F1"/>
                  <w:vAlign w:val="bottom"/>
                </w:tcPr>
                <w:p w14:paraId="5FBE74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0,604</w:t>
                  </w:r>
                </w:p>
              </w:tc>
              <w:tc>
                <w:tcPr>
                  <w:tcW w:w="1524" w:type="dxa"/>
                  <w:shd w:val="clear" w:color="auto" w:fill="DBE5F1"/>
                  <w:vAlign w:val="bottom"/>
                </w:tcPr>
                <w:p w14:paraId="2882DF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1,090</w:t>
                  </w:r>
                </w:p>
              </w:tc>
            </w:tr>
            <w:tr w:rsidR="00600DEE" w14:paraId="647F0E0F" w14:textId="77777777" w:rsidTr="0080071C">
              <w:trPr>
                <w:trHeight w:val="244"/>
              </w:trPr>
              <w:tc>
                <w:tcPr>
                  <w:tcW w:w="1634" w:type="dxa"/>
                  <w:shd w:val="clear" w:color="auto" w:fill="DBE5F1"/>
                  <w:vAlign w:val="bottom"/>
                </w:tcPr>
                <w:p w14:paraId="3CBA7C0E" w14:textId="41C3C241"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231" w:type="dxa"/>
                  <w:shd w:val="clear" w:color="auto" w:fill="DBE5F1"/>
                  <w:vAlign w:val="bottom"/>
                </w:tcPr>
                <w:p w14:paraId="5935F9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0,381</w:t>
                  </w:r>
                </w:p>
              </w:tc>
              <w:tc>
                <w:tcPr>
                  <w:tcW w:w="1231" w:type="dxa"/>
                  <w:shd w:val="clear" w:color="auto" w:fill="DBE5F1"/>
                  <w:vAlign w:val="bottom"/>
                </w:tcPr>
                <w:p w14:paraId="06B584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0,256</w:t>
                  </w:r>
                </w:p>
              </w:tc>
              <w:tc>
                <w:tcPr>
                  <w:tcW w:w="1242" w:type="dxa"/>
                  <w:shd w:val="clear" w:color="auto" w:fill="DBE5F1"/>
                  <w:vAlign w:val="bottom"/>
                </w:tcPr>
                <w:p w14:paraId="7CBA4FB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0,797</w:t>
                  </w:r>
                </w:p>
              </w:tc>
              <w:tc>
                <w:tcPr>
                  <w:tcW w:w="1524" w:type="dxa"/>
                  <w:shd w:val="clear" w:color="auto" w:fill="DBE5F1"/>
                  <w:vAlign w:val="bottom"/>
                </w:tcPr>
                <w:p w14:paraId="12911FD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1,303</w:t>
                  </w:r>
                </w:p>
              </w:tc>
            </w:tr>
            <w:tr w:rsidR="00600DEE" w14:paraId="1BA4F1B5" w14:textId="77777777" w:rsidTr="0080071C">
              <w:trPr>
                <w:trHeight w:val="244"/>
              </w:trPr>
              <w:tc>
                <w:tcPr>
                  <w:tcW w:w="1634" w:type="dxa"/>
                  <w:shd w:val="clear" w:color="auto" w:fill="DBE5F1"/>
                  <w:vAlign w:val="bottom"/>
                </w:tcPr>
                <w:p w14:paraId="794B53ED" w14:textId="18CD7E11"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31" w:type="dxa"/>
                  <w:shd w:val="clear" w:color="auto" w:fill="DBE5F1"/>
                  <w:vAlign w:val="bottom"/>
                </w:tcPr>
                <w:p w14:paraId="59DF9C5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0,953</w:t>
                  </w:r>
                </w:p>
              </w:tc>
              <w:tc>
                <w:tcPr>
                  <w:tcW w:w="1231" w:type="dxa"/>
                  <w:shd w:val="clear" w:color="auto" w:fill="DBE5F1"/>
                  <w:vAlign w:val="bottom"/>
                </w:tcPr>
                <w:p w14:paraId="727C949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0,504</w:t>
                  </w:r>
                </w:p>
              </w:tc>
              <w:tc>
                <w:tcPr>
                  <w:tcW w:w="1242" w:type="dxa"/>
                  <w:shd w:val="clear" w:color="auto" w:fill="DBE5F1"/>
                  <w:vAlign w:val="bottom"/>
                </w:tcPr>
                <w:p w14:paraId="305D0B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1,303</w:t>
                  </w:r>
                </w:p>
              </w:tc>
              <w:tc>
                <w:tcPr>
                  <w:tcW w:w="1524" w:type="dxa"/>
                  <w:shd w:val="clear" w:color="auto" w:fill="DBE5F1"/>
                  <w:vAlign w:val="bottom"/>
                </w:tcPr>
                <w:p w14:paraId="7C7E7D9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1,559</w:t>
                  </w:r>
                </w:p>
              </w:tc>
            </w:tr>
            <w:tr w:rsidR="00600DEE" w14:paraId="745CC752" w14:textId="77777777" w:rsidTr="0080071C">
              <w:trPr>
                <w:trHeight w:val="244"/>
              </w:trPr>
              <w:tc>
                <w:tcPr>
                  <w:tcW w:w="1634" w:type="dxa"/>
                  <w:shd w:val="clear" w:color="auto" w:fill="DBE5F1"/>
                  <w:vAlign w:val="bottom"/>
                </w:tcPr>
                <w:p w14:paraId="21D97D4E" w14:textId="2FBF3A6E"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31" w:type="dxa"/>
                  <w:shd w:val="clear" w:color="auto" w:fill="DBE5F1"/>
                  <w:vAlign w:val="bottom"/>
                </w:tcPr>
                <w:p w14:paraId="2FA8D6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1,058</w:t>
                  </w:r>
                </w:p>
              </w:tc>
              <w:tc>
                <w:tcPr>
                  <w:tcW w:w="1231" w:type="dxa"/>
                  <w:shd w:val="clear" w:color="auto" w:fill="DBE5F1"/>
                  <w:vAlign w:val="bottom"/>
                </w:tcPr>
                <w:p w14:paraId="7B4A27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0,713</w:t>
                  </w:r>
                </w:p>
              </w:tc>
              <w:tc>
                <w:tcPr>
                  <w:tcW w:w="1242" w:type="dxa"/>
                  <w:shd w:val="clear" w:color="auto" w:fill="DBE5F1"/>
                  <w:vAlign w:val="bottom"/>
                </w:tcPr>
                <w:p w14:paraId="66E4C36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1,407</w:t>
                  </w:r>
                </w:p>
              </w:tc>
              <w:tc>
                <w:tcPr>
                  <w:tcW w:w="1524" w:type="dxa"/>
                  <w:shd w:val="clear" w:color="auto" w:fill="DBE5F1"/>
                  <w:vAlign w:val="bottom"/>
                </w:tcPr>
                <w:p w14:paraId="712A070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1,657</w:t>
                  </w:r>
                </w:p>
              </w:tc>
            </w:tr>
            <w:tr w:rsidR="00600DEE" w14:paraId="324A0929" w14:textId="77777777" w:rsidTr="0080071C">
              <w:trPr>
                <w:trHeight w:val="244"/>
              </w:trPr>
              <w:tc>
                <w:tcPr>
                  <w:tcW w:w="1634" w:type="dxa"/>
                  <w:shd w:val="clear" w:color="auto" w:fill="DBE5F1"/>
                  <w:vAlign w:val="bottom"/>
                </w:tcPr>
                <w:p w14:paraId="26579A1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31" w:type="dxa"/>
                  <w:shd w:val="clear" w:color="auto" w:fill="DBE5F1"/>
                  <w:vAlign w:val="bottom"/>
                </w:tcPr>
                <w:p w14:paraId="09BF1D3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1,631</w:t>
                  </w:r>
                </w:p>
              </w:tc>
              <w:tc>
                <w:tcPr>
                  <w:tcW w:w="1231" w:type="dxa"/>
                  <w:shd w:val="clear" w:color="auto" w:fill="DBE5F1"/>
                  <w:vAlign w:val="bottom"/>
                </w:tcPr>
                <w:p w14:paraId="03D10EB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1242" w:type="dxa"/>
                  <w:shd w:val="clear" w:color="auto" w:fill="DBE5F1"/>
                  <w:vAlign w:val="bottom"/>
                </w:tcPr>
                <w:p w14:paraId="062F4C3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1,956</w:t>
                  </w:r>
                </w:p>
              </w:tc>
              <w:tc>
                <w:tcPr>
                  <w:tcW w:w="1524" w:type="dxa"/>
                  <w:shd w:val="clear" w:color="auto" w:fill="DBE5F1"/>
                  <w:vAlign w:val="bottom"/>
                </w:tcPr>
                <w:p w14:paraId="5F8CA9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2,075</w:t>
                  </w:r>
                </w:p>
              </w:tc>
            </w:tr>
          </w:tbl>
          <w:p w14:paraId="5D4E4275"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E58772B"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42E07F58"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39821AD3"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4F4BF1E9"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2F8C48A5"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579ABB18"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12. Gęstość zabitych w wypadkach drogowych (GZ) dla ciągów drogowych</w:t>
            </w:r>
            <w:r>
              <w:rPr>
                <w:rFonts w:ascii="Calibri" w:eastAsia="Calibri" w:hAnsi="Calibri" w:cs="Calibri"/>
                <w:b/>
                <w:color w:val="4F81BD"/>
                <w:sz w:val="20"/>
                <w:szCs w:val="20"/>
              </w:rPr>
              <w:br/>
              <w:t>dwujezdniowych [osób/ km/ rok]</w:t>
            </w:r>
          </w:p>
          <w:tbl>
            <w:tblPr>
              <w:tblStyle w:val="affffffffffffffff9"/>
              <w:tblW w:w="69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11"/>
              <w:gridCol w:w="1221"/>
              <w:gridCol w:w="1289"/>
              <w:gridCol w:w="1389"/>
              <w:gridCol w:w="1527"/>
            </w:tblGrid>
            <w:tr w:rsidR="00600DEE" w14:paraId="564DE804" w14:textId="77777777" w:rsidTr="00505091">
              <w:trPr>
                <w:trHeight w:hRule="exact" w:val="254"/>
              </w:trPr>
              <w:tc>
                <w:tcPr>
                  <w:tcW w:w="1511" w:type="dxa"/>
                  <w:shd w:val="clear" w:color="auto" w:fill="A6A6A6"/>
                  <w:vAlign w:val="center"/>
                </w:tcPr>
                <w:p w14:paraId="6608736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21" w:type="dxa"/>
                  <w:shd w:val="clear" w:color="auto" w:fill="A6A6A6"/>
                  <w:vAlign w:val="center"/>
                </w:tcPr>
                <w:p w14:paraId="6D3F9DD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289" w:type="dxa"/>
                  <w:shd w:val="clear" w:color="auto" w:fill="A6A6A6"/>
                  <w:vAlign w:val="center"/>
                </w:tcPr>
                <w:p w14:paraId="3C972B2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S,A</w:t>
                  </w:r>
                </w:p>
              </w:tc>
              <w:tc>
                <w:tcPr>
                  <w:tcW w:w="1389" w:type="dxa"/>
                  <w:shd w:val="clear" w:color="auto" w:fill="A6A6A6"/>
                  <w:vAlign w:val="center"/>
                </w:tcPr>
                <w:p w14:paraId="0E5E6BBB"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GPn</w:t>
                  </w:r>
                  <w:proofErr w:type="spellEnd"/>
                  <w:r>
                    <w:rPr>
                      <w:rFonts w:ascii="Calibri" w:eastAsia="Calibri" w:hAnsi="Calibri" w:cs="Calibri"/>
                      <w:b/>
                      <w:color w:val="FFFFFF"/>
                      <w:sz w:val="17"/>
                      <w:szCs w:val="17"/>
                    </w:rPr>
                    <w:t>*)</w:t>
                  </w:r>
                </w:p>
              </w:tc>
              <w:tc>
                <w:tcPr>
                  <w:tcW w:w="1527" w:type="dxa"/>
                  <w:shd w:val="clear" w:color="auto" w:fill="A6A6A6"/>
                  <w:vAlign w:val="center"/>
                </w:tcPr>
                <w:p w14:paraId="57579722"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GPz</w:t>
                  </w:r>
                  <w:proofErr w:type="spellEnd"/>
                  <w:r>
                    <w:rPr>
                      <w:rFonts w:ascii="Calibri" w:eastAsia="Calibri" w:hAnsi="Calibri" w:cs="Calibri"/>
                      <w:b/>
                      <w:color w:val="FFFFFF"/>
                      <w:sz w:val="17"/>
                      <w:szCs w:val="17"/>
                    </w:rPr>
                    <w:t xml:space="preserve"> **)</w:t>
                  </w:r>
                </w:p>
              </w:tc>
            </w:tr>
            <w:tr w:rsidR="00600DEE" w14:paraId="159D9954" w14:textId="77777777" w:rsidTr="00505091">
              <w:trPr>
                <w:trHeight w:hRule="exact" w:val="254"/>
              </w:trPr>
              <w:tc>
                <w:tcPr>
                  <w:tcW w:w="1511" w:type="dxa"/>
                  <w:shd w:val="clear" w:color="auto" w:fill="DBE5F1"/>
                  <w:vAlign w:val="bottom"/>
                </w:tcPr>
                <w:p w14:paraId="05CAB42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21" w:type="dxa"/>
                  <w:shd w:val="clear" w:color="auto" w:fill="DBE5F1"/>
                  <w:vAlign w:val="bottom"/>
                </w:tcPr>
                <w:p w14:paraId="4C6EEA3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0,036</w:t>
                  </w:r>
                </w:p>
              </w:tc>
              <w:tc>
                <w:tcPr>
                  <w:tcW w:w="1289" w:type="dxa"/>
                  <w:shd w:val="clear" w:color="auto" w:fill="DBE5F1"/>
                  <w:vAlign w:val="bottom"/>
                </w:tcPr>
                <w:p w14:paraId="561BAE2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0,022</w:t>
                  </w:r>
                </w:p>
              </w:tc>
              <w:tc>
                <w:tcPr>
                  <w:tcW w:w="1389" w:type="dxa"/>
                  <w:shd w:val="clear" w:color="auto" w:fill="DBE5F1"/>
                  <w:vAlign w:val="bottom"/>
                </w:tcPr>
                <w:p w14:paraId="7EF4B8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0,179</w:t>
                  </w:r>
                </w:p>
              </w:tc>
              <w:tc>
                <w:tcPr>
                  <w:tcW w:w="1527" w:type="dxa"/>
                  <w:shd w:val="clear" w:color="auto" w:fill="DBE5F1"/>
                  <w:vAlign w:val="bottom"/>
                </w:tcPr>
                <w:p w14:paraId="0D6277E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r>
            <w:tr w:rsidR="00600DEE" w14:paraId="5BE6D90C" w14:textId="77777777" w:rsidTr="00505091">
              <w:trPr>
                <w:trHeight w:hRule="exact" w:val="254"/>
              </w:trPr>
              <w:tc>
                <w:tcPr>
                  <w:tcW w:w="1511" w:type="dxa"/>
                  <w:shd w:val="clear" w:color="auto" w:fill="DBE5F1"/>
                  <w:vAlign w:val="bottom"/>
                </w:tcPr>
                <w:p w14:paraId="5A0FF3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21" w:type="dxa"/>
                  <w:shd w:val="clear" w:color="auto" w:fill="DBE5F1"/>
                  <w:vAlign w:val="bottom"/>
                </w:tcPr>
                <w:p w14:paraId="310C83D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0,073</w:t>
                  </w:r>
                </w:p>
              </w:tc>
              <w:tc>
                <w:tcPr>
                  <w:tcW w:w="1289" w:type="dxa"/>
                  <w:shd w:val="clear" w:color="auto" w:fill="DBE5F1"/>
                  <w:vAlign w:val="bottom"/>
                </w:tcPr>
                <w:p w14:paraId="482B8F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0,052</w:t>
                  </w:r>
                </w:p>
              </w:tc>
              <w:tc>
                <w:tcPr>
                  <w:tcW w:w="1389" w:type="dxa"/>
                  <w:shd w:val="clear" w:color="auto" w:fill="DBE5F1"/>
                  <w:vAlign w:val="bottom"/>
                </w:tcPr>
                <w:p w14:paraId="4A386F2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0,189</w:t>
                  </w:r>
                </w:p>
              </w:tc>
              <w:tc>
                <w:tcPr>
                  <w:tcW w:w="1527" w:type="dxa"/>
                  <w:shd w:val="clear" w:color="auto" w:fill="DBE5F1"/>
                  <w:vAlign w:val="bottom"/>
                </w:tcPr>
                <w:p w14:paraId="720C460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0,117</w:t>
                  </w:r>
                </w:p>
              </w:tc>
            </w:tr>
            <w:tr w:rsidR="00600DEE" w14:paraId="71DEAA7C" w14:textId="77777777" w:rsidTr="00505091">
              <w:trPr>
                <w:trHeight w:hRule="exact" w:val="254"/>
              </w:trPr>
              <w:tc>
                <w:tcPr>
                  <w:tcW w:w="1511" w:type="dxa"/>
                  <w:shd w:val="clear" w:color="auto" w:fill="DBE5F1"/>
                  <w:vAlign w:val="bottom"/>
                </w:tcPr>
                <w:p w14:paraId="42219A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21" w:type="dxa"/>
                  <w:shd w:val="clear" w:color="auto" w:fill="DBE5F1"/>
                  <w:vAlign w:val="bottom"/>
                </w:tcPr>
                <w:p w14:paraId="1E262F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0,104</w:t>
                  </w:r>
                </w:p>
              </w:tc>
              <w:tc>
                <w:tcPr>
                  <w:tcW w:w="1289" w:type="dxa"/>
                  <w:shd w:val="clear" w:color="auto" w:fill="DBE5F1"/>
                  <w:vAlign w:val="bottom"/>
                </w:tcPr>
                <w:p w14:paraId="39FF2D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0,083</w:t>
                  </w:r>
                </w:p>
              </w:tc>
              <w:tc>
                <w:tcPr>
                  <w:tcW w:w="1389" w:type="dxa"/>
                  <w:shd w:val="clear" w:color="auto" w:fill="DBE5F1"/>
                  <w:vAlign w:val="bottom"/>
                </w:tcPr>
                <w:p w14:paraId="0D872F8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0,209</w:t>
                  </w:r>
                </w:p>
              </w:tc>
              <w:tc>
                <w:tcPr>
                  <w:tcW w:w="1527" w:type="dxa"/>
                  <w:shd w:val="clear" w:color="auto" w:fill="DBE5F1"/>
                  <w:vAlign w:val="bottom"/>
                </w:tcPr>
                <w:p w14:paraId="1637B3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0,124</w:t>
                  </w:r>
                </w:p>
              </w:tc>
            </w:tr>
            <w:tr w:rsidR="00600DEE" w14:paraId="232B1371" w14:textId="77777777" w:rsidTr="00505091">
              <w:trPr>
                <w:trHeight w:hRule="exact" w:val="254"/>
              </w:trPr>
              <w:tc>
                <w:tcPr>
                  <w:tcW w:w="1511" w:type="dxa"/>
                  <w:shd w:val="clear" w:color="auto" w:fill="DBE5F1"/>
                  <w:vAlign w:val="bottom"/>
                </w:tcPr>
                <w:p w14:paraId="063F402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21" w:type="dxa"/>
                  <w:shd w:val="clear" w:color="auto" w:fill="DBE5F1"/>
                  <w:vAlign w:val="bottom"/>
                </w:tcPr>
                <w:p w14:paraId="438DABD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0,135</w:t>
                  </w:r>
                </w:p>
              </w:tc>
              <w:tc>
                <w:tcPr>
                  <w:tcW w:w="1289" w:type="dxa"/>
                  <w:shd w:val="clear" w:color="auto" w:fill="DBE5F1"/>
                  <w:vAlign w:val="bottom"/>
                </w:tcPr>
                <w:p w14:paraId="2D05C7A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0,104</w:t>
                  </w:r>
                </w:p>
              </w:tc>
              <w:tc>
                <w:tcPr>
                  <w:tcW w:w="1389" w:type="dxa"/>
                  <w:shd w:val="clear" w:color="auto" w:fill="DBE5F1"/>
                  <w:vAlign w:val="bottom"/>
                </w:tcPr>
                <w:p w14:paraId="51C9DB4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0,233</w:t>
                  </w:r>
                </w:p>
              </w:tc>
              <w:tc>
                <w:tcPr>
                  <w:tcW w:w="1527" w:type="dxa"/>
                  <w:shd w:val="clear" w:color="auto" w:fill="DBE5F1"/>
                  <w:vAlign w:val="bottom"/>
                </w:tcPr>
                <w:p w14:paraId="47EE7C8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0,131</w:t>
                  </w:r>
                </w:p>
              </w:tc>
            </w:tr>
            <w:tr w:rsidR="00600DEE" w14:paraId="3BC8B2E4" w14:textId="77777777" w:rsidTr="00505091">
              <w:trPr>
                <w:trHeight w:hRule="exact" w:val="254"/>
              </w:trPr>
              <w:tc>
                <w:tcPr>
                  <w:tcW w:w="1511" w:type="dxa"/>
                  <w:shd w:val="clear" w:color="auto" w:fill="DBE5F1"/>
                  <w:vAlign w:val="bottom"/>
                </w:tcPr>
                <w:p w14:paraId="4695A0D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21" w:type="dxa"/>
                  <w:shd w:val="clear" w:color="auto" w:fill="DBE5F1"/>
                  <w:vAlign w:val="bottom"/>
                </w:tcPr>
                <w:p w14:paraId="7547C97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0,154</w:t>
                  </w:r>
                </w:p>
              </w:tc>
              <w:tc>
                <w:tcPr>
                  <w:tcW w:w="1289" w:type="dxa"/>
                  <w:shd w:val="clear" w:color="auto" w:fill="DBE5F1"/>
                  <w:vAlign w:val="bottom"/>
                </w:tcPr>
                <w:p w14:paraId="5E09D6D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0,118</w:t>
                  </w:r>
                </w:p>
              </w:tc>
              <w:tc>
                <w:tcPr>
                  <w:tcW w:w="1389" w:type="dxa"/>
                  <w:shd w:val="clear" w:color="auto" w:fill="DBE5F1"/>
                  <w:vAlign w:val="bottom"/>
                </w:tcPr>
                <w:p w14:paraId="3A84D2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0,254</w:t>
                  </w:r>
                </w:p>
              </w:tc>
              <w:tc>
                <w:tcPr>
                  <w:tcW w:w="1527" w:type="dxa"/>
                  <w:shd w:val="clear" w:color="auto" w:fill="DBE5F1"/>
                  <w:vAlign w:val="bottom"/>
                </w:tcPr>
                <w:p w14:paraId="14848AA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0,137</w:t>
                  </w:r>
                </w:p>
              </w:tc>
            </w:tr>
            <w:tr w:rsidR="00600DEE" w14:paraId="2EBDD289" w14:textId="77777777" w:rsidTr="00505091">
              <w:trPr>
                <w:trHeight w:hRule="exact" w:val="254"/>
              </w:trPr>
              <w:tc>
                <w:tcPr>
                  <w:tcW w:w="1511" w:type="dxa"/>
                  <w:shd w:val="clear" w:color="auto" w:fill="DBE5F1"/>
                  <w:vAlign w:val="bottom"/>
                </w:tcPr>
                <w:p w14:paraId="1D83967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21" w:type="dxa"/>
                  <w:shd w:val="clear" w:color="auto" w:fill="DBE5F1"/>
                  <w:vAlign w:val="bottom"/>
                </w:tcPr>
                <w:p w14:paraId="5C30319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0,177</w:t>
                  </w:r>
                </w:p>
              </w:tc>
              <w:tc>
                <w:tcPr>
                  <w:tcW w:w="1289" w:type="dxa"/>
                  <w:shd w:val="clear" w:color="auto" w:fill="DBE5F1"/>
                  <w:vAlign w:val="bottom"/>
                </w:tcPr>
                <w:p w14:paraId="3FEA557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0,141</w:t>
                  </w:r>
                </w:p>
              </w:tc>
              <w:tc>
                <w:tcPr>
                  <w:tcW w:w="1389" w:type="dxa"/>
                  <w:shd w:val="clear" w:color="auto" w:fill="DBE5F1"/>
                  <w:vAlign w:val="bottom"/>
                </w:tcPr>
                <w:p w14:paraId="1BDD0B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0,280</w:t>
                  </w:r>
                </w:p>
              </w:tc>
              <w:tc>
                <w:tcPr>
                  <w:tcW w:w="1527" w:type="dxa"/>
                  <w:shd w:val="clear" w:color="auto" w:fill="DBE5F1"/>
                  <w:vAlign w:val="bottom"/>
                </w:tcPr>
                <w:p w14:paraId="0A0CF91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0,143</w:t>
                  </w:r>
                </w:p>
              </w:tc>
            </w:tr>
          </w:tbl>
          <w:p w14:paraId="4342950E"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6C5D1845"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4A78F545"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1D66289E"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13. Gęstość ciężko rannych w wypadkach (GCR) drogowych dla ciągów</w:t>
            </w:r>
            <w:r>
              <w:rPr>
                <w:rFonts w:ascii="Calibri" w:eastAsia="Calibri" w:hAnsi="Calibri" w:cs="Calibri"/>
                <w:b/>
                <w:color w:val="4F81BD"/>
                <w:sz w:val="20"/>
                <w:szCs w:val="20"/>
              </w:rPr>
              <w:br/>
              <w:t xml:space="preserve"> drogowych dwujezdniowych [osób/ km/rok]</w:t>
            </w:r>
          </w:p>
          <w:tbl>
            <w:tblPr>
              <w:tblStyle w:val="affffffffffffffffa"/>
              <w:tblW w:w="69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05"/>
              <w:gridCol w:w="1263"/>
              <w:gridCol w:w="1310"/>
              <w:gridCol w:w="1394"/>
              <w:gridCol w:w="1395"/>
            </w:tblGrid>
            <w:tr w:rsidR="00600DEE" w14:paraId="4621A507" w14:textId="77777777" w:rsidTr="00505091">
              <w:trPr>
                <w:trHeight w:hRule="exact" w:val="254"/>
              </w:trPr>
              <w:tc>
                <w:tcPr>
                  <w:tcW w:w="1605" w:type="dxa"/>
                  <w:shd w:val="clear" w:color="auto" w:fill="A6A6A6"/>
                  <w:vAlign w:val="center"/>
                </w:tcPr>
                <w:p w14:paraId="7330F2F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63" w:type="dxa"/>
                  <w:shd w:val="clear" w:color="auto" w:fill="A6A6A6"/>
                  <w:vAlign w:val="center"/>
                </w:tcPr>
                <w:p w14:paraId="37E6B99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310" w:type="dxa"/>
                  <w:shd w:val="clear" w:color="auto" w:fill="A6A6A6"/>
                  <w:vAlign w:val="center"/>
                </w:tcPr>
                <w:p w14:paraId="296A9C1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S,A</w:t>
                  </w:r>
                </w:p>
              </w:tc>
              <w:tc>
                <w:tcPr>
                  <w:tcW w:w="1394" w:type="dxa"/>
                  <w:shd w:val="clear" w:color="auto" w:fill="A6A6A6"/>
                  <w:vAlign w:val="center"/>
                </w:tcPr>
                <w:p w14:paraId="79F1F337"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GPn</w:t>
                  </w:r>
                  <w:proofErr w:type="spellEnd"/>
                  <w:r>
                    <w:rPr>
                      <w:rFonts w:ascii="Calibri" w:eastAsia="Calibri" w:hAnsi="Calibri" w:cs="Calibri"/>
                      <w:b/>
                      <w:color w:val="FFFFFF"/>
                      <w:sz w:val="17"/>
                      <w:szCs w:val="17"/>
                    </w:rPr>
                    <w:t>*)</w:t>
                  </w:r>
                </w:p>
              </w:tc>
              <w:tc>
                <w:tcPr>
                  <w:tcW w:w="1395" w:type="dxa"/>
                  <w:shd w:val="clear" w:color="auto" w:fill="A6A6A6"/>
                  <w:vAlign w:val="center"/>
                </w:tcPr>
                <w:p w14:paraId="520C8A47" w14:textId="77777777" w:rsidR="00600DEE" w:rsidRDefault="00641FB5">
                  <w:pPr>
                    <w:jc w:val="center"/>
                    <w:rPr>
                      <w:rFonts w:ascii="Calibri" w:eastAsia="Calibri" w:hAnsi="Calibri" w:cs="Calibri"/>
                      <w:b/>
                      <w:color w:val="FFFFFF"/>
                      <w:sz w:val="17"/>
                      <w:szCs w:val="17"/>
                    </w:rPr>
                  </w:pPr>
                  <w:proofErr w:type="spellStart"/>
                  <w:r>
                    <w:rPr>
                      <w:rFonts w:ascii="Calibri" w:eastAsia="Calibri" w:hAnsi="Calibri" w:cs="Calibri"/>
                      <w:b/>
                      <w:color w:val="FFFFFF"/>
                      <w:sz w:val="17"/>
                      <w:szCs w:val="17"/>
                    </w:rPr>
                    <w:t>GPz</w:t>
                  </w:r>
                  <w:proofErr w:type="spellEnd"/>
                  <w:r>
                    <w:rPr>
                      <w:rFonts w:ascii="Calibri" w:eastAsia="Calibri" w:hAnsi="Calibri" w:cs="Calibri"/>
                      <w:b/>
                      <w:color w:val="FFFFFF"/>
                      <w:sz w:val="17"/>
                      <w:szCs w:val="17"/>
                    </w:rPr>
                    <w:t xml:space="preserve"> **)</w:t>
                  </w:r>
                </w:p>
              </w:tc>
            </w:tr>
            <w:tr w:rsidR="00600DEE" w14:paraId="7D88864B" w14:textId="77777777" w:rsidTr="00505091">
              <w:trPr>
                <w:trHeight w:hRule="exact" w:val="254"/>
              </w:trPr>
              <w:tc>
                <w:tcPr>
                  <w:tcW w:w="1605" w:type="dxa"/>
                  <w:shd w:val="clear" w:color="auto" w:fill="DBE5F1"/>
                  <w:vAlign w:val="bottom"/>
                </w:tcPr>
                <w:p w14:paraId="13C4D2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63" w:type="dxa"/>
                  <w:shd w:val="clear" w:color="auto" w:fill="DBE5F1"/>
                </w:tcPr>
                <w:p w14:paraId="00C1453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0,044</w:t>
                  </w:r>
                </w:p>
              </w:tc>
              <w:tc>
                <w:tcPr>
                  <w:tcW w:w="1310" w:type="dxa"/>
                  <w:shd w:val="clear" w:color="auto" w:fill="DBE5F1"/>
                </w:tcPr>
                <w:p w14:paraId="118878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0,027</w:t>
                  </w:r>
                </w:p>
              </w:tc>
              <w:tc>
                <w:tcPr>
                  <w:tcW w:w="1394" w:type="dxa"/>
                  <w:shd w:val="clear" w:color="auto" w:fill="DBE5F1"/>
                </w:tcPr>
                <w:p w14:paraId="3B7E628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0,198</w:t>
                  </w:r>
                </w:p>
              </w:tc>
              <w:tc>
                <w:tcPr>
                  <w:tcW w:w="1395" w:type="dxa"/>
                  <w:shd w:val="clear" w:color="auto" w:fill="DBE5F1"/>
                </w:tcPr>
                <w:p w14:paraId="7A9692B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0,264</w:t>
                  </w:r>
                </w:p>
              </w:tc>
            </w:tr>
            <w:tr w:rsidR="00600DEE" w14:paraId="7E28E6E3" w14:textId="77777777" w:rsidTr="00505091">
              <w:trPr>
                <w:trHeight w:hRule="exact" w:val="254"/>
              </w:trPr>
              <w:tc>
                <w:tcPr>
                  <w:tcW w:w="1605" w:type="dxa"/>
                  <w:shd w:val="clear" w:color="auto" w:fill="DBE5F1"/>
                  <w:vAlign w:val="bottom"/>
                </w:tcPr>
                <w:p w14:paraId="7994F47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63" w:type="dxa"/>
                  <w:shd w:val="clear" w:color="auto" w:fill="DBE5F1"/>
                </w:tcPr>
                <w:p w14:paraId="62725D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0,078</w:t>
                  </w:r>
                </w:p>
              </w:tc>
              <w:tc>
                <w:tcPr>
                  <w:tcW w:w="1310" w:type="dxa"/>
                  <w:shd w:val="clear" w:color="auto" w:fill="DBE5F1"/>
                </w:tcPr>
                <w:p w14:paraId="5866D3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0,055</w:t>
                  </w:r>
                </w:p>
              </w:tc>
              <w:tc>
                <w:tcPr>
                  <w:tcW w:w="1394" w:type="dxa"/>
                  <w:shd w:val="clear" w:color="auto" w:fill="DBE5F1"/>
                </w:tcPr>
                <w:p w14:paraId="7BDF8EF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0,212</w:t>
                  </w:r>
                </w:p>
              </w:tc>
              <w:tc>
                <w:tcPr>
                  <w:tcW w:w="1395" w:type="dxa"/>
                  <w:shd w:val="clear" w:color="auto" w:fill="DBE5F1"/>
                </w:tcPr>
                <w:p w14:paraId="4A7B7A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0,278</w:t>
                  </w:r>
                </w:p>
              </w:tc>
            </w:tr>
            <w:tr w:rsidR="00600DEE" w14:paraId="652A3430" w14:textId="77777777" w:rsidTr="00505091">
              <w:trPr>
                <w:trHeight w:hRule="exact" w:val="254"/>
              </w:trPr>
              <w:tc>
                <w:tcPr>
                  <w:tcW w:w="1605" w:type="dxa"/>
                  <w:shd w:val="clear" w:color="auto" w:fill="DBE5F1"/>
                  <w:vAlign w:val="bottom"/>
                </w:tcPr>
                <w:p w14:paraId="022E832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63" w:type="dxa"/>
                  <w:shd w:val="clear" w:color="auto" w:fill="DBE5F1"/>
                </w:tcPr>
                <w:p w14:paraId="4D6A769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0,122</w:t>
                  </w:r>
                </w:p>
              </w:tc>
              <w:tc>
                <w:tcPr>
                  <w:tcW w:w="1310" w:type="dxa"/>
                  <w:shd w:val="clear" w:color="auto" w:fill="DBE5F1"/>
                </w:tcPr>
                <w:p w14:paraId="085354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0,093</w:t>
                  </w:r>
                </w:p>
              </w:tc>
              <w:tc>
                <w:tcPr>
                  <w:tcW w:w="1394" w:type="dxa"/>
                  <w:shd w:val="clear" w:color="auto" w:fill="DBE5F1"/>
                </w:tcPr>
                <w:p w14:paraId="7FE7EDF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0,238</w:t>
                  </w:r>
                </w:p>
              </w:tc>
              <w:tc>
                <w:tcPr>
                  <w:tcW w:w="1395" w:type="dxa"/>
                  <w:shd w:val="clear" w:color="auto" w:fill="DBE5F1"/>
                </w:tcPr>
                <w:p w14:paraId="7FA12C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0,301</w:t>
                  </w:r>
                </w:p>
              </w:tc>
            </w:tr>
            <w:tr w:rsidR="00600DEE" w14:paraId="5C8E1D75" w14:textId="77777777" w:rsidTr="00505091">
              <w:trPr>
                <w:trHeight w:hRule="exact" w:val="254"/>
              </w:trPr>
              <w:tc>
                <w:tcPr>
                  <w:tcW w:w="1605" w:type="dxa"/>
                  <w:shd w:val="clear" w:color="auto" w:fill="DBE5F1"/>
                  <w:vAlign w:val="bottom"/>
                </w:tcPr>
                <w:p w14:paraId="1F20F92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63" w:type="dxa"/>
                  <w:shd w:val="clear" w:color="auto" w:fill="DBE5F1"/>
                </w:tcPr>
                <w:p w14:paraId="4F03B7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0,167</w:t>
                  </w:r>
                </w:p>
              </w:tc>
              <w:tc>
                <w:tcPr>
                  <w:tcW w:w="1310" w:type="dxa"/>
                  <w:shd w:val="clear" w:color="auto" w:fill="DBE5F1"/>
                </w:tcPr>
                <w:p w14:paraId="5C9F70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0,125</w:t>
                  </w:r>
                </w:p>
              </w:tc>
              <w:tc>
                <w:tcPr>
                  <w:tcW w:w="1394" w:type="dxa"/>
                  <w:shd w:val="clear" w:color="auto" w:fill="DBE5F1"/>
                </w:tcPr>
                <w:p w14:paraId="6B9FBAC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0,275</w:t>
                  </w:r>
                </w:p>
              </w:tc>
              <w:tc>
                <w:tcPr>
                  <w:tcW w:w="1395" w:type="dxa"/>
                  <w:shd w:val="clear" w:color="auto" w:fill="DBE5F1"/>
                </w:tcPr>
                <w:p w14:paraId="69CC45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0,325</w:t>
                  </w:r>
                </w:p>
              </w:tc>
            </w:tr>
            <w:tr w:rsidR="00600DEE" w14:paraId="68BCEBCB" w14:textId="77777777" w:rsidTr="00505091">
              <w:trPr>
                <w:trHeight w:hRule="exact" w:val="254"/>
              </w:trPr>
              <w:tc>
                <w:tcPr>
                  <w:tcW w:w="1605" w:type="dxa"/>
                  <w:shd w:val="clear" w:color="auto" w:fill="DBE5F1"/>
                  <w:vAlign w:val="bottom"/>
                </w:tcPr>
                <w:p w14:paraId="530D0A7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63" w:type="dxa"/>
                  <w:shd w:val="clear" w:color="auto" w:fill="DBE5F1"/>
                </w:tcPr>
                <w:p w14:paraId="36564A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0,199</w:t>
                  </w:r>
                </w:p>
              </w:tc>
              <w:tc>
                <w:tcPr>
                  <w:tcW w:w="1310" w:type="dxa"/>
                  <w:shd w:val="clear" w:color="auto" w:fill="DBE5F1"/>
                </w:tcPr>
                <w:p w14:paraId="2786F5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0,148</w:t>
                  </w:r>
                </w:p>
              </w:tc>
              <w:tc>
                <w:tcPr>
                  <w:tcW w:w="1394" w:type="dxa"/>
                  <w:shd w:val="clear" w:color="auto" w:fill="DBE5F1"/>
                </w:tcPr>
                <w:p w14:paraId="7F88987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0,306</w:t>
                  </w:r>
                </w:p>
              </w:tc>
              <w:tc>
                <w:tcPr>
                  <w:tcW w:w="1395" w:type="dxa"/>
                  <w:shd w:val="clear" w:color="auto" w:fill="DBE5F1"/>
                </w:tcPr>
                <w:p w14:paraId="364DFBA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0,343</w:t>
                  </w:r>
                </w:p>
              </w:tc>
            </w:tr>
            <w:tr w:rsidR="00600DEE" w14:paraId="5BA2F20B" w14:textId="77777777" w:rsidTr="00505091">
              <w:trPr>
                <w:trHeight w:hRule="exact" w:val="254"/>
              </w:trPr>
              <w:tc>
                <w:tcPr>
                  <w:tcW w:w="1605" w:type="dxa"/>
                  <w:shd w:val="clear" w:color="auto" w:fill="DBE5F1"/>
                  <w:vAlign w:val="bottom"/>
                </w:tcPr>
                <w:p w14:paraId="32AEC3A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63" w:type="dxa"/>
                  <w:shd w:val="clear" w:color="auto" w:fill="DBE5F1"/>
                </w:tcPr>
                <w:p w14:paraId="7595CA7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0,242</w:t>
                  </w:r>
                </w:p>
              </w:tc>
              <w:tc>
                <w:tcPr>
                  <w:tcW w:w="1310" w:type="dxa"/>
                  <w:shd w:val="clear" w:color="auto" w:fill="DBE5F1"/>
                </w:tcPr>
                <w:p w14:paraId="0E862D4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0,187</w:t>
                  </w:r>
                </w:p>
              </w:tc>
              <w:tc>
                <w:tcPr>
                  <w:tcW w:w="1394" w:type="dxa"/>
                  <w:shd w:val="clear" w:color="auto" w:fill="DBE5F1"/>
                </w:tcPr>
                <w:p w14:paraId="4C83A6A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0,359</w:t>
                  </w:r>
                </w:p>
              </w:tc>
              <w:tc>
                <w:tcPr>
                  <w:tcW w:w="1395" w:type="dxa"/>
                  <w:shd w:val="clear" w:color="auto" w:fill="DBE5F1"/>
                </w:tcPr>
                <w:p w14:paraId="719E294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0,368</w:t>
                  </w:r>
                </w:p>
              </w:tc>
            </w:tr>
          </w:tbl>
          <w:p w14:paraId="152C7B12"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667A2AAB"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77C3C6BF"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2CAC8B6B"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Ciągi drogowe jednojezdniowe</w:t>
            </w:r>
          </w:p>
          <w:p w14:paraId="726D4F6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skutków wypadków drogowych dla ciągów drogowych jednojezdniowych dla wariantów </w:t>
            </w:r>
            <w:proofErr w:type="spellStart"/>
            <w:r>
              <w:rPr>
                <w:rFonts w:ascii="Calibri" w:eastAsia="Calibri" w:hAnsi="Calibri" w:cs="Calibri"/>
                <w:color w:val="000000"/>
                <w:sz w:val="20"/>
                <w:szCs w:val="20"/>
              </w:rPr>
              <w:t>Wn</w:t>
            </w:r>
            <w:proofErr w:type="spellEnd"/>
            <w:r>
              <w:rPr>
                <w:rFonts w:ascii="Calibri" w:eastAsia="Calibri" w:hAnsi="Calibri" w:cs="Calibri"/>
                <w:color w:val="000000"/>
                <w:sz w:val="20"/>
                <w:szCs w:val="20"/>
              </w:rPr>
              <w:t xml:space="preserve"> i W0 wylicza się jako sumy kosztów lekko rannych, ciężko rannych, ofiar śmiertelnych oraz strat materialnych.</w:t>
            </w:r>
          </w:p>
          <w:p w14:paraId="668CF458" w14:textId="019F2E2F" w:rsidR="00600DEE" w:rsidRDefault="00641FB5">
            <w:pPr>
              <w:pBdr>
                <w:top w:val="nil"/>
                <w:left w:val="nil"/>
                <w:bottom w:val="nil"/>
                <w:right w:val="nil"/>
                <w:between w:val="nil"/>
              </w:pBdr>
              <w:spacing w:before="120" w:after="120"/>
              <w:jc w:val="both"/>
              <w:rPr>
                <w:rFonts w:ascii="Calibri" w:eastAsia="Calibri" w:hAnsi="Calibri" w:cs="Calibri"/>
                <w:b/>
                <w:i/>
                <w:color w:val="000000"/>
                <w:sz w:val="20"/>
                <w:szCs w:val="20"/>
                <w:vertAlign w:val="subscript"/>
              </w:rPr>
            </w:pPr>
            <w:r>
              <w:rPr>
                <w:rFonts w:ascii="Calibri" w:eastAsia="Calibri" w:hAnsi="Calibri" w:cs="Calibri"/>
                <w:color w:val="000000"/>
                <w:sz w:val="20"/>
                <w:szCs w:val="20"/>
              </w:rPr>
              <w:t>W przypadku ciągów drogowych jednojezdniowych, gęstość wypadków GW</w:t>
            </w:r>
            <w:r>
              <w:rPr>
                <w:rFonts w:ascii="Calibri" w:eastAsia="Calibri" w:hAnsi="Calibri" w:cs="Calibri"/>
                <w:b/>
                <w:i/>
                <w:color w:val="000000"/>
                <w:sz w:val="20"/>
                <w:szCs w:val="20"/>
                <w:vertAlign w:val="superscript"/>
              </w:rPr>
              <w:t>(1)</w:t>
            </w:r>
            <w:r>
              <w:rPr>
                <w:rFonts w:ascii="Calibri" w:eastAsia="Calibri" w:hAnsi="Calibri" w:cs="Calibri"/>
                <w:color w:val="000000"/>
                <w:sz w:val="20"/>
                <w:szCs w:val="20"/>
              </w:rPr>
              <w:t xml:space="preserve"> należy wyliczyć zgodnie z poniższą formułą, uwzględniając współczynnik lokalizacji drogi </w:t>
            </w:r>
            <w:r>
              <w:rPr>
                <w:rFonts w:ascii="Calibri" w:eastAsia="Calibri" w:hAnsi="Calibri" w:cs="Calibri"/>
                <w:color w:val="000000"/>
                <w:sz w:val="20"/>
                <w:szCs w:val="20"/>
              </w:rPr>
              <w:br/>
              <w:t xml:space="preserve">w zależności od województwa </w:t>
            </w:r>
            <w:r>
              <w:rPr>
                <w:rFonts w:ascii="Calibri" w:eastAsia="Calibri" w:hAnsi="Calibri" w:cs="Calibri"/>
                <w:b/>
                <w:i/>
                <w:color w:val="000000"/>
                <w:sz w:val="20"/>
                <w:szCs w:val="20"/>
              </w:rPr>
              <w:t>f</w:t>
            </w:r>
            <w:r>
              <w:rPr>
                <w:rFonts w:ascii="Calibri" w:eastAsia="Calibri" w:hAnsi="Calibri" w:cs="Calibri"/>
                <w:b/>
                <w:i/>
                <w:color w:val="000000"/>
                <w:sz w:val="20"/>
                <w:szCs w:val="20"/>
                <w:vertAlign w:val="superscript"/>
              </w:rPr>
              <w:t>(1)</w:t>
            </w:r>
            <w:r>
              <w:rPr>
                <w:rFonts w:ascii="Calibri" w:eastAsia="Calibri" w:hAnsi="Calibri" w:cs="Calibri"/>
                <w:b/>
                <w:i/>
                <w:color w:val="000000"/>
                <w:sz w:val="20"/>
                <w:szCs w:val="20"/>
                <w:vertAlign w:val="subscript"/>
              </w:rPr>
              <w:t>LDW</w:t>
            </w:r>
            <w:r w:rsidR="00897A74" w:rsidRPr="00897A74">
              <w:rPr>
                <w:rFonts w:ascii="Calibri" w:eastAsia="Calibri" w:hAnsi="Calibri" w:cs="Calibri"/>
                <w:b/>
                <w:i/>
                <w:color w:val="000000"/>
                <w:sz w:val="20"/>
                <w:szCs w:val="20"/>
              </w:rPr>
              <w:t>:</w:t>
            </w:r>
            <w:r>
              <w:rPr>
                <w:rFonts w:ascii="Calibri" w:eastAsia="Calibri" w:hAnsi="Calibri" w:cs="Calibri"/>
                <w:b/>
                <w:i/>
                <w:color w:val="000000"/>
                <w:sz w:val="20"/>
                <w:szCs w:val="20"/>
                <w:vertAlign w:val="subscript"/>
              </w:rPr>
              <w:t xml:space="preserve"> </w:t>
            </w:r>
          </w:p>
          <w:p w14:paraId="4886B59A" w14:textId="77777777" w:rsidR="00600DEE" w:rsidRDefault="00641FB5">
            <w:pPr>
              <w:pBdr>
                <w:top w:val="nil"/>
                <w:left w:val="nil"/>
                <w:bottom w:val="nil"/>
                <w:right w:val="nil"/>
                <w:between w:val="nil"/>
              </w:pBdr>
              <w:spacing w:before="120" w:after="120"/>
              <w:jc w:val="both"/>
              <w:rPr>
                <w:rFonts w:ascii="Calibri" w:eastAsia="Calibri" w:hAnsi="Calibri" w:cs="Calibri"/>
                <w:b/>
                <w:i/>
                <w:color w:val="000000"/>
                <w:sz w:val="20"/>
                <w:szCs w:val="20"/>
                <w:vertAlign w:val="subscript"/>
              </w:rPr>
            </w:pPr>
            <w:r>
              <w:rPr>
                <w:rFonts w:ascii="Calibri" w:eastAsia="Calibri" w:hAnsi="Calibri" w:cs="Calibri"/>
                <w:b/>
                <w:color w:val="000000"/>
                <w:sz w:val="20"/>
                <w:szCs w:val="20"/>
              </w:rPr>
              <w:lastRenderedPageBreak/>
              <w:t>GW</w:t>
            </w:r>
            <w:r>
              <w:rPr>
                <w:rFonts w:ascii="Calibri" w:eastAsia="Calibri" w:hAnsi="Calibri" w:cs="Calibri"/>
                <w:b/>
                <w:i/>
                <w:color w:val="000000"/>
                <w:sz w:val="20"/>
                <w:szCs w:val="20"/>
                <w:vertAlign w:val="superscript"/>
              </w:rPr>
              <w:t>(1)</w:t>
            </w:r>
            <w:r>
              <w:rPr>
                <w:rFonts w:ascii="Calibri" w:eastAsia="Calibri" w:hAnsi="Calibri" w:cs="Calibri"/>
                <w:b/>
                <w:i/>
                <w:color w:val="000000"/>
                <w:sz w:val="20"/>
                <w:szCs w:val="20"/>
              </w:rPr>
              <w:t xml:space="preserve"> = </w:t>
            </w:r>
            <w:proofErr w:type="spellStart"/>
            <w:r>
              <w:rPr>
                <w:rFonts w:ascii="Calibri" w:eastAsia="Calibri" w:hAnsi="Calibri" w:cs="Calibri"/>
                <w:b/>
                <w:color w:val="000000"/>
                <w:sz w:val="20"/>
                <w:szCs w:val="20"/>
              </w:rPr>
              <w:t>gw</w:t>
            </w:r>
            <w:proofErr w:type="spellEnd"/>
            <w:r>
              <w:rPr>
                <w:rFonts w:ascii="Calibri" w:eastAsia="Calibri" w:hAnsi="Calibri" w:cs="Calibri"/>
                <w:b/>
                <w:color w:val="000000"/>
                <w:sz w:val="20"/>
                <w:szCs w:val="20"/>
              </w:rPr>
              <w:t xml:space="preserve"> </w:t>
            </w:r>
            <w:r>
              <w:rPr>
                <w:rFonts w:ascii="Calibri" w:eastAsia="Calibri" w:hAnsi="Calibri" w:cs="Calibri"/>
                <w:b/>
                <w:i/>
                <w:color w:val="000000"/>
                <w:sz w:val="20"/>
                <w:szCs w:val="20"/>
              </w:rPr>
              <w:t>* f</w:t>
            </w:r>
            <w:r>
              <w:rPr>
                <w:rFonts w:ascii="Calibri" w:eastAsia="Calibri" w:hAnsi="Calibri" w:cs="Calibri"/>
                <w:b/>
                <w:i/>
                <w:color w:val="000000"/>
                <w:sz w:val="20"/>
                <w:szCs w:val="20"/>
                <w:vertAlign w:val="superscript"/>
              </w:rPr>
              <w:t>(1)</w:t>
            </w:r>
            <w:r>
              <w:rPr>
                <w:rFonts w:ascii="Calibri" w:eastAsia="Calibri" w:hAnsi="Calibri" w:cs="Calibri"/>
                <w:b/>
                <w:i/>
                <w:color w:val="000000"/>
                <w:sz w:val="20"/>
                <w:szCs w:val="20"/>
                <w:vertAlign w:val="subscript"/>
              </w:rPr>
              <w:t>LDW</w:t>
            </w:r>
          </w:p>
          <w:p w14:paraId="72F1A26B"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p w14:paraId="3AF0DC08" w14:textId="10CCA9B9"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14. Współczynnik gęstość wypadków dr</w:t>
            </w:r>
            <w:r w:rsidR="00897A74">
              <w:rPr>
                <w:rFonts w:ascii="Calibri" w:eastAsia="Calibri" w:hAnsi="Calibri" w:cs="Calibri"/>
                <w:b/>
                <w:color w:val="4F81BD"/>
                <w:sz w:val="20"/>
                <w:szCs w:val="20"/>
              </w:rPr>
              <w:t xml:space="preserve">ogowych </w:t>
            </w:r>
            <w:proofErr w:type="spellStart"/>
            <w:r w:rsidR="00897A74">
              <w:rPr>
                <w:rFonts w:ascii="Calibri" w:eastAsia="Calibri" w:hAnsi="Calibri" w:cs="Calibri"/>
                <w:b/>
                <w:color w:val="4F81BD"/>
                <w:sz w:val="20"/>
                <w:szCs w:val="20"/>
              </w:rPr>
              <w:t>gw</w:t>
            </w:r>
            <w:proofErr w:type="spellEnd"/>
            <w:r w:rsidR="00897A74">
              <w:rPr>
                <w:rFonts w:ascii="Calibri" w:eastAsia="Calibri" w:hAnsi="Calibri" w:cs="Calibri"/>
                <w:b/>
                <w:color w:val="4F81BD"/>
                <w:sz w:val="20"/>
                <w:szCs w:val="20"/>
              </w:rPr>
              <w:t xml:space="preserve"> dla ciągów drogowych</w:t>
            </w:r>
            <w:r>
              <w:rPr>
                <w:rFonts w:ascii="Calibri" w:eastAsia="Calibri" w:hAnsi="Calibri" w:cs="Calibri"/>
                <w:b/>
                <w:color w:val="4F81BD"/>
                <w:sz w:val="20"/>
                <w:szCs w:val="20"/>
              </w:rPr>
              <w:t xml:space="preserve"> jednojezdniowych [osób /km/rok]</w:t>
            </w:r>
          </w:p>
          <w:tbl>
            <w:tblPr>
              <w:tblStyle w:val="affffffffffffffffb"/>
              <w:tblW w:w="69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44"/>
              <w:gridCol w:w="1070"/>
              <w:gridCol w:w="1818"/>
              <w:gridCol w:w="1960"/>
            </w:tblGrid>
            <w:tr w:rsidR="00600DEE" w14:paraId="727791B9" w14:textId="77777777" w:rsidTr="00505091">
              <w:trPr>
                <w:trHeight w:hRule="exact" w:val="353"/>
              </w:trPr>
              <w:tc>
                <w:tcPr>
                  <w:tcW w:w="2144" w:type="dxa"/>
                  <w:vMerge w:val="restart"/>
                  <w:shd w:val="clear" w:color="auto" w:fill="A6A6A6"/>
                  <w:vAlign w:val="center"/>
                </w:tcPr>
                <w:p w14:paraId="4535EDCE"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070" w:type="dxa"/>
                  <w:vMerge w:val="restart"/>
                  <w:shd w:val="clear" w:color="auto" w:fill="A6A6A6"/>
                  <w:vAlign w:val="center"/>
                </w:tcPr>
                <w:p w14:paraId="40F0DBF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p>
              </w:tc>
              <w:tc>
                <w:tcPr>
                  <w:tcW w:w="3778" w:type="dxa"/>
                  <w:gridSpan w:val="2"/>
                  <w:shd w:val="clear" w:color="auto" w:fill="A6A6A6"/>
                  <w:vAlign w:val="center"/>
                </w:tcPr>
                <w:p w14:paraId="733279C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w:t>
                  </w:r>
                </w:p>
              </w:tc>
            </w:tr>
            <w:tr w:rsidR="00600DEE" w14:paraId="341DB6E5" w14:textId="77777777" w:rsidTr="00505091">
              <w:trPr>
                <w:trHeight w:val="164"/>
              </w:trPr>
              <w:tc>
                <w:tcPr>
                  <w:tcW w:w="2144" w:type="dxa"/>
                  <w:vMerge/>
                  <w:shd w:val="clear" w:color="auto" w:fill="A6A6A6"/>
                  <w:vAlign w:val="center"/>
                </w:tcPr>
                <w:p w14:paraId="701E67E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070" w:type="dxa"/>
                  <w:vMerge/>
                  <w:shd w:val="clear" w:color="auto" w:fill="A6A6A6"/>
                  <w:vAlign w:val="center"/>
                </w:tcPr>
                <w:p w14:paraId="5985194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818" w:type="dxa"/>
                  <w:shd w:val="clear" w:color="auto" w:fill="A6A6A6"/>
                  <w:vAlign w:val="center"/>
                </w:tcPr>
                <w:p w14:paraId="6228A013"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Teren niezabudowany</w:t>
                  </w:r>
                </w:p>
              </w:tc>
              <w:tc>
                <w:tcPr>
                  <w:tcW w:w="1959" w:type="dxa"/>
                  <w:shd w:val="clear" w:color="auto" w:fill="A6A6A6"/>
                  <w:vAlign w:val="center"/>
                </w:tcPr>
                <w:p w14:paraId="4B91D17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Teren zabudowany</w:t>
                  </w:r>
                </w:p>
              </w:tc>
            </w:tr>
            <w:tr w:rsidR="00600DEE" w14:paraId="2EE6A411" w14:textId="77777777" w:rsidTr="00505091">
              <w:trPr>
                <w:trHeight w:hRule="exact" w:val="236"/>
              </w:trPr>
              <w:tc>
                <w:tcPr>
                  <w:tcW w:w="2144" w:type="dxa"/>
                  <w:shd w:val="clear" w:color="auto" w:fill="DBE5F1"/>
                  <w:vAlign w:val="center"/>
                </w:tcPr>
                <w:p w14:paraId="72FE41E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070" w:type="dxa"/>
                  <w:shd w:val="clear" w:color="auto" w:fill="DBE5F1"/>
                  <w:vAlign w:val="center"/>
                </w:tcPr>
                <w:p w14:paraId="1F3375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w:t>
                  </w:r>
                </w:p>
              </w:tc>
              <w:tc>
                <w:tcPr>
                  <w:tcW w:w="1818" w:type="dxa"/>
                  <w:shd w:val="clear" w:color="auto" w:fill="DBE5F1"/>
                  <w:vAlign w:val="center"/>
                </w:tcPr>
                <w:p w14:paraId="143D80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c>
                <w:tcPr>
                  <w:tcW w:w="1959" w:type="dxa"/>
                  <w:shd w:val="clear" w:color="auto" w:fill="DBE5F1"/>
                  <w:vAlign w:val="center"/>
                </w:tcPr>
                <w:p w14:paraId="167C05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0,170</w:t>
                  </w:r>
                </w:p>
              </w:tc>
            </w:tr>
            <w:tr w:rsidR="00600DEE" w14:paraId="7D7B896A" w14:textId="77777777" w:rsidTr="00505091">
              <w:trPr>
                <w:trHeight w:hRule="exact" w:val="236"/>
              </w:trPr>
              <w:tc>
                <w:tcPr>
                  <w:tcW w:w="2144" w:type="dxa"/>
                  <w:shd w:val="clear" w:color="auto" w:fill="DBE5F1"/>
                  <w:vAlign w:val="center"/>
                </w:tcPr>
                <w:p w14:paraId="6130ED8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070" w:type="dxa"/>
                  <w:shd w:val="clear" w:color="auto" w:fill="DBE5F1"/>
                  <w:vAlign w:val="center"/>
                </w:tcPr>
                <w:p w14:paraId="2D1432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0,152</w:t>
                  </w:r>
                </w:p>
              </w:tc>
              <w:tc>
                <w:tcPr>
                  <w:tcW w:w="1818" w:type="dxa"/>
                  <w:shd w:val="clear" w:color="auto" w:fill="DBE5F1"/>
                  <w:vAlign w:val="center"/>
                </w:tcPr>
                <w:p w14:paraId="7AEABA4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0,244</w:t>
                  </w:r>
                </w:p>
              </w:tc>
              <w:tc>
                <w:tcPr>
                  <w:tcW w:w="1959" w:type="dxa"/>
                  <w:shd w:val="clear" w:color="auto" w:fill="DBE5F1"/>
                  <w:vAlign w:val="center"/>
                </w:tcPr>
                <w:p w14:paraId="19F8EB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0,369</w:t>
                  </w:r>
                </w:p>
              </w:tc>
            </w:tr>
            <w:tr w:rsidR="00600DEE" w14:paraId="40AAA824" w14:textId="77777777" w:rsidTr="00505091">
              <w:trPr>
                <w:trHeight w:hRule="exact" w:val="236"/>
              </w:trPr>
              <w:tc>
                <w:tcPr>
                  <w:tcW w:w="2144" w:type="dxa"/>
                  <w:shd w:val="clear" w:color="auto" w:fill="DBE5F1"/>
                  <w:vAlign w:val="center"/>
                </w:tcPr>
                <w:p w14:paraId="07539535" w14:textId="64A3D8D0"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070" w:type="dxa"/>
                  <w:shd w:val="clear" w:color="auto" w:fill="DBE5F1"/>
                  <w:vAlign w:val="center"/>
                </w:tcPr>
                <w:p w14:paraId="2C8FC2B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0,270</w:t>
                  </w:r>
                </w:p>
              </w:tc>
              <w:tc>
                <w:tcPr>
                  <w:tcW w:w="1818" w:type="dxa"/>
                  <w:shd w:val="clear" w:color="auto" w:fill="DBE5F1"/>
                  <w:vAlign w:val="center"/>
                </w:tcPr>
                <w:p w14:paraId="222E6D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0,435</w:t>
                  </w:r>
                </w:p>
              </w:tc>
              <w:tc>
                <w:tcPr>
                  <w:tcW w:w="1959" w:type="dxa"/>
                  <w:shd w:val="clear" w:color="auto" w:fill="DBE5F1"/>
                  <w:vAlign w:val="center"/>
                </w:tcPr>
                <w:p w14:paraId="6A3650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0,656</w:t>
                  </w:r>
                </w:p>
              </w:tc>
            </w:tr>
            <w:tr w:rsidR="00600DEE" w14:paraId="3457D2E6" w14:textId="77777777" w:rsidTr="00505091">
              <w:trPr>
                <w:trHeight w:hRule="exact" w:val="236"/>
              </w:trPr>
              <w:tc>
                <w:tcPr>
                  <w:tcW w:w="2144" w:type="dxa"/>
                  <w:shd w:val="clear" w:color="auto" w:fill="DBE5F1"/>
                  <w:vAlign w:val="center"/>
                </w:tcPr>
                <w:p w14:paraId="6E01529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070" w:type="dxa"/>
                  <w:shd w:val="clear" w:color="auto" w:fill="DBE5F1"/>
                  <w:vAlign w:val="center"/>
                </w:tcPr>
                <w:p w14:paraId="43CAE2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0,413</w:t>
                  </w:r>
                </w:p>
              </w:tc>
              <w:tc>
                <w:tcPr>
                  <w:tcW w:w="1818" w:type="dxa"/>
                  <w:shd w:val="clear" w:color="auto" w:fill="DBE5F1"/>
                  <w:vAlign w:val="center"/>
                </w:tcPr>
                <w:p w14:paraId="596E417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0,665</w:t>
                  </w:r>
                </w:p>
              </w:tc>
              <w:tc>
                <w:tcPr>
                  <w:tcW w:w="1959" w:type="dxa"/>
                  <w:shd w:val="clear" w:color="auto" w:fill="DBE5F1"/>
                  <w:vAlign w:val="center"/>
                </w:tcPr>
                <w:p w14:paraId="75D2D5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1,004</w:t>
                  </w:r>
                </w:p>
              </w:tc>
            </w:tr>
          </w:tbl>
          <w:p w14:paraId="28429673"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D928BE7"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15. Współczynnik lokalizacji drogi f</w:t>
            </w:r>
            <w:r>
              <w:rPr>
                <w:rFonts w:ascii="Calibri" w:eastAsia="Calibri" w:hAnsi="Calibri" w:cs="Calibri"/>
                <w:b/>
                <w:color w:val="4F81BD"/>
                <w:sz w:val="20"/>
                <w:szCs w:val="20"/>
                <w:vertAlign w:val="superscript"/>
              </w:rPr>
              <w:t>(1)</w:t>
            </w:r>
            <w:r>
              <w:rPr>
                <w:rFonts w:ascii="Calibri" w:eastAsia="Calibri" w:hAnsi="Calibri" w:cs="Calibri"/>
                <w:b/>
                <w:color w:val="4F81BD"/>
                <w:sz w:val="20"/>
                <w:szCs w:val="20"/>
                <w:vertAlign w:val="subscript"/>
              </w:rPr>
              <w:t>LDW</w:t>
            </w:r>
            <w:r>
              <w:rPr>
                <w:rFonts w:ascii="Calibri" w:eastAsia="Calibri" w:hAnsi="Calibri" w:cs="Calibri"/>
                <w:b/>
                <w:color w:val="4F81BD"/>
                <w:sz w:val="20"/>
                <w:szCs w:val="20"/>
              </w:rPr>
              <w:t>.</w:t>
            </w:r>
          </w:p>
          <w:tbl>
            <w:tblPr>
              <w:tblStyle w:val="affffffffffffffffc"/>
              <w:tblW w:w="69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13"/>
              <w:gridCol w:w="1118"/>
              <w:gridCol w:w="1883"/>
              <w:gridCol w:w="1868"/>
            </w:tblGrid>
            <w:tr w:rsidR="00600DEE" w14:paraId="34B5BAEA" w14:textId="77777777" w:rsidTr="00505091">
              <w:trPr>
                <w:trHeight w:hRule="exact" w:val="390"/>
              </w:trPr>
              <w:tc>
                <w:tcPr>
                  <w:tcW w:w="2113" w:type="dxa"/>
                  <w:shd w:val="clear" w:color="auto" w:fill="A6A6A6"/>
                  <w:vAlign w:val="center"/>
                </w:tcPr>
                <w:p w14:paraId="1A0DD36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Województwo</w:t>
                  </w:r>
                </w:p>
              </w:tc>
              <w:tc>
                <w:tcPr>
                  <w:tcW w:w="1118" w:type="dxa"/>
                  <w:shd w:val="clear" w:color="auto" w:fill="A6A6A6"/>
                  <w:vAlign w:val="center"/>
                </w:tcPr>
                <w:p w14:paraId="1F737F31"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c>
                <w:tcPr>
                  <w:tcW w:w="1883" w:type="dxa"/>
                  <w:shd w:val="clear" w:color="auto" w:fill="A6A6A6"/>
                  <w:vAlign w:val="center"/>
                </w:tcPr>
                <w:p w14:paraId="2CE348C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Województwo</w:t>
                  </w:r>
                </w:p>
              </w:tc>
              <w:tc>
                <w:tcPr>
                  <w:tcW w:w="1868" w:type="dxa"/>
                  <w:shd w:val="clear" w:color="auto" w:fill="A6A6A6"/>
                  <w:vAlign w:val="center"/>
                </w:tcPr>
                <w:p w14:paraId="266CBDAF"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r>
            <w:tr w:rsidR="00600DEE" w14:paraId="72080102" w14:textId="77777777" w:rsidTr="00505091">
              <w:trPr>
                <w:trHeight w:hRule="exact" w:val="227"/>
              </w:trPr>
              <w:tc>
                <w:tcPr>
                  <w:tcW w:w="2113" w:type="dxa"/>
                  <w:shd w:val="clear" w:color="auto" w:fill="DBE5F1"/>
                  <w:vAlign w:val="center"/>
                </w:tcPr>
                <w:p w14:paraId="3AD082C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dolnośląskie</w:t>
                  </w:r>
                </w:p>
              </w:tc>
              <w:tc>
                <w:tcPr>
                  <w:tcW w:w="1118" w:type="dxa"/>
                  <w:shd w:val="clear" w:color="auto" w:fill="DBE5F1"/>
                  <w:vAlign w:val="center"/>
                </w:tcPr>
                <w:p w14:paraId="6C3578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2,342</w:t>
                  </w:r>
                </w:p>
              </w:tc>
              <w:tc>
                <w:tcPr>
                  <w:tcW w:w="1883" w:type="dxa"/>
                  <w:shd w:val="clear" w:color="auto" w:fill="DBE5F1"/>
                  <w:vAlign w:val="center"/>
                </w:tcPr>
                <w:p w14:paraId="5A54759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podkarpackie</w:t>
                  </w:r>
                </w:p>
              </w:tc>
              <w:tc>
                <w:tcPr>
                  <w:tcW w:w="1868" w:type="dxa"/>
                  <w:shd w:val="clear" w:color="auto" w:fill="DBE5F1"/>
                  <w:vAlign w:val="center"/>
                </w:tcPr>
                <w:p w14:paraId="7530F3D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22813B22" w14:textId="77777777" w:rsidTr="00505091">
              <w:trPr>
                <w:trHeight w:hRule="exact" w:val="227"/>
              </w:trPr>
              <w:tc>
                <w:tcPr>
                  <w:tcW w:w="2113" w:type="dxa"/>
                  <w:shd w:val="clear" w:color="auto" w:fill="DBE5F1"/>
                  <w:vAlign w:val="center"/>
                </w:tcPr>
                <w:p w14:paraId="381B8B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kujawsko-pomorskie</w:t>
                  </w:r>
                </w:p>
              </w:tc>
              <w:tc>
                <w:tcPr>
                  <w:tcW w:w="1118" w:type="dxa"/>
                  <w:shd w:val="clear" w:color="auto" w:fill="DBE5F1"/>
                  <w:vAlign w:val="center"/>
                </w:tcPr>
                <w:p w14:paraId="13C9957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1,696</w:t>
                  </w:r>
                </w:p>
              </w:tc>
              <w:tc>
                <w:tcPr>
                  <w:tcW w:w="1883" w:type="dxa"/>
                  <w:shd w:val="clear" w:color="auto" w:fill="DBE5F1"/>
                  <w:vAlign w:val="center"/>
                </w:tcPr>
                <w:p w14:paraId="377772C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podlaskie</w:t>
                  </w:r>
                </w:p>
              </w:tc>
              <w:tc>
                <w:tcPr>
                  <w:tcW w:w="1868" w:type="dxa"/>
                  <w:shd w:val="clear" w:color="auto" w:fill="DBE5F1"/>
                  <w:vAlign w:val="center"/>
                </w:tcPr>
                <w:p w14:paraId="7C7B55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1,760</w:t>
                  </w:r>
                </w:p>
              </w:tc>
            </w:tr>
            <w:tr w:rsidR="00600DEE" w14:paraId="3FBDD39E" w14:textId="77777777" w:rsidTr="00505091">
              <w:trPr>
                <w:trHeight w:hRule="exact" w:val="227"/>
              </w:trPr>
              <w:tc>
                <w:tcPr>
                  <w:tcW w:w="2113" w:type="dxa"/>
                  <w:shd w:val="clear" w:color="auto" w:fill="DBE5F1"/>
                  <w:vAlign w:val="center"/>
                </w:tcPr>
                <w:p w14:paraId="52C64F8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lubelskie</w:t>
                  </w:r>
                </w:p>
              </w:tc>
              <w:tc>
                <w:tcPr>
                  <w:tcW w:w="1118" w:type="dxa"/>
                  <w:shd w:val="clear" w:color="auto" w:fill="DBE5F1"/>
                  <w:vAlign w:val="center"/>
                </w:tcPr>
                <w:p w14:paraId="1CE504F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2,405</w:t>
                  </w:r>
                </w:p>
              </w:tc>
              <w:tc>
                <w:tcPr>
                  <w:tcW w:w="1883" w:type="dxa"/>
                  <w:shd w:val="clear" w:color="auto" w:fill="DBE5F1"/>
                  <w:vAlign w:val="center"/>
                </w:tcPr>
                <w:p w14:paraId="18FD6B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pomorskie</w:t>
                  </w:r>
                </w:p>
              </w:tc>
              <w:tc>
                <w:tcPr>
                  <w:tcW w:w="1868" w:type="dxa"/>
                  <w:shd w:val="clear" w:color="auto" w:fill="DBE5F1"/>
                  <w:vAlign w:val="center"/>
                </w:tcPr>
                <w:p w14:paraId="4D0479B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2,317</w:t>
                  </w:r>
                </w:p>
              </w:tc>
            </w:tr>
            <w:tr w:rsidR="00600DEE" w14:paraId="3D31CB4C" w14:textId="77777777" w:rsidTr="00505091">
              <w:trPr>
                <w:trHeight w:hRule="exact" w:val="227"/>
              </w:trPr>
              <w:tc>
                <w:tcPr>
                  <w:tcW w:w="2113" w:type="dxa"/>
                  <w:shd w:val="clear" w:color="auto" w:fill="DBE5F1"/>
                  <w:vAlign w:val="center"/>
                </w:tcPr>
                <w:p w14:paraId="706C3D7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lubuskie</w:t>
                  </w:r>
                </w:p>
              </w:tc>
              <w:tc>
                <w:tcPr>
                  <w:tcW w:w="1118" w:type="dxa"/>
                  <w:shd w:val="clear" w:color="auto" w:fill="DBE5F1"/>
                  <w:vAlign w:val="center"/>
                </w:tcPr>
                <w:p w14:paraId="037E319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1,742</w:t>
                  </w:r>
                </w:p>
              </w:tc>
              <w:tc>
                <w:tcPr>
                  <w:tcW w:w="1883" w:type="dxa"/>
                  <w:shd w:val="clear" w:color="auto" w:fill="DBE5F1"/>
                  <w:vAlign w:val="center"/>
                </w:tcPr>
                <w:p w14:paraId="1B40DB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śląskie</w:t>
                  </w:r>
                </w:p>
              </w:tc>
              <w:tc>
                <w:tcPr>
                  <w:tcW w:w="1868" w:type="dxa"/>
                  <w:shd w:val="clear" w:color="auto" w:fill="DBE5F1"/>
                  <w:vAlign w:val="center"/>
                </w:tcPr>
                <w:p w14:paraId="223743D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2,833</w:t>
                  </w:r>
                </w:p>
              </w:tc>
            </w:tr>
            <w:tr w:rsidR="00600DEE" w14:paraId="481EF1E4" w14:textId="77777777" w:rsidTr="00505091">
              <w:trPr>
                <w:trHeight w:hRule="exact" w:val="227"/>
              </w:trPr>
              <w:tc>
                <w:tcPr>
                  <w:tcW w:w="2113" w:type="dxa"/>
                  <w:shd w:val="clear" w:color="auto" w:fill="DBE5F1"/>
                  <w:vAlign w:val="center"/>
                </w:tcPr>
                <w:p w14:paraId="3A50EDB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łódzkie</w:t>
                  </w:r>
                </w:p>
              </w:tc>
              <w:tc>
                <w:tcPr>
                  <w:tcW w:w="1118" w:type="dxa"/>
                  <w:shd w:val="clear" w:color="auto" w:fill="DBE5F1"/>
                  <w:vAlign w:val="center"/>
                </w:tcPr>
                <w:p w14:paraId="4DBB52E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2,701</w:t>
                  </w:r>
                </w:p>
              </w:tc>
              <w:tc>
                <w:tcPr>
                  <w:tcW w:w="1883" w:type="dxa"/>
                  <w:shd w:val="clear" w:color="auto" w:fill="DBE5F1"/>
                  <w:vAlign w:val="center"/>
                </w:tcPr>
                <w:p w14:paraId="26692D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świętokrzyskie</w:t>
                  </w:r>
                </w:p>
              </w:tc>
              <w:tc>
                <w:tcPr>
                  <w:tcW w:w="1868" w:type="dxa"/>
                  <w:shd w:val="clear" w:color="auto" w:fill="DBE5F1"/>
                  <w:vAlign w:val="center"/>
                </w:tcPr>
                <w:p w14:paraId="2C0B49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6F9A872C" w14:textId="77777777" w:rsidTr="00505091">
              <w:trPr>
                <w:trHeight w:hRule="exact" w:val="227"/>
              </w:trPr>
              <w:tc>
                <w:tcPr>
                  <w:tcW w:w="2113" w:type="dxa"/>
                  <w:shd w:val="clear" w:color="auto" w:fill="DBE5F1"/>
                  <w:vAlign w:val="center"/>
                </w:tcPr>
                <w:p w14:paraId="6632A2E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małopolskie</w:t>
                  </w:r>
                </w:p>
              </w:tc>
              <w:tc>
                <w:tcPr>
                  <w:tcW w:w="1118" w:type="dxa"/>
                  <w:shd w:val="clear" w:color="auto" w:fill="DBE5F1"/>
                  <w:vAlign w:val="center"/>
                </w:tcPr>
                <w:p w14:paraId="3FA0410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2,788</w:t>
                  </w:r>
                </w:p>
              </w:tc>
              <w:tc>
                <w:tcPr>
                  <w:tcW w:w="1883" w:type="dxa"/>
                  <w:shd w:val="clear" w:color="auto" w:fill="DBE5F1"/>
                  <w:vAlign w:val="center"/>
                </w:tcPr>
                <w:p w14:paraId="01EC4D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warmińsko-mazurskie</w:t>
                  </w:r>
                </w:p>
              </w:tc>
              <w:tc>
                <w:tcPr>
                  <w:tcW w:w="1868" w:type="dxa"/>
                  <w:shd w:val="clear" w:color="auto" w:fill="DBE5F1"/>
                  <w:vAlign w:val="center"/>
                </w:tcPr>
                <w:p w14:paraId="6178BA9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2,617</w:t>
                  </w:r>
                </w:p>
              </w:tc>
            </w:tr>
            <w:tr w:rsidR="00600DEE" w14:paraId="5E8E4900" w14:textId="77777777" w:rsidTr="00505091">
              <w:trPr>
                <w:trHeight w:hRule="exact" w:val="227"/>
              </w:trPr>
              <w:tc>
                <w:tcPr>
                  <w:tcW w:w="2113" w:type="dxa"/>
                  <w:shd w:val="clear" w:color="auto" w:fill="DBE5F1"/>
                  <w:vAlign w:val="center"/>
                </w:tcPr>
                <w:p w14:paraId="164097C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mazowieckie</w:t>
                  </w:r>
                </w:p>
              </w:tc>
              <w:tc>
                <w:tcPr>
                  <w:tcW w:w="1118" w:type="dxa"/>
                  <w:shd w:val="clear" w:color="auto" w:fill="DBE5F1"/>
                  <w:vAlign w:val="center"/>
                </w:tcPr>
                <w:p w14:paraId="470C4DD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2,096</w:t>
                  </w:r>
                </w:p>
              </w:tc>
              <w:tc>
                <w:tcPr>
                  <w:tcW w:w="1883" w:type="dxa"/>
                  <w:shd w:val="clear" w:color="auto" w:fill="DBE5F1"/>
                  <w:vAlign w:val="center"/>
                </w:tcPr>
                <w:p w14:paraId="3E131E0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wielkopolskie</w:t>
                  </w:r>
                </w:p>
              </w:tc>
              <w:tc>
                <w:tcPr>
                  <w:tcW w:w="1868" w:type="dxa"/>
                  <w:shd w:val="clear" w:color="auto" w:fill="DBE5F1"/>
                  <w:vAlign w:val="center"/>
                </w:tcPr>
                <w:p w14:paraId="7E74B6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1,936</w:t>
                  </w:r>
                </w:p>
              </w:tc>
            </w:tr>
            <w:tr w:rsidR="00600DEE" w14:paraId="517E00A6" w14:textId="77777777" w:rsidTr="00505091">
              <w:trPr>
                <w:trHeight w:hRule="exact" w:val="227"/>
              </w:trPr>
              <w:tc>
                <w:tcPr>
                  <w:tcW w:w="2113" w:type="dxa"/>
                  <w:shd w:val="clear" w:color="auto" w:fill="DBE5F1"/>
                  <w:vAlign w:val="center"/>
                </w:tcPr>
                <w:p w14:paraId="1393660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opolskie</w:t>
                  </w:r>
                </w:p>
              </w:tc>
              <w:tc>
                <w:tcPr>
                  <w:tcW w:w="1118" w:type="dxa"/>
                  <w:shd w:val="clear" w:color="auto" w:fill="DBE5F1"/>
                  <w:vAlign w:val="center"/>
                </w:tcPr>
                <w:p w14:paraId="18BE235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2,063</w:t>
                  </w:r>
                </w:p>
              </w:tc>
              <w:tc>
                <w:tcPr>
                  <w:tcW w:w="1883" w:type="dxa"/>
                  <w:shd w:val="clear" w:color="auto" w:fill="DBE5F1"/>
                  <w:vAlign w:val="center"/>
                </w:tcPr>
                <w:p w14:paraId="515F74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zachodniopomorskie</w:t>
                  </w:r>
                </w:p>
              </w:tc>
              <w:tc>
                <w:tcPr>
                  <w:tcW w:w="1868" w:type="dxa"/>
                  <w:shd w:val="clear" w:color="auto" w:fill="DBE5F1"/>
                  <w:vAlign w:val="center"/>
                </w:tcPr>
                <w:p w14:paraId="55F9214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1,886</w:t>
                  </w:r>
                </w:p>
              </w:tc>
            </w:tr>
          </w:tbl>
          <w:p w14:paraId="69EBBD10"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Metoda wskaźników BRD</w:t>
            </w:r>
          </w:p>
          <w:p w14:paraId="13C10A13" w14:textId="7DED70A9" w:rsidR="00600DEE" w:rsidRDefault="00641FB5">
            <w:pPr>
              <w:pBdr>
                <w:top w:val="nil"/>
                <w:left w:val="nil"/>
                <w:bottom w:val="nil"/>
                <w:right w:val="nil"/>
                <w:between w:val="nil"/>
              </w:pBdr>
              <w:spacing w:before="120" w:after="120"/>
              <w:ind w:left="851" w:hanging="851"/>
              <w:jc w:val="both"/>
              <w:rPr>
                <w:rFonts w:ascii="Calibri" w:eastAsia="Calibri" w:hAnsi="Calibri" w:cs="Calibri"/>
                <w:b/>
                <w:color w:val="4F81BD"/>
                <w:sz w:val="20"/>
                <w:szCs w:val="20"/>
              </w:rPr>
            </w:pPr>
            <w:r>
              <w:rPr>
                <w:rFonts w:ascii="Calibri" w:eastAsia="Calibri" w:hAnsi="Calibri" w:cs="Calibri"/>
                <w:b/>
                <w:color w:val="4F81BD"/>
                <w:sz w:val="20"/>
                <w:szCs w:val="20"/>
              </w:rPr>
              <w:t>Tabela 16. Gęstość rannych (GR) w wypadkach dr</w:t>
            </w:r>
            <w:r w:rsidR="00897A74">
              <w:rPr>
                <w:rFonts w:ascii="Calibri" w:eastAsia="Calibri" w:hAnsi="Calibri" w:cs="Calibri"/>
                <w:b/>
                <w:color w:val="4F81BD"/>
                <w:sz w:val="20"/>
                <w:szCs w:val="20"/>
              </w:rPr>
              <w:t>ogowych dla ciągów drogowych</w:t>
            </w:r>
            <w:r w:rsidR="00897A74">
              <w:rPr>
                <w:rFonts w:ascii="Calibri" w:eastAsia="Calibri" w:hAnsi="Calibri" w:cs="Calibri"/>
                <w:b/>
                <w:color w:val="4F81BD"/>
                <w:sz w:val="20"/>
                <w:szCs w:val="20"/>
              </w:rPr>
              <w:br/>
              <w:t xml:space="preserve"> </w:t>
            </w:r>
            <w:r>
              <w:rPr>
                <w:rFonts w:ascii="Calibri" w:eastAsia="Calibri" w:hAnsi="Calibri" w:cs="Calibri"/>
                <w:b/>
                <w:color w:val="4F81BD"/>
                <w:sz w:val="20"/>
                <w:szCs w:val="20"/>
              </w:rPr>
              <w:t xml:space="preserve">jednojezdniowych [osób / km / rok] </w:t>
            </w:r>
          </w:p>
          <w:tbl>
            <w:tblPr>
              <w:tblStyle w:val="affffffffffffffffd"/>
              <w:tblW w:w="69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721"/>
              <w:gridCol w:w="1180"/>
              <w:gridCol w:w="1938"/>
              <w:gridCol w:w="2077"/>
            </w:tblGrid>
            <w:tr w:rsidR="00600DEE" w14:paraId="434CF95F" w14:textId="77777777" w:rsidTr="00505091">
              <w:trPr>
                <w:trHeight w:val="139"/>
              </w:trPr>
              <w:tc>
                <w:tcPr>
                  <w:tcW w:w="1721" w:type="dxa"/>
                  <w:vMerge w:val="restart"/>
                  <w:shd w:val="clear" w:color="auto" w:fill="A6A6A6"/>
                  <w:vAlign w:val="center"/>
                </w:tcPr>
                <w:p w14:paraId="6FAC26A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5195" w:type="dxa"/>
                  <w:gridSpan w:val="3"/>
                  <w:shd w:val="clear" w:color="auto" w:fill="A6A6A6"/>
                  <w:vAlign w:val="center"/>
                </w:tcPr>
                <w:p w14:paraId="3A53FE3B"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GR</w:t>
                  </w:r>
                </w:p>
              </w:tc>
            </w:tr>
            <w:tr w:rsidR="00600DEE" w14:paraId="002F629D" w14:textId="77777777" w:rsidTr="00505091">
              <w:trPr>
                <w:trHeight w:val="209"/>
              </w:trPr>
              <w:tc>
                <w:tcPr>
                  <w:tcW w:w="1721" w:type="dxa"/>
                  <w:vMerge/>
                  <w:shd w:val="clear" w:color="auto" w:fill="A6A6A6"/>
                  <w:vAlign w:val="center"/>
                </w:tcPr>
                <w:p w14:paraId="7B07867A"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180" w:type="dxa"/>
                  <w:shd w:val="clear" w:color="auto" w:fill="A6A6A6"/>
                  <w:vAlign w:val="center"/>
                </w:tcPr>
                <w:p w14:paraId="6ABEF5C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p>
              </w:tc>
              <w:tc>
                <w:tcPr>
                  <w:tcW w:w="1938" w:type="dxa"/>
                  <w:shd w:val="clear" w:color="auto" w:fill="A6A6A6"/>
                  <w:vAlign w:val="center"/>
                </w:tcPr>
                <w:p w14:paraId="3AE785B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 teren niezabudowany</w:t>
                  </w:r>
                </w:p>
              </w:tc>
              <w:tc>
                <w:tcPr>
                  <w:tcW w:w="2076" w:type="dxa"/>
                  <w:shd w:val="clear" w:color="auto" w:fill="A6A6A6"/>
                  <w:vAlign w:val="center"/>
                </w:tcPr>
                <w:p w14:paraId="5F01C70C"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w:t>
                  </w:r>
                </w:p>
                <w:p w14:paraId="623E041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teren zabudowany</w:t>
                  </w:r>
                </w:p>
              </w:tc>
            </w:tr>
            <w:tr w:rsidR="00600DEE" w14:paraId="68949828" w14:textId="77777777" w:rsidTr="00505091">
              <w:trPr>
                <w:trHeight w:val="216"/>
              </w:trPr>
              <w:tc>
                <w:tcPr>
                  <w:tcW w:w="1721" w:type="dxa"/>
                  <w:shd w:val="clear" w:color="auto" w:fill="DBE5F1"/>
                  <w:vAlign w:val="center"/>
                </w:tcPr>
                <w:p w14:paraId="34E6D15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180" w:type="dxa"/>
                  <w:shd w:val="clear" w:color="auto" w:fill="DBE5F1"/>
                  <w:vAlign w:val="center"/>
                </w:tcPr>
                <w:p w14:paraId="15FABCB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0,175</w:t>
                  </w:r>
                </w:p>
              </w:tc>
              <w:tc>
                <w:tcPr>
                  <w:tcW w:w="1938" w:type="dxa"/>
                  <w:shd w:val="clear" w:color="auto" w:fill="DBE5F1"/>
                  <w:vAlign w:val="center"/>
                </w:tcPr>
                <w:p w14:paraId="4F25CD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0,323</w:t>
                  </w:r>
                </w:p>
              </w:tc>
              <w:tc>
                <w:tcPr>
                  <w:tcW w:w="2076" w:type="dxa"/>
                  <w:shd w:val="clear" w:color="auto" w:fill="DBE5F1"/>
                  <w:vAlign w:val="center"/>
                </w:tcPr>
                <w:p w14:paraId="785178C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0,441</w:t>
                  </w:r>
                </w:p>
              </w:tc>
            </w:tr>
            <w:tr w:rsidR="00600DEE" w14:paraId="3038BD26" w14:textId="77777777" w:rsidTr="00505091">
              <w:trPr>
                <w:trHeight w:val="110"/>
              </w:trPr>
              <w:tc>
                <w:tcPr>
                  <w:tcW w:w="1721" w:type="dxa"/>
                  <w:shd w:val="clear" w:color="auto" w:fill="DBE5F1"/>
                  <w:vAlign w:val="center"/>
                </w:tcPr>
                <w:p w14:paraId="279E13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180" w:type="dxa"/>
                  <w:shd w:val="clear" w:color="auto" w:fill="DBE5F1"/>
                  <w:vAlign w:val="center"/>
                </w:tcPr>
                <w:p w14:paraId="7654194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0,404</w:t>
                  </w:r>
                </w:p>
              </w:tc>
              <w:tc>
                <w:tcPr>
                  <w:tcW w:w="1938" w:type="dxa"/>
                  <w:shd w:val="clear" w:color="auto" w:fill="DBE5F1"/>
                  <w:vAlign w:val="center"/>
                </w:tcPr>
                <w:p w14:paraId="135A425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0,804</w:t>
                  </w:r>
                </w:p>
              </w:tc>
              <w:tc>
                <w:tcPr>
                  <w:tcW w:w="2076" w:type="dxa"/>
                  <w:shd w:val="clear" w:color="auto" w:fill="DBE5F1"/>
                  <w:vAlign w:val="center"/>
                </w:tcPr>
                <w:p w14:paraId="08AEAD3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1,042</w:t>
                  </w:r>
                </w:p>
              </w:tc>
            </w:tr>
            <w:tr w:rsidR="00600DEE" w14:paraId="5011B53A" w14:textId="77777777" w:rsidTr="00505091">
              <w:trPr>
                <w:trHeight w:val="168"/>
              </w:trPr>
              <w:tc>
                <w:tcPr>
                  <w:tcW w:w="1721" w:type="dxa"/>
                  <w:shd w:val="clear" w:color="auto" w:fill="DBE5F1"/>
                  <w:vAlign w:val="center"/>
                </w:tcPr>
                <w:p w14:paraId="0BBD394B" w14:textId="68F15E80"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180" w:type="dxa"/>
                  <w:shd w:val="clear" w:color="auto" w:fill="DBE5F1"/>
                  <w:vAlign w:val="center"/>
                </w:tcPr>
                <w:p w14:paraId="754BA7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0,742</w:t>
                  </w:r>
                </w:p>
              </w:tc>
              <w:tc>
                <w:tcPr>
                  <w:tcW w:w="1938" w:type="dxa"/>
                  <w:shd w:val="clear" w:color="auto" w:fill="DBE5F1"/>
                  <w:vAlign w:val="center"/>
                </w:tcPr>
                <w:p w14:paraId="726958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1,527</w:t>
                  </w:r>
                </w:p>
              </w:tc>
              <w:tc>
                <w:tcPr>
                  <w:tcW w:w="2076" w:type="dxa"/>
                  <w:shd w:val="clear" w:color="auto" w:fill="DBE5F1"/>
                  <w:vAlign w:val="center"/>
                </w:tcPr>
                <w:p w14:paraId="4E7A977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1,932</w:t>
                  </w:r>
                </w:p>
              </w:tc>
            </w:tr>
            <w:tr w:rsidR="00600DEE" w14:paraId="2F5089C8" w14:textId="77777777" w:rsidTr="00505091">
              <w:trPr>
                <w:trHeight w:val="211"/>
              </w:trPr>
              <w:tc>
                <w:tcPr>
                  <w:tcW w:w="1721" w:type="dxa"/>
                  <w:shd w:val="clear" w:color="auto" w:fill="DBE5F1"/>
                  <w:vAlign w:val="center"/>
                </w:tcPr>
                <w:p w14:paraId="52625BB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180" w:type="dxa"/>
                  <w:shd w:val="clear" w:color="auto" w:fill="DBE5F1"/>
                  <w:vAlign w:val="center"/>
                </w:tcPr>
                <w:p w14:paraId="2265800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938" w:type="dxa"/>
                  <w:shd w:val="clear" w:color="auto" w:fill="DBE5F1"/>
                  <w:vAlign w:val="center"/>
                </w:tcPr>
                <w:p w14:paraId="2AED72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2,246</w:t>
                  </w:r>
                </w:p>
              </w:tc>
              <w:tc>
                <w:tcPr>
                  <w:tcW w:w="2076" w:type="dxa"/>
                  <w:shd w:val="clear" w:color="auto" w:fill="DBE5F1"/>
                  <w:vAlign w:val="center"/>
                </w:tcPr>
                <w:p w14:paraId="7257D9E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2,882</w:t>
                  </w:r>
                </w:p>
              </w:tc>
            </w:tr>
          </w:tbl>
          <w:p w14:paraId="3FC27D1F"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76797A82"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17. Gęstość ciężko rannych (GCR) oraz gęstość zabitych (GZ) w wypadkach</w:t>
            </w:r>
            <w:r>
              <w:rPr>
                <w:rFonts w:ascii="Calibri" w:eastAsia="Calibri" w:hAnsi="Calibri" w:cs="Calibri"/>
                <w:b/>
                <w:color w:val="4F81BD"/>
                <w:sz w:val="20"/>
                <w:szCs w:val="20"/>
              </w:rPr>
              <w:br/>
              <w:t xml:space="preserve">drogowych dla ciągów drogowych jednojezdniowych [osób / km / rok] </w:t>
            </w:r>
          </w:p>
          <w:tbl>
            <w:tblPr>
              <w:tblStyle w:val="affffffffffffffffe"/>
              <w:tblW w:w="69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05"/>
              <w:gridCol w:w="998"/>
              <w:gridCol w:w="1400"/>
              <w:gridCol w:w="1938"/>
              <w:gridCol w:w="967"/>
            </w:tblGrid>
            <w:tr w:rsidR="00600DEE" w14:paraId="697098A4" w14:textId="77777777" w:rsidTr="00505091">
              <w:trPr>
                <w:trHeight w:hRule="exact" w:val="513"/>
              </w:trPr>
              <w:tc>
                <w:tcPr>
                  <w:tcW w:w="1605" w:type="dxa"/>
                  <w:vMerge w:val="restart"/>
                  <w:shd w:val="clear" w:color="auto" w:fill="A6A6A6"/>
                  <w:vAlign w:val="center"/>
                </w:tcPr>
                <w:p w14:paraId="2D5DCD6E"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4336" w:type="dxa"/>
                  <w:gridSpan w:val="3"/>
                  <w:shd w:val="clear" w:color="auto" w:fill="A6A6A6"/>
                  <w:vAlign w:val="center"/>
                </w:tcPr>
                <w:p w14:paraId="029EC6B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GCR</w:t>
                  </w:r>
                </w:p>
              </w:tc>
              <w:tc>
                <w:tcPr>
                  <w:tcW w:w="967" w:type="dxa"/>
                  <w:vMerge w:val="restart"/>
                  <w:shd w:val="clear" w:color="auto" w:fill="A6A6A6"/>
                  <w:vAlign w:val="center"/>
                </w:tcPr>
                <w:p w14:paraId="2039EE1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GZ</w:t>
                  </w:r>
                </w:p>
              </w:tc>
            </w:tr>
            <w:tr w:rsidR="00600DEE" w14:paraId="561E1576" w14:textId="77777777" w:rsidTr="00505091">
              <w:trPr>
                <w:trHeight w:val="385"/>
              </w:trPr>
              <w:tc>
                <w:tcPr>
                  <w:tcW w:w="1605" w:type="dxa"/>
                  <w:vMerge/>
                  <w:shd w:val="clear" w:color="auto" w:fill="A6A6A6"/>
                  <w:vAlign w:val="center"/>
                </w:tcPr>
                <w:p w14:paraId="1F9CAEB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998" w:type="dxa"/>
                  <w:shd w:val="clear" w:color="auto" w:fill="A6A6A6"/>
                  <w:vAlign w:val="center"/>
                </w:tcPr>
                <w:p w14:paraId="58E73B8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p>
              </w:tc>
              <w:tc>
                <w:tcPr>
                  <w:tcW w:w="1400" w:type="dxa"/>
                  <w:shd w:val="clear" w:color="auto" w:fill="A6A6A6"/>
                  <w:vAlign w:val="center"/>
                </w:tcPr>
                <w:p w14:paraId="39E2B75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 teren niezabudowany</w:t>
                  </w:r>
                </w:p>
              </w:tc>
              <w:tc>
                <w:tcPr>
                  <w:tcW w:w="1936" w:type="dxa"/>
                  <w:shd w:val="clear" w:color="auto" w:fill="A6A6A6"/>
                  <w:vAlign w:val="center"/>
                </w:tcPr>
                <w:p w14:paraId="499FE7D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 teren zabudowany</w:t>
                  </w:r>
                </w:p>
              </w:tc>
              <w:tc>
                <w:tcPr>
                  <w:tcW w:w="967" w:type="dxa"/>
                  <w:vMerge/>
                  <w:shd w:val="clear" w:color="auto" w:fill="A6A6A6"/>
                  <w:vAlign w:val="center"/>
                </w:tcPr>
                <w:p w14:paraId="168DB9D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r>
            <w:tr w:rsidR="00600DEE" w14:paraId="770DCA32" w14:textId="77777777" w:rsidTr="00505091">
              <w:trPr>
                <w:trHeight w:val="108"/>
              </w:trPr>
              <w:tc>
                <w:tcPr>
                  <w:tcW w:w="1605" w:type="dxa"/>
                  <w:shd w:val="clear" w:color="auto" w:fill="DBE5F1"/>
                  <w:vAlign w:val="center"/>
                </w:tcPr>
                <w:p w14:paraId="5B2A32D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998" w:type="dxa"/>
                  <w:shd w:val="clear" w:color="auto" w:fill="DBE5F1"/>
                  <w:vAlign w:val="center"/>
                </w:tcPr>
                <w:p w14:paraId="7CED86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0,023</w:t>
                  </w:r>
                </w:p>
              </w:tc>
              <w:tc>
                <w:tcPr>
                  <w:tcW w:w="1400" w:type="dxa"/>
                  <w:shd w:val="clear" w:color="auto" w:fill="DBE5F1"/>
                  <w:vAlign w:val="center"/>
                </w:tcPr>
                <w:p w14:paraId="3F5363A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c>
                <w:tcPr>
                  <w:tcW w:w="1936" w:type="dxa"/>
                  <w:shd w:val="clear" w:color="auto" w:fill="DBE5F1"/>
                  <w:vAlign w:val="center"/>
                </w:tcPr>
                <w:p w14:paraId="7D22AC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0,082</w:t>
                  </w:r>
                </w:p>
              </w:tc>
              <w:tc>
                <w:tcPr>
                  <w:tcW w:w="967" w:type="dxa"/>
                  <w:shd w:val="clear" w:color="auto" w:fill="DBE5F1"/>
                  <w:vAlign w:val="center"/>
                </w:tcPr>
                <w:p w14:paraId="3651B15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r>
            <w:tr w:rsidR="00600DEE" w14:paraId="26494F10" w14:textId="77777777" w:rsidTr="00505091">
              <w:trPr>
                <w:trHeight w:val="150"/>
              </w:trPr>
              <w:tc>
                <w:tcPr>
                  <w:tcW w:w="1605" w:type="dxa"/>
                  <w:shd w:val="clear" w:color="auto" w:fill="DBE5F1"/>
                  <w:vAlign w:val="center"/>
                </w:tcPr>
                <w:p w14:paraId="6712CD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998" w:type="dxa"/>
                  <w:shd w:val="clear" w:color="auto" w:fill="DBE5F1"/>
                  <w:vAlign w:val="center"/>
                </w:tcPr>
                <w:p w14:paraId="576A88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0,077</w:t>
                  </w:r>
                </w:p>
              </w:tc>
              <w:tc>
                <w:tcPr>
                  <w:tcW w:w="1400" w:type="dxa"/>
                  <w:shd w:val="clear" w:color="auto" w:fill="DBE5F1"/>
                  <w:vAlign w:val="center"/>
                </w:tcPr>
                <w:p w14:paraId="2CF6DD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0,199</w:t>
                  </w:r>
                </w:p>
              </w:tc>
              <w:tc>
                <w:tcPr>
                  <w:tcW w:w="1936" w:type="dxa"/>
                  <w:shd w:val="clear" w:color="auto" w:fill="DBE5F1"/>
                  <w:vAlign w:val="center"/>
                </w:tcPr>
                <w:p w14:paraId="15A1DEB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0,271</w:t>
                  </w:r>
                </w:p>
              </w:tc>
              <w:tc>
                <w:tcPr>
                  <w:tcW w:w="967" w:type="dxa"/>
                  <w:shd w:val="clear" w:color="auto" w:fill="DBE5F1"/>
                  <w:vAlign w:val="center"/>
                </w:tcPr>
                <w:p w14:paraId="7DEA72F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0,103</w:t>
                  </w:r>
                </w:p>
              </w:tc>
            </w:tr>
            <w:tr w:rsidR="00600DEE" w14:paraId="567CF7DB" w14:textId="77777777" w:rsidTr="00505091">
              <w:trPr>
                <w:trHeight w:val="204"/>
              </w:trPr>
              <w:tc>
                <w:tcPr>
                  <w:tcW w:w="1605" w:type="dxa"/>
                  <w:shd w:val="clear" w:color="auto" w:fill="DBE5F1"/>
                  <w:vAlign w:val="center"/>
                </w:tcPr>
                <w:p w14:paraId="656AF0D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998" w:type="dxa"/>
                  <w:shd w:val="clear" w:color="auto" w:fill="DBE5F1"/>
                  <w:vAlign w:val="center"/>
                </w:tcPr>
                <w:p w14:paraId="52A6C57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0,157</w:t>
                  </w:r>
                </w:p>
              </w:tc>
              <w:tc>
                <w:tcPr>
                  <w:tcW w:w="1400" w:type="dxa"/>
                  <w:shd w:val="clear" w:color="auto" w:fill="DBE5F1"/>
                  <w:vAlign w:val="center"/>
                </w:tcPr>
                <w:p w14:paraId="62F16F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0,408</w:t>
                  </w:r>
                </w:p>
              </w:tc>
              <w:tc>
                <w:tcPr>
                  <w:tcW w:w="1936" w:type="dxa"/>
                  <w:shd w:val="clear" w:color="auto" w:fill="DBE5F1"/>
                  <w:vAlign w:val="center"/>
                </w:tcPr>
                <w:p w14:paraId="6353EB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0,556</w:t>
                  </w:r>
                </w:p>
              </w:tc>
              <w:tc>
                <w:tcPr>
                  <w:tcW w:w="967" w:type="dxa"/>
                  <w:shd w:val="clear" w:color="auto" w:fill="DBE5F1"/>
                  <w:vAlign w:val="center"/>
                </w:tcPr>
                <w:p w14:paraId="259169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0,193</w:t>
                  </w:r>
                </w:p>
              </w:tc>
            </w:tr>
            <w:tr w:rsidR="00600DEE" w14:paraId="76203AF2" w14:textId="77777777" w:rsidTr="00505091">
              <w:trPr>
                <w:trHeight w:val="117"/>
              </w:trPr>
              <w:tc>
                <w:tcPr>
                  <w:tcW w:w="1605" w:type="dxa"/>
                  <w:shd w:val="clear" w:color="auto" w:fill="DBE5F1"/>
                  <w:vAlign w:val="center"/>
                </w:tcPr>
                <w:p w14:paraId="133D66D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998" w:type="dxa"/>
                  <w:shd w:val="clear" w:color="auto" w:fill="DBE5F1"/>
                  <w:vAlign w:val="center"/>
                </w:tcPr>
                <w:p w14:paraId="359F67F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0,217</w:t>
                  </w:r>
                </w:p>
              </w:tc>
              <w:tc>
                <w:tcPr>
                  <w:tcW w:w="1400" w:type="dxa"/>
                  <w:shd w:val="clear" w:color="auto" w:fill="DBE5F1"/>
                  <w:vAlign w:val="center"/>
                </w:tcPr>
                <w:p w14:paraId="3F63BC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0,562</w:t>
                  </w:r>
                </w:p>
              </w:tc>
              <w:tc>
                <w:tcPr>
                  <w:tcW w:w="1936" w:type="dxa"/>
                  <w:shd w:val="clear" w:color="auto" w:fill="DBE5F1"/>
                  <w:vAlign w:val="center"/>
                </w:tcPr>
                <w:p w14:paraId="703BCCC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0,766</w:t>
                  </w:r>
                </w:p>
              </w:tc>
              <w:tc>
                <w:tcPr>
                  <w:tcW w:w="967" w:type="dxa"/>
                  <w:shd w:val="clear" w:color="auto" w:fill="DBE5F1"/>
                  <w:vAlign w:val="center"/>
                </w:tcPr>
                <w:p w14:paraId="412CFE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0,291</w:t>
                  </w:r>
                </w:p>
              </w:tc>
            </w:tr>
          </w:tbl>
          <w:p w14:paraId="4D824901"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A378534"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Obwodnice jednojezdniowe</w:t>
            </w:r>
          </w:p>
          <w:p w14:paraId="5EFDED9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skutków wypadków drogowych dla obwodnic jednojezdniowych dla wariantów </w:t>
            </w:r>
            <w:proofErr w:type="spellStart"/>
            <w:r>
              <w:rPr>
                <w:rFonts w:ascii="Calibri" w:eastAsia="Calibri" w:hAnsi="Calibri" w:cs="Calibri"/>
                <w:color w:val="000000"/>
                <w:sz w:val="20"/>
                <w:szCs w:val="20"/>
              </w:rPr>
              <w:t>W</w:t>
            </w:r>
            <w:r>
              <w:rPr>
                <w:rFonts w:ascii="Calibri" w:eastAsia="Calibri" w:hAnsi="Calibri" w:cs="Calibri"/>
                <w:color w:val="000000"/>
                <w:sz w:val="20"/>
                <w:szCs w:val="20"/>
                <w:vertAlign w:val="subscript"/>
              </w:rPr>
              <w:t>n</w:t>
            </w:r>
            <w:proofErr w:type="spellEnd"/>
            <w:r>
              <w:rPr>
                <w:rFonts w:ascii="Calibri" w:eastAsia="Calibri" w:hAnsi="Calibri" w:cs="Calibri"/>
                <w:color w:val="000000"/>
                <w:sz w:val="20"/>
                <w:szCs w:val="20"/>
              </w:rPr>
              <w:t xml:space="preserve"> i W</w:t>
            </w:r>
            <w:r>
              <w:rPr>
                <w:rFonts w:ascii="Calibri" w:eastAsia="Calibri" w:hAnsi="Calibri" w:cs="Calibri"/>
                <w:color w:val="000000"/>
                <w:sz w:val="20"/>
                <w:szCs w:val="20"/>
                <w:vertAlign w:val="subscript"/>
              </w:rPr>
              <w:t xml:space="preserve">0 </w:t>
            </w:r>
            <w:r>
              <w:rPr>
                <w:rFonts w:ascii="Calibri" w:eastAsia="Calibri" w:hAnsi="Calibri" w:cs="Calibri"/>
                <w:color w:val="000000"/>
                <w:sz w:val="20"/>
                <w:szCs w:val="20"/>
              </w:rPr>
              <w:t>wylicza się jako sumy kosztów rannych, ciężko rannych, ofiar śmiertelnych oraz strat materialnych.</w:t>
            </w:r>
          </w:p>
          <w:p w14:paraId="4E8F86B4"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18. Gęstość wypadków drogowych (GW) dla obwodnic jednojezdniowych</w:t>
            </w:r>
            <w:r>
              <w:rPr>
                <w:rFonts w:ascii="Calibri" w:eastAsia="Calibri" w:hAnsi="Calibri" w:cs="Calibri"/>
                <w:b/>
                <w:color w:val="4F81BD"/>
                <w:sz w:val="20"/>
                <w:szCs w:val="20"/>
              </w:rPr>
              <w:br/>
              <w:t>[osób / km / rok]</w:t>
            </w:r>
          </w:p>
          <w:tbl>
            <w:tblPr>
              <w:tblStyle w:val="afffffffffffffffff"/>
              <w:tblW w:w="69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40"/>
              <w:gridCol w:w="1286"/>
              <w:gridCol w:w="1520"/>
              <w:gridCol w:w="1658"/>
            </w:tblGrid>
            <w:tr w:rsidR="00600DEE" w14:paraId="7EE2706E" w14:textId="77777777" w:rsidTr="00505091">
              <w:trPr>
                <w:trHeight w:val="414"/>
              </w:trPr>
              <w:tc>
                <w:tcPr>
                  <w:tcW w:w="2440" w:type="dxa"/>
                  <w:shd w:val="clear" w:color="auto" w:fill="A6A6A6"/>
                  <w:vAlign w:val="center"/>
                </w:tcPr>
                <w:p w14:paraId="732F759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86" w:type="dxa"/>
                  <w:shd w:val="clear" w:color="auto" w:fill="A6A6A6"/>
                  <w:vAlign w:val="center"/>
                </w:tcPr>
                <w:p w14:paraId="7EBFFA2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520" w:type="dxa"/>
                  <w:shd w:val="clear" w:color="auto" w:fill="A6A6A6"/>
                  <w:vAlign w:val="center"/>
                </w:tcPr>
                <w:p w14:paraId="25EC7639"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58" w:type="dxa"/>
                  <w:shd w:val="clear" w:color="auto" w:fill="A6A6A6"/>
                  <w:vAlign w:val="center"/>
                </w:tcPr>
                <w:p w14:paraId="7B802A4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5E7214D0" w14:textId="77777777" w:rsidTr="00505091">
              <w:trPr>
                <w:trHeight w:val="272"/>
              </w:trPr>
              <w:tc>
                <w:tcPr>
                  <w:tcW w:w="2440" w:type="dxa"/>
                  <w:shd w:val="clear" w:color="auto" w:fill="DBE5F1"/>
                  <w:vAlign w:val="center"/>
                </w:tcPr>
                <w:p w14:paraId="5000245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86" w:type="dxa"/>
                  <w:shd w:val="clear" w:color="auto" w:fill="DBE5F1"/>
                  <w:vAlign w:val="center"/>
                </w:tcPr>
                <w:p w14:paraId="3080267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0,024</w:t>
                  </w:r>
                </w:p>
              </w:tc>
              <w:tc>
                <w:tcPr>
                  <w:tcW w:w="1520" w:type="dxa"/>
                  <w:shd w:val="clear" w:color="auto" w:fill="DBE5F1"/>
                  <w:vAlign w:val="center"/>
                </w:tcPr>
                <w:p w14:paraId="3F5017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0,036</w:t>
                  </w:r>
                </w:p>
              </w:tc>
              <w:tc>
                <w:tcPr>
                  <w:tcW w:w="1658" w:type="dxa"/>
                  <w:shd w:val="clear" w:color="auto" w:fill="DBE5F1"/>
                  <w:vAlign w:val="center"/>
                </w:tcPr>
                <w:p w14:paraId="7E92BD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0,047</w:t>
                  </w:r>
                </w:p>
              </w:tc>
            </w:tr>
            <w:tr w:rsidR="00600DEE" w14:paraId="3ECCA98A" w14:textId="77777777" w:rsidTr="00505091">
              <w:trPr>
                <w:trHeight w:val="287"/>
              </w:trPr>
              <w:tc>
                <w:tcPr>
                  <w:tcW w:w="2440" w:type="dxa"/>
                  <w:shd w:val="clear" w:color="auto" w:fill="DBE5F1"/>
                  <w:vAlign w:val="center"/>
                </w:tcPr>
                <w:p w14:paraId="599558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86" w:type="dxa"/>
                  <w:shd w:val="clear" w:color="auto" w:fill="DBE5F1"/>
                  <w:vAlign w:val="center"/>
                </w:tcPr>
                <w:p w14:paraId="5183AB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0,075</w:t>
                  </w:r>
                </w:p>
              </w:tc>
              <w:tc>
                <w:tcPr>
                  <w:tcW w:w="1520" w:type="dxa"/>
                  <w:shd w:val="clear" w:color="auto" w:fill="DBE5F1"/>
                  <w:vAlign w:val="center"/>
                </w:tcPr>
                <w:p w14:paraId="434B43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0,111</w:t>
                  </w:r>
                </w:p>
              </w:tc>
              <w:tc>
                <w:tcPr>
                  <w:tcW w:w="1658" w:type="dxa"/>
                  <w:shd w:val="clear" w:color="auto" w:fill="DBE5F1"/>
                  <w:vAlign w:val="center"/>
                </w:tcPr>
                <w:p w14:paraId="39564CC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0,135</w:t>
                  </w:r>
                </w:p>
              </w:tc>
            </w:tr>
            <w:tr w:rsidR="00600DEE" w14:paraId="55DB76EE" w14:textId="77777777" w:rsidTr="00505091">
              <w:trPr>
                <w:trHeight w:val="383"/>
              </w:trPr>
              <w:tc>
                <w:tcPr>
                  <w:tcW w:w="2440" w:type="dxa"/>
                  <w:shd w:val="clear" w:color="auto" w:fill="DBE5F1"/>
                  <w:vAlign w:val="center"/>
                </w:tcPr>
                <w:p w14:paraId="4C90E9E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86" w:type="dxa"/>
                  <w:shd w:val="clear" w:color="auto" w:fill="DBE5F1"/>
                  <w:vAlign w:val="center"/>
                </w:tcPr>
                <w:p w14:paraId="6E6A03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0,157</w:t>
                  </w:r>
                </w:p>
              </w:tc>
              <w:tc>
                <w:tcPr>
                  <w:tcW w:w="1520" w:type="dxa"/>
                  <w:shd w:val="clear" w:color="auto" w:fill="DBE5F1"/>
                  <w:vAlign w:val="center"/>
                </w:tcPr>
                <w:p w14:paraId="74127BD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0,230</w:t>
                  </w:r>
                </w:p>
              </w:tc>
              <w:tc>
                <w:tcPr>
                  <w:tcW w:w="1658" w:type="dxa"/>
                  <w:shd w:val="clear" w:color="auto" w:fill="DBE5F1"/>
                  <w:vAlign w:val="center"/>
                </w:tcPr>
                <w:p w14:paraId="04268C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0,278</w:t>
                  </w:r>
                </w:p>
              </w:tc>
            </w:tr>
            <w:tr w:rsidR="00600DEE" w14:paraId="023B65AD" w14:textId="77777777" w:rsidTr="00505091">
              <w:trPr>
                <w:trHeight w:val="205"/>
              </w:trPr>
              <w:tc>
                <w:tcPr>
                  <w:tcW w:w="2440" w:type="dxa"/>
                  <w:shd w:val="clear" w:color="auto" w:fill="DBE5F1"/>
                  <w:vAlign w:val="center"/>
                </w:tcPr>
                <w:p w14:paraId="5F6E5C3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20 000-30000 i więcej</w:t>
                  </w:r>
                </w:p>
              </w:tc>
              <w:tc>
                <w:tcPr>
                  <w:tcW w:w="1286" w:type="dxa"/>
                  <w:shd w:val="clear" w:color="auto" w:fill="DBE5F1"/>
                  <w:vAlign w:val="center"/>
                </w:tcPr>
                <w:p w14:paraId="27D5201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0,262</w:t>
                  </w:r>
                </w:p>
              </w:tc>
              <w:tc>
                <w:tcPr>
                  <w:tcW w:w="1520" w:type="dxa"/>
                  <w:shd w:val="clear" w:color="auto" w:fill="DBE5F1"/>
                  <w:vAlign w:val="center"/>
                </w:tcPr>
                <w:p w14:paraId="363E13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0,393</w:t>
                  </w:r>
                </w:p>
              </w:tc>
              <w:tc>
                <w:tcPr>
                  <w:tcW w:w="1658" w:type="dxa"/>
                  <w:shd w:val="clear" w:color="auto" w:fill="DBE5F1"/>
                  <w:vAlign w:val="center"/>
                </w:tcPr>
                <w:p w14:paraId="0672EEA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0,476</w:t>
                  </w:r>
                </w:p>
              </w:tc>
            </w:tr>
          </w:tbl>
          <w:p w14:paraId="3BB856DE"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29E96542" w14:textId="77777777"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19. Gęstość rannych (GR) w wypadkach drogowych dla obwodnic</w:t>
            </w:r>
            <w:r>
              <w:rPr>
                <w:rFonts w:ascii="Calibri" w:eastAsia="Calibri" w:hAnsi="Calibri" w:cs="Calibri"/>
                <w:b/>
                <w:color w:val="4F81BD"/>
                <w:sz w:val="20"/>
                <w:szCs w:val="20"/>
              </w:rPr>
              <w:br/>
              <w:t>jednojezdniowych [osób / km / rok]</w:t>
            </w:r>
          </w:p>
          <w:tbl>
            <w:tblPr>
              <w:tblStyle w:val="afffffffffffffffff0"/>
              <w:tblW w:w="69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52"/>
              <w:gridCol w:w="1293"/>
              <w:gridCol w:w="1527"/>
              <w:gridCol w:w="1666"/>
            </w:tblGrid>
            <w:tr w:rsidR="00600DEE" w14:paraId="1C2DA4F5" w14:textId="77777777" w:rsidTr="00505091">
              <w:trPr>
                <w:trHeight w:val="287"/>
              </w:trPr>
              <w:tc>
                <w:tcPr>
                  <w:tcW w:w="2452" w:type="dxa"/>
                  <w:shd w:val="clear" w:color="auto" w:fill="A6A6A6"/>
                  <w:vAlign w:val="center"/>
                </w:tcPr>
                <w:p w14:paraId="79DE60F3"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93" w:type="dxa"/>
                  <w:shd w:val="clear" w:color="auto" w:fill="A6A6A6"/>
                  <w:vAlign w:val="center"/>
                </w:tcPr>
                <w:p w14:paraId="633A518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527" w:type="dxa"/>
                  <w:shd w:val="clear" w:color="auto" w:fill="A6A6A6"/>
                  <w:vAlign w:val="center"/>
                </w:tcPr>
                <w:p w14:paraId="4F56564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66" w:type="dxa"/>
                  <w:shd w:val="clear" w:color="auto" w:fill="A6A6A6"/>
                  <w:vAlign w:val="center"/>
                </w:tcPr>
                <w:p w14:paraId="3E38980B"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0B7A71B4" w14:textId="77777777" w:rsidTr="00505091">
              <w:trPr>
                <w:trHeight w:val="176"/>
              </w:trPr>
              <w:tc>
                <w:tcPr>
                  <w:tcW w:w="2452" w:type="dxa"/>
                  <w:shd w:val="clear" w:color="auto" w:fill="DBE5F1"/>
                  <w:vAlign w:val="bottom"/>
                </w:tcPr>
                <w:p w14:paraId="1E1DFF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93" w:type="dxa"/>
                  <w:shd w:val="clear" w:color="auto" w:fill="DBE5F1"/>
                </w:tcPr>
                <w:p w14:paraId="7FCCA57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0,024</w:t>
                  </w:r>
                </w:p>
              </w:tc>
              <w:tc>
                <w:tcPr>
                  <w:tcW w:w="1527" w:type="dxa"/>
                  <w:shd w:val="clear" w:color="auto" w:fill="DBE5F1"/>
                </w:tcPr>
                <w:p w14:paraId="68F40FA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c>
                <w:tcPr>
                  <w:tcW w:w="1666" w:type="dxa"/>
                  <w:shd w:val="clear" w:color="auto" w:fill="DBE5F1"/>
                </w:tcPr>
                <w:p w14:paraId="760A7D6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0,188</w:t>
                  </w:r>
                </w:p>
              </w:tc>
            </w:tr>
            <w:tr w:rsidR="00600DEE" w14:paraId="4536B8BB" w14:textId="77777777" w:rsidTr="00505091">
              <w:trPr>
                <w:trHeight w:val="189"/>
              </w:trPr>
              <w:tc>
                <w:tcPr>
                  <w:tcW w:w="2452" w:type="dxa"/>
                  <w:shd w:val="clear" w:color="auto" w:fill="DBE5F1"/>
                  <w:vAlign w:val="bottom"/>
                </w:tcPr>
                <w:p w14:paraId="7368B5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93" w:type="dxa"/>
                  <w:shd w:val="clear" w:color="auto" w:fill="DBE5F1"/>
                </w:tcPr>
                <w:p w14:paraId="1302D31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0,083</w:t>
                  </w:r>
                </w:p>
              </w:tc>
              <w:tc>
                <w:tcPr>
                  <w:tcW w:w="1527" w:type="dxa"/>
                  <w:shd w:val="clear" w:color="auto" w:fill="DBE5F1"/>
                </w:tcPr>
                <w:p w14:paraId="6E6890E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0,206</w:t>
                  </w:r>
                </w:p>
              </w:tc>
              <w:tc>
                <w:tcPr>
                  <w:tcW w:w="1666" w:type="dxa"/>
                  <w:shd w:val="clear" w:color="auto" w:fill="DBE5F1"/>
                </w:tcPr>
                <w:p w14:paraId="3C8B408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0,672</w:t>
                  </w:r>
                </w:p>
              </w:tc>
            </w:tr>
            <w:tr w:rsidR="00600DEE" w14:paraId="470ED935" w14:textId="77777777" w:rsidTr="00505091">
              <w:trPr>
                <w:trHeight w:val="237"/>
              </w:trPr>
              <w:tc>
                <w:tcPr>
                  <w:tcW w:w="2452" w:type="dxa"/>
                  <w:shd w:val="clear" w:color="auto" w:fill="DBE5F1"/>
                  <w:vAlign w:val="bottom"/>
                </w:tcPr>
                <w:p w14:paraId="5F59C1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93" w:type="dxa"/>
                  <w:shd w:val="clear" w:color="auto" w:fill="DBE5F1"/>
                </w:tcPr>
                <w:p w14:paraId="1159082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0,159</w:t>
                  </w:r>
                </w:p>
              </w:tc>
              <w:tc>
                <w:tcPr>
                  <w:tcW w:w="1527" w:type="dxa"/>
                  <w:shd w:val="clear" w:color="auto" w:fill="DBE5F1"/>
                </w:tcPr>
                <w:p w14:paraId="1F9B8D7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0,385</w:t>
                  </w:r>
                </w:p>
              </w:tc>
              <w:tc>
                <w:tcPr>
                  <w:tcW w:w="1666" w:type="dxa"/>
                  <w:shd w:val="clear" w:color="auto" w:fill="DBE5F1"/>
                </w:tcPr>
                <w:p w14:paraId="2D8E4C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1,200</w:t>
                  </w:r>
                </w:p>
              </w:tc>
            </w:tr>
            <w:tr w:rsidR="00600DEE" w14:paraId="1C1710BC" w14:textId="77777777" w:rsidTr="00505091">
              <w:trPr>
                <w:trHeight w:val="73"/>
              </w:trPr>
              <w:tc>
                <w:tcPr>
                  <w:tcW w:w="2452" w:type="dxa"/>
                  <w:shd w:val="clear" w:color="auto" w:fill="DBE5F1"/>
                  <w:vAlign w:val="bottom"/>
                </w:tcPr>
                <w:p w14:paraId="1FAFB0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293" w:type="dxa"/>
                  <w:shd w:val="clear" w:color="auto" w:fill="DBE5F1"/>
                </w:tcPr>
                <w:p w14:paraId="32102E3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0,307</w:t>
                  </w:r>
                </w:p>
              </w:tc>
              <w:tc>
                <w:tcPr>
                  <w:tcW w:w="1527" w:type="dxa"/>
                  <w:shd w:val="clear" w:color="auto" w:fill="DBE5F1"/>
                </w:tcPr>
                <w:p w14:paraId="31C923E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0,561</w:t>
                  </w:r>
                </w:p>
              </w:tc>
              <w:tc>
                <w:tcPr>
                  <w:tcW w:w="1666" w:type="dxa"/>
                  <w:shd w:val="clear" w:color="auto" w:fill="DBE5F1"/>
                </w:tcPr>
                <w:p w14:paraId="0C72684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1,602</w:t>
                  </w:r>
                </w:p>
              </w:tc>
            </w:tr>
          </w:tbl>
          <w:p w14:paraId="3BE9C4D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16"/>
                <w:szCs w:val="16"/>
              </w:rPr>
              <w:t>Źródło: Opracowanie własne na podstawie metody wskaźników BRD</w:t>
            </w:r>
            <w:r>
              <w:rPr>
                <w:rFonts w:ascii="Calibri" w:eastAsia="Calibri" w:hAnsi="Calibri" w:cs="Calibri"/>
                <w:color w:val="000000"/>
                <w:sz w:val="20"/>
                <w:szCs w:val="20"/>
              </w:rPr>
              <w:t xml:space="preserve"> </w:t>
            </w:r>
          </w:p>
          <w:p w14:paraId="1230CC44"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7518F89C"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5A066372" w14:textId="6749A91E"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20. Gęstość zabitych (GZ) dla obwodnic jednojezdniowych [osób / km / rok]</w:t>
            </w:r>
          </w:p>
          <w:p w14:paraId="0FE9E1B5" w14:textId="77777777" w:rsidR="003B6BDE" w:rsidRDefault="003B6BDE" w:rsidP="003B6BDE">
            <w:pPr>
              <w:pBdr>
                <w:top w:val="nil"/>
                <w:left w:val="nil"/>
                <w:bottom w:val="nil"/>
                <w:right w:val="nil"/>
                <w:between w:val="nil"/>
              </w:pBdr>
              <w:jc w:val="both"/>
              <w:rPr>
                <w:rFonts w:ascii="Calibri" w:eastAsia="Calibri" w:hAnsi="Calibri" w:cs="Calibri"/>
                <w:b/>
                <w:color w:val="4F81BD"/>
                <w:sz w:val="20"/>
                <w:szCs w:val="20"/>
              </w:rPr>
            </w:pPr>
          </w:p>
          <w:tbl>
            <w:tblPr>
              <w:tblStyle w:val="afffffffffffffffff1"/>
              <w:tblW w:w="69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62"/>
              <w:gridCol w:w="1566"/>
              <w:gridCol w:w="1677"/>
              <w:gridCol w:w="1677"/>
            </w:tblGrid>
            <w:tr w:rsidR="00600DEE" w14:paraId="22C07482" w14:textId="77777777" w:rsidTr="00505091">
              <w:trPr>
                <w:trHeight w:hRule="exact" w:val="391"/>
              </w:trPr>
              <w:tc>
                <w:tcPr>
                  <w:tcW w:w="2062" w:type="dxa"/>
                  <w:shd w:val="clear" w:color="auto" w:fill="A6A6A6"/>
                  <w:vAlign w:val="center"/>
                </w:tcPr>
                <w:p w14:paraId="4221E01C"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566" w:type="dxa"/>
                  <w:shd w:val="clear" w:color="auto" w:fill="A6A6A6"/>
                  <w:vAlign w:val="center"/>
                </w:tcPr>
                <w:p w14:paraId="289F67E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677" w:type="dxa"/>
                  <w:shd w:val="clear" w:color="auto" w:fill="A6A6A6"/>
                  <w:vAlign w:val="center"/>
                </w:tcPr>
                <w:p w14:paraId="066167E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77" w:type="dxa"/>
                  <w:shd w:val="clear" w:color="auto" w:fill="A6A6A6"/>
                  <w:vAlign w:val="center"/>
                </w:tcPr>
                <w:p w14:paraId="61DAD23E"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2B85DB6F" w14:textId="77777777" w:rsidTr="00505091">
              <w:trPr>
                <w:trHeight w:hRule="exact" w:val="391"/>
              </w:trPr>
              <w:tc>
                <w:tcPr>
                  <w:tcW w:w="2062" w:type="dxa"/>
                  <w:shd w:val="clear" w:color="auto" w:fill="DBE5F1"/>
                  <w:vAlign w:val="center"/>
                </w:tcPr>
                <w:p w14:paraId="4C426CD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566" w:type="dxa"/>
                  <w:shd w:val="clear" w:color="auto" w:fill="DBE5F1"/>
                  <w:vAlign w:val="center"/>
                </w:tcPr>
                <w:p w14:paraId="2B56C7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0,008</w:t>
                  </w:r>
                </w:p>
              </w:tc>
              <w:tc>
                <w:tcPr>
                  <w:tcW w:w="1677" w:type="dxa"/>
                  <w:shd w:val="clear" w:color="auto" w:fill="DBE5F1"/>
                  <w:vAlign w:val="center"/>
                </w:tcPr>
                <w:p w14:paraId="3B40BC0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0,011</w:t>
                  </w:r>
                </w:p>
              </w:tc>
              <w:tc>
                <w:tcPr>
                  <w:tcW w:w="1677" w:type="dxa"/>
                  <w:shd w:val="clear" w:color="auto" w:fill="DBE5F1"/>
                  <w:vAlign w:val="center"/>
                </w:tcPr>
                <w:p w14:paraId="3D7ACFE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0,016</w:t>
                  </w:r>
                </w:p>
              </w:tc>
            </w:tr>
            <w:tr w:rsidR="00600DEE" w14:paraId="56FD587C" w14:textId="77777777" w:rsidTr="00505091">
              <w:trPr>
                <w:trHeight w:hRule="exact" w:val="391"/>
              </w:trPr>
              <w:tc>
                <w:tcPr>
                  <w:tcW w:w="2062" w:type="dxa"/>
                  <w:shd w:val="clear" w:color="auto" w:fill="DBE5F1"/>
                  <w:vAlign w:val="center"/>
                </w:tcPr>
                <w:p w14:paraId="493FEBFE" w14:textId="6D72D7AE"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566" w:type="dxa"/>
                  <w:shd w:val="clear" w:color="auto" w:fill="DBE5F1"/>
                  <w:vAlign w:val="center"/>
                </w:tcPr>
                <w:p w14:paraId="344D51B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0,018</w:t>
                  </w:r>
                </w:p>
              </w:tc>
              <w:tc>
                <w:tcPr>
                  <w:tcW w:w="1677" w:type="dxa"/>
                  <w:shd w:val="clear" w:color="auto" w:fill="DBE5F1"/>
                  <w:vAlign w:val="center"/>
                </w:tcPr>
                <w:p w14:paraId="154540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0,024</w:t>
                  </w:r>
                </w:p>
              </w:tc>
              <w:tc>
                <w:tcPr>
                  <w:tcW w:w="1677" w:type="dxa"/>
                  <w:shd w:val="clear" w:color="auto" w:fill="DBE5F1"/>
                  <w:vAlign w:val="center"/>
                </w:tcPr>
                <w:p w14:paraId="1CC1EF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0,037</w:t>
                  </w:r>
                </w:p>
              </w:tc>
            </w:tr>
            <w:tr w:rsidR="00600DEE" w14:paraId="6826727C" w14:textId="77777777" w:rsidTr="00505091">
              <w:trPr>
                <w:trHeight w:hRule="exact" w:val="391"/>
              </w:trPr>
              <w:tc>
                <w:tcPr>
                  <w:tcW w:w="2062" w:type="dxa"/>
                  <w:shd w:val="clear" w:color="auto" w:fill="DBE5F1"/>
                  <w:vAlign w:val="center"/>
                </w:tcPr>
                <w:p w14:paraId="503869CF" w14:textId="7765A2F5" w:rsidR="00600DEE" w:rsidRDefault="00746969">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566" w:type="dxa"/>
                  <w:shd w:val="clear" w:color="auto" w:fill="DBE5F1"/>
                  <w:vAlign w:val="center"/>
                </w:tcPr>
                <w:p w14:paraId="1F3FFF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0,031</w:t>
                  </w:r>
                </w:p>
              </w:tc>
              <w:tc>
                <w:tcPr>
                  <w:tcW w:w="1677" w:type="dxa"/>
                  <w:shd w:val="clear" w:color="auto" w:fill="DBE5F1"/>
                  <w:vAlign w:val="center"/>
                </w:tcPr>
                <w:p w14:paraId="752A0DD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0,041</w:t>
                  </w:r>
                </w:p>
              </w:tc>
              <w:tc>
                <w:tcPr>
                  <w:tcW w:w="1677" w:type="dxa"/>
                  <w:shd w:val="clear" w:color="auto" w:fill="DBE5F1"/>
                  <w:vAlign w:val="center"/>
                </w:tcPr>
                <w:p w14:paraId="6961CDF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0,063</w:t>
                  </w:r>
                </w:p>
              </w:tc>
            </w:tr>
            <w:tr w:rsidR="00600DEE" w14:paraId="36A2C2F7" w14:textId="77777777" w:rsidTr="00505091">
              <w:trPr>
                <w:trHeight w:hRule="exact" w:val="391"/>
              </w:trPr>
              <w:tc>
                <w:tcPr>
                  <w:tcW w:w="2062" w:type="dxa"/>
                  <w:shd w:val="clear" w:color="auto" w:fill="DBE5F1"/>
                  <w:vAlign w:val="center"/>
                </w:tcPr>
                <w:p w14:paraId="2602FA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566" w:type="dxa"/>
                  <w:shd w:val="clear" w:color="auto" w:fill="DBE5F1"/>
                  <w:vAlign w:val="center"/>
                </w:tcPr>
                <w:p w14:paraId="5B4C345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0,050</w:t>
                  </w:r>
                </w:p>
              </w:tc>
              <w:tc>
                <w:tcPr>
                  <w:tcW w:w="1677" w:type="dxa"/>
                  <w:shd w:val="clear" w:color="auto" w:fill="DBE5F1"/>
                  <w:vAlign w:val="center"/>
                </w:tcPr>
                <w:p w14:paraId="1580533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0,067</w:t>
                  </w:r>
                </w:p>
              </w:tc>
              <w:tc>
                <w:tcPr>
                  <w:tcW w:w="1677" w:type="dxa"/>
                  <w:shd w:val="clear" w:color="auto" w:fill="DBE5F1"/>
                  <w:vAlign w:val="center"/>
                </w:tcPr>
                <w:p w14:paraId="7705DAA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0,103</w:t>
                  </w:r>
                </w:p>
              </w:tc>
            </w:tr>
          </w:tbl>
          <w:p w14:paraId="1D1E467D" w14:textId="77777777" w:rsidR="00600DEE" w:rsidRDefault="00641FB5">
            <w:pPr>
              <w:spacing w:before="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285C970" w14:textId="77777777" w:rsidR="00600DEE" w:rsidRDefault="00600DEE">
            <w:pPr>
              <w:pBdr>
                <w:top w:val="nil"/>
                <w:left w:val="nil"/>
                <w:bottom w:val="nil"/>
                <w:right w:val="nil"/>
                <w:between w:val="nil"/>
              </w:pBdr>
              <w:ind w:left="1134" w:hanging="1134"/>
              <w:jc w:val="both"/>
              <w:rPr>
                <w:rFonts w:ascii="Calibri" w:eastAsia="Calibri" w:hAnsi="Calibri" w:cs="Calibri"/>
                <w:b/>
                <w:color w:val="4F81BD"/>
                <w:sz w:val="20"/>
                <w:szCs w:val="20"/>
              </w:rPr>
            </w:pPr>
          </w:p>
          <w:p w14:paraId="318D9339" w14:textId="7DC2E99F"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21. Gęstość ciężko rannych (GCR</w:t>
            </w:r>
            <w:r w:rsidR="00AA29A0">
              <w:rPr>
                <w:rFonts w:ascii="Calibri" w:eastAsia="Calibri" w:hAnsi="Calibri" w:cs="Calibri"/>
                <w:b/>
                <w:color w:val="4F81BD"/>
                <w:sz w:val="20"/>
                <w:szCs w:val="20"/>
              </w:rPr>
              <w:t xml:space="preserve">) dla obwodnic jednojezdniowych </w:t>
            </w:r>
            <w:r>
              <w:rPr>
                <w:rFonts w:ascii="Calibri" w:eastAsia="Calibri" w:hAnsi="Calibri" w:cs="Calibri"/>
                <w:b/>
                <w:color w:val="4F81BD"/>
                <w:sz w:val="20"/>
                <w:szCs w:val="20"/>
              </w:rPr>
              <w:t>[osób / km / rok]</w:t>
            </w:r>
          </w:p>
          <w:tbl>
            <w:tblPr>
              <w:tblStyle w:val="afffffffffffffffff2"/>
              <w:tblW w:w="69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92"/>
              <w:gridCol w:w="1537"/>
              <w:gridCol w:w="1677"/>
              <w:gridCol w:w="1677"/>
            </w:tblGrid>
            <w:tr w:rsidR="00600DEE" w14:paraId="45085D57" w14:textId="77777777" w:rsidTr="00505091">
              <w:trPr>
                <w:trHeight w:hRule="exact" w:val="310"/>
              </w:trPr>
              <w:tc>
                <w:tcPr>
                  <w:tcW w:w="2092" w:type="dxa"/>
                  <w:shd w:val="clear" w:color="auto" w:fill="A6A6A6"/>
                  <w:vAlign w:val="center"/>
                </w:tcPr>
                <w:p w14:paraId="1F55BAC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537" w:type="dxa"/>
                  <w:shd w:val="clear" w:color="auto" w:fill="A6A6A6"/>
                  <w:vAlign w:val="center"/>
                </w:tcPr>
                <w:p w14:paraId="36EAA880"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677" w:type="dxa"/>
                  <w:shd w:val="clear" w:color="auto" w:fill="A6A6A6"/>
                  <w:vAlign w:val="center"/>
                </w:tcPr>
                <w:p w14:paraId="634F1249"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77" w:type="dxa"/>
                  <w:shd w:val="clear" w:color="auto" w:fill="A6A6A6"/>
                  <w:vAlign w:val="center"/>
                </w:tcPr>
                <w:p w14:paraId="6B7D67EA"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02BC98B3" w14:textId="77777777" w:rsidTr="00505091">
              <w:trPr>
                <w:trHeight w:hRule="exact" w:val="310"/>
              </w:trPr>
              <w:tc>
                <w:tcPr>
                  <w:tcW w:w="2092" w:type="dxa"/>
                  <w:shd w:val="clear" w:color="auto" w:fill="DBE5F1"/>
                  <w:vAlign w:val="center"/>
                </w:tcPr>
                <w:p w14:paraId="6CF1AA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0-5000</w:t>
                  </w:r>
                </w:p>
              </w:tc>
              <w:tc>
                <w:tcPr>
                  <w:tcW w:w="1537" w:type="dxa"/>
                  <w:shd w:val="clear" w:color="auto" w:fill="DBE5F1"/>
                  <w:vAlign w:val="center"/>
                </w:tcPr>
                <w:p w14:paraId="0E2C663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0,015</w:t>
                  </w:r>
                </w:p>
              </w:tc>
              <w:tc>
                <w:tcPr>
                  <w:tcW w:w="1677" w:type="dxa"/>
                  <w:shd w:val="clear" w:color="auto" w:fill="DBE5F1"/>
                  <w:vAlign w:val="center"/>
                </w:tcPr>
                <w:p w14:paraId="58592F2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0,020</w:t>
                  </w:r>
                </w:p>
              </w:tc>
              <w:tc>
                <w:tcPr>
                  <w:tcW w:w="1677" w:type="dxa"/>
                  <w:shd w:val="clear" w:color="auto" w:fill="DBE5F1"/>
                  <w:vAlign w:val="center"/>
                </w:tcPr>
                <w:p w14:paraId="7072E4B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0,031</w:t>
                  </w:r>
                </w:p>
              </w:tc>
            </w:tr>
            <w:tr w:rsidR="00600DEE" w14:paraId="7D7F3A93" w14:textId="77777777" w:rsidTr="00505091">
              <w:trPr>
                <w:trHeight w:hRule="exact" w:val="310"/>
              </w:trPr>
              <w:tc>
                <w:tcPr>
                  <w:tcW w:w="2092" w:type="dxa"/>
                  <w:shd w:val="clear" w:color="auto" w:fill="DBE5F1"/>
                  <w:vAlign w:val="center"/>
                </w:tcPr>
                <w:p w14:paraId="183AAD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5000-10 000</w:t>
                  </w:r>
                </w:p>
              </w:tc>
              <w:tc>
                <w:tcPr>
                  <w:tcW w:w="1537" w:type="dxa"/>
                  <w:shd w:val="clear" w:color="auto" w:fill="DBE5F1"/>
                  <w:vAlign w:val="center"/>
                </w:tcPr>
                <w:p w14:paraId="1E160A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0,036</w:t>
                  </w:r>
                </w:p>
              </w:tc>
              <w:tc>
                <w:tcPr>
                  <w:tcW w:w="1677" w:type="dxa"/>
                  <w:shd w:val="clear" w:color="auto" w:fill="DBE5F1"/>
                  <w:vAlign w:val="center"/>
                </w:tcPr>
                <w:p w14:paraId="4E9551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0,046</w:t>
                  </w:r>
                </w:p>
              </w:tc>
              <w:tc>
                <w:tcPr>
                  <w:tcW w:w="1677" w:type="dxa"/>
                  <w:shd w:val="clear" w:color="auto" w:fill="DBE5F1"/>
                  <w:vAlign w:val="center"/>
                </w:tcPr>
                <w:p w14:paraId="515D25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0,071</w:t>
                  </w:r>
                </w:p>
              </w:tc>
            </w:tr>
            <w:tr w:rsidR="00600DEE" w14:paraId="7CD3EBE9" w14:textId="77777777" w:rsidTr="00505091">
              <w:trPr>
                <w:trHeight w:hRule="exact" w:val="310"/>
              </w:trPr>
              <w:tc>
                <w:tcPr>
                  <w:tcW w:w="2092" w:type="dxa"/>
                  <w:shd w:val="clear" w:color="auto" w:fill="DBE5F1"/>
                  <w:vAlign w:val="center"/>
                </w:tcPr>
                <w:p w14:paraId="14F72034" w14:textId="57EA58CF" w:rsidR="00600DEE" w:rsidRDefault="00746969">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537" w:type="dxa"/>
                  <w:shd w:val="clear" w:color="auto" w:fill="DBE5F1"/>
                  <w:vAlign w:val="center"/>
                </w:tcPr>
                <w:p w14:paraId="679B15A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0,059</w:t>
                  </w:r>
                </w:p>
              </w:tc>
              <w:tc>
                <w:tcPr>
                  <w:tcW w:w="1677" w:type="dxa"/>
                  <w:shd w:val="clear" w:color="auto" w:fill="DBE5F1"/>
                  <w:vAlign w:val="center"/>
                </w:tcPr>
                <w:p w14:paraId="439B5C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0,078</w:t>
                  </w:r>
                </w:p>
              </w:tc>
              <w:tc>
                <w:tcPr>
                  <w:tcW w:w="1677" w:type="dxa"/>
                  <w:shd w:val="clear" w:color="auto" w:fill="DBE5F1"/>
                  <w:vAlign w:val="center"/>
                </w:tcPr>
                <w:p w14:paraId="3A44CF5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0,121</w:t>
                  </w:r>
                </w:p>
              </w:tc>
            </w:tr>
            <w:tr w:rsidR="00600DEE" w14:paraId="621A5D32" w14:textId="77777777" w:rsidTr="00505091">
              <w:trPr>
                <w:trHeight w:hRule="exact" w:val="310"/>
              </w:trPr>
              <w:tc>
                <w:tcPr>
                  <w:tcW w:w="2092" w:type="dxa"/>
                  <w:shd w:val="clear" w:color="auto" w:fill="DBE5F1"/>
                  <w:vAlign w:val="center"/>
                </w:tcPr>
                <w:p w14:paraId="690E54A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537" w:type="dxa"/>
                  <w:shd w:val="clear" w:color="auto" w:fill="DBE5F1"/>
                  <w:vAlign w:val="center"/>
                </w:tcPr>
                <w:p w14:paraId="65D1C8F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0,096</w:t>
                  </w:r>
                </w:p>
              </w:tc>
              <w:tc>
                <w:tcPr>
                  <w:tcW w:w="1677" w:type="dxa"/>
                  <w:shd w:val="clear" w:color="auto" w:fill="DBE5F1"/>
                  <w:vAlign w:val="center"/>
                </w:tcPr>
                <w:p w14:paraId="3C172D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0,128</w:t>
                  </w:r>
                </w:p>
              </w:tc>
              <w:tc>
                <w:tcPr>
                  <w:tcW w:w="1677" w:type="dxa"/>
                  <w:shd w:val="clear" w:color="auto" w:fill="DBE5F1"/>
                  <w:vAlign w:val="center"/>
                </w:tcPr>
                <w:p w14:paraId="6034BBE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0,197</w:t>
                  </w:r>
                </w:p>
              </w:tc>
            </w:tr>
          </w:tbl>
          <w:p w14:paraId="287628CC"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5807E796" w14:textId="77777777" w:rsidR="00600DEE" w:rsidRDefault="00641FB5">
            <w:pPr>
              <w:spacing w:before="120" w:after="120"/>
              <w:jc w:val="both"/>
              <w:rPr>
                <w:rFonts w:ascii="Calibri" w:eastAsia="Calibri" w:hAnsi="Calibri" w:cs="Calibri"/>
                <w:b/>
                <w:color w:val="323299"/>
              </w:rPr>
            </w:pPr>
            <w:r>
              <w:rPr>
                <w:rFonts w:ascii="Calibri" w:eastAsia="Calibri" w:hAnsi="Calibri" w:cs="Calibri"/>
                <w:sz w:val="20"/>
                <w:szCs w:val="20"/>
              </w:rPr>
              <w:t>Całkowite koszty wypadków drogowych wylicza się przy pomocy wzoru przedstawionego w tabeli 20 z dokumentu głównego.</w:t>
            </w:r>
          </w:p>
        </w:tc>
        <w:tc>
          <w:tcPr>
            <w:tcW w:w="7201" w:type="dxa"/>
            <w:tcBorders>
              <w:left w:val="single" w:sz="4" w:space="0" w:color="000000"/>
            </w:tcBorders>
            <w:tcMar>
              <w:left w:w="284" w:type="dxa"/>
              <w:right w:w="284" w:type="dxa"/>
            </w:tcMar>
          </w:tcPr>
          <w:p w14:paraId="424C384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method described below should only be used for CBA purposes for non-urban road projects. The full application of the method of forecasting road safety indicators (commissioned by </w:t>
            </w:r>
            <w:proofErr w:type="spellStart"/>
            <w:r w:rsidRPr="0045151D">
              <w:rPr>
                <w:rFonts w:ascii="Calibri" w:eastAsia="Calibri" w:hAnsi="Calibri" w:cs="Calibri"/>
                <w:color w:val="000000"/>
                <w:sz w:val="20"/>
                <w:szCs w:val="20"/>
                <w:lang w:val="en-GB"/>
              </w:rPr>
              <w:t>GDDKiA</w:t>
            </w:r>
            <w:proofErr w:type="spellEnd"/>
            <w:r w:rsidRPr="0045151D">
              <w:rPr>
                <w:rFonts w:ascii="Calibri" w:eastAsia="Calibri" w:hAnsi="Calibri" w:cs="Calibri"/>
                <w:color w:val="000000"/>
                <w:sz w:val="20"/>
                <w:szCs w:val="20"/>
                <w:lang w:val="en-GB"/>
              </w:rPr>
              <w:t>) is also possible.</w:t>
            </w:r>
          </w:p>
          <w:p w14:paraId="01183DB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this method, the main road safety indicators refer to the measurement of social losses:</w:t>
            </w:r>
          </w:p>
          <w:p w14:paraId="1A0425E4"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accidents (</w:t>
            </w:r>
            <w:r w:rsidRPr="0045151D">
              <w:rPr>
                <w:rFonts w:ascii="Calibri" w:eastAsia="Calibri" w:hAnsi="Calibri" w:cs="Calibri"/>
                <w:b/>
                <w:color w:val="000000"/>
                <w:sz w:val="20"/>
                <w:szCs w:val="20"/>
                <w:lang w:val="en-GB"/>
              </w:rPr>
              <w:t>LW</w:t>
            </w:r>
            <w:r w:rsidRPr="0045151D">
              <w:rPr>
                <w:rFonts w:ascii="Calibri" w:eastAsia="Calibri" w:hAnsi="Calibri" w:cs="Calibri"/>
                <w:color w:val="000000"/>
                <w:sz w:val="20"/>
                <w:szCs w:val="20"/>
                <w:lang w:val="en-GB"/>
              </w:rPr>
              <w:t>),</w:t>
            </w:r>
          </w:p>
          <w:p w14:paraId="2C2E6D34"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injured (</w:t>
            </w:r>
            <w:r w:rsidRPr="0045151D">
              <w:rPr>
                <w:rFonts w:ascii="Calibri" w:eastAsia="Calibri" w:hAnsi="Calibri" w:cs="Calibri"/>
                <w:b/>
                <w:color w:val="000000"/>
                <w:sz w:val="20"/>
                <w:szCs w:val="20"/>
                <w:lang w:val="en-GB"/>
              </w:rPr>
              <w:t>LR</w:t>
            </w:r>
            <w:r w:rsidRPr="0045151D">
              <w:rPr>
                <w:rFonts w:ascii="Calibri" w:eastAsia="Calibri" w:hAnsi="Calibri" w:cs="Calibri"/>
                <w:color w:val="000000"/>
                <w:sz w:val="20"/>
                <w:szCs w:val="20"/>
                <w:lang w:val="en-GB"/>
              </w:rPr>
              <w:t>),</w:t>
            </w:r>
          </w:p>
          <w:p w14:paraId="0C202CE9"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seriously injured (</w:t>
            </w:r>
            <w:r w:rsidRPr="0045151D">
              <w:rPr>
                <w:rFonts w:ascii="Calibri" w:eastAsia="Calibri" w:hAnsi="Calibri" w:cs="Calibri"/>
                <w:b/>
                <w:color w:val="000000"/>
                <w:sz w:val="20"/>
                <w:szCs w:val="20"/>
                <w:lang w:val="en-GB"/>
              </w:rPr>
              <w:t>LCR</w:t>
            </w:r>
            <w:r w:rsidRPr="0045151D">
              <w:rPr>
                <w:rFonts w:ascii="Calibri" w:eastAsia="Calibri" w:hAnsi="Calibri" w:cs="Calibri"/>
                <w:color w:val="000000"/>
                <w:sz w:val="20"/>
                <w:szCs w:val="20"/>
                <w:lang w:val="en-GB"/>
              </w:rPr>
              <w:t>)</w:t>
            </w:r>
            <w:r w:rsidRPr="0045151D">
              <w:rPr>
                <w:rFonts w:ascii="Calibri" w:eastAsia="Calibri" w:hAnsi="Calibri" w:cs="Calibri"/>
                <w:b/>
                <w:color w:val="000000"/>
                <w:sz w:val="20"/>
                <w:szCs w:val="20"/>
                <w:lang w:val="en-GB"/>
              </w:rPr>
              <w:t>,</w:t>
            </w:r>
          </w:p>
          <w:p w14:paraId="4967ADA4"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fatalities</w:t>
            </w:r>
            <w:r w:rsidRPr="0045151D">
              <w:rPr>
                <w:rFonts w:ascii="Calibri" w:eastAsia="Calibri" w:hAnsi="Calibri" w:cs="Calibri"/>
                <w:b/>
                <w:color w:val="000000"/>
                <w:sz w:val="20"/>
                <w:szCs w:val="20"/>
                <w:lang w:val="en-GB"/>
              </w:rPr>
              <w:t xml:space="preserve"> </w:t>
            </w:r>
            <w:r w:rsidRPr="0045151D">
              <w:rPr>
                <w:rFonts w:ascii="Calibri" w:eastAsia="Calibri" w:hAnsi="Calibri" w:cs="Calibri"/>
                <w:color w:val="000000"/>
                <w:sz w:val="20"/>
                <w:szCs w:val="20"/>
                <w:lang w:val="en-GB"/>
              </w:rPr>
              <w:t>(</w:t>
            </w:r>
            <w:r w:rsidRPr="0045151D">
              <w:rPr>
                <w:rFonts w:ascii="Calibri" w:eastAsia="Calibri" w:hAnsi="Calibri" w:cs="Calibri"/>
                <w:b/>
                <w:color w:val="000000"/>
                <w:sz w:val="20"/>
                <w:szCs w:val="20"/>
                <w:lang w:val="en-GB"/>
              </w:rPr>
              <w:t>LZ</w:t>
            </w:r>
            <w:r w:rsidRPr="0045151D">
              <w:rPr>
                <w:rFonts w:ascii="Calibri" w:eastAsia="Calibri" w:hAnsi="Calibri" w:cs="Calibri"/>
                <w:color w:val="000000"/>
                <w:sz w:val="20"/>
                <w:szCs w:val="20"/>
                <w:lang w:val="en-GB"/>
              </w:rPr>
              <w:t>).</w:t>
            </w:r>
          </w:p>
          <w:p w14:paraId="297D373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basis for the calculation of the current and projected number of accidents, fatalities and injured in road accidents in a given year for both investment option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as well as non-investment option W0 is the determination of the so-called secondary indicators of social risk:</w:t>
            </w:r>
          </w:p>
          <w:p w14:paraId="43BD32C5"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accidents (</w:t>
            </w:r>
            <w:r w:rsidRPr="0045151D">
              <w:rPr>
                <w:rFonts w:ascii="Calibri" w:eastAsia="Calibri" w:hAnsi="Calibri" w:cs="Calibri"/>
                <w:b/>
                <w:color w:val="000000"/>
                <w:sz w:val="20"/>
                <w:szCs w:val="20"/>
                <w:lang w:val="en-GB"/>
              </w:rPr>
              <w:t>GW</w:t>
            </w:r>
            <w:r w:rsidRPr="0045151D">
              <w:rPr>
                <w:rFonts w:ascii="Calibri" w:eastAsia="Calibri" w:hAnsi="Calibri" w:cs="Calibri"/>
                <w:color w:val="000000"/>
                <w:sz w:val="20"/>
                <w:szCs w:val="20"/>
                <w:lang w:val="en-GB"/>
              </w:rPr>
              <w:t>),</w:t>
            </w:r>
          </w:p>
          <w:p w14:paraId="4C5182F6"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injured (</w:t>
            </w:r>
            <w:r w:rsidRPr="0045151D">
              <w:rPr>
                <w:rFonts w:ascii="Calibri" w:eastAsia="Calibri" w:hAnsi="Calibri" w:cs="Calibri"/>
                <w:b/>
                <w:color w:val="000000"/>
                <w:sz w:val="20"/>
                <w:szCs w:val="20"/>
                <w:lang w:val="en-GB"/>
              </w:rPr>
              <w:t>GR</w:t>
            </w:r>
            <w:r w:rsidRPr="0045151D">
              <w:rPr>
                <w:rFonts w:ascii="Calibri" w:eastAsia="Calibri" w:hAnsi="Calibri" w:cs="Calibri"/>
                <w:color w:val="000000"/>
                <w:sz w:val="20"/>
                <w:szCs w:val="20"/>
                <w:lang w:val="en-GB"/>
              </w:rPr>
              <w:t>),</w:t>
            </w:r>
          </w:p>
          <w:p w14:paraId="6E19F793"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seriously injured (</w:t>
            </w:r>
            <w:r w:rsidRPr="0045151D">
              <w:rPr>
                <w:rFonts w:ascii="Calibri" w:eastAsia="Calibri" w:hAnsi="Calibri" w:cs="Calibri"/>
                <w:b/>
                <w:color w:val="000000"/>
                <w:sz w:val="20"/>
                <w:szCs w:val="20"/>
                <w:lang w:val="en-GB"/>
              </w:rPr>
              <w:t>GCR</w:t>
            </w:r>
            <w:r w:rsidRPr="0045151D">
              <w:rPr>
                <w:rFonts w:ascii="Calibri" w:eastAsia="Calibri" w:hAnsi="Calibri" w:cs="Calibri"/>
                <w:color w:val="000000"/>
                <w:sz w:val="20"/>
                <w:szCs w:val="20"/>
                <w:lang w:val="en-GB"/>
              </w:rPr>
              <w:t>),</w:t>
            </w:r>
          </w:p>
          <w:p w14:paraId="753BA4E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fatalities (</w:t>
            </w:r>
            <w:r w:rsidRPr="0045151D">
              <w:rPr>
                <w:rFonts w:ascii="Calibri" w:eastAsia="Calibri" w:hAnsi="Calibri" w:cs="Calibri"/>
                <w:b/>
                <w:color w:val="000000"/>
                <w:sz w:val="20"/>
                <w:szCs w:val="20"/>
                <w:lang w:val="en-GB"/>
              </w:rPr>
              <w:t>GZ</w:t>
            </w:r>
            <w:r w:rsidRPr="0045151D">
              <w:rPr>
                <w:rFonts w:ascii="Calibri" w:eastAsia="Calibri" w:hAnsi="Calibri" w:cs="Calibri"/>
                <w:color w:val="000000"/>
                <w:sz w:val="20"/>
                <w:szCs w:val="20"/>
                <w:lang w:val="en-GB"/>
              </w:rPr>
              <w:t>).</w:t>
            </w:r>
          </w:p>
          <w:p w14:paraId="0C33394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above mentioned indicators are presented in the tables below (from table 9 to table 20), derived from the road safety indicators method, using the following inputs:</w:t>
            </w:r>
          </w:p>
          <w:p w14:paraId="2428DAD1"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types of investment (road section, bypass),</w:t>
            </w:r>
          </w:p>
          <w:p w14:paraId="4E5F5A18"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number of carriageways (dual carriageway, single carriageway),</w:t>
            </w:r>
          </w:p>
          <w:p w14:paraId="3B102036"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road class (the study distinguishes the following ones: A, S (and S2+1), GP, G),</w:t>
            </w:r>
          </w:p>
          <w:p w14:paraId="74B09B1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forecast, Average Annual Daily Traffic (AADT),</w:t>
            </w:r>
          </w:p>
          <w:p w14:paraId="363BD67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location (region), applies to single carriageway roads,</w:t>
            </w:r>
          </w:p>
          <w:p w14:paraId="30A07EB5" w14:textId="6612B6EE"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built-up area (</w:t>
            </w:r>
            <w:r w:rsidR="00EB716F">
              <w:rPr>
                <w:rFonts w:ascii="Calibri" w:eastAsia="Calibri" w:hAnsi="Calibri" w:cs="Calibri"/>
                <w:b/>
                <w:color w:val="000000"/>
                <w:sz w:val="20"/>
                <w:szCs w:val="20"/>
                <w:lang w:val="en-GB"/>
              </w:rPr>
              <w:t>z</w:t>
            </w:r>
            <w:r w:rsidRPr="0045151D">
              <w:rPr>
                <w:rFonts w:ascii="Calibri" w:eastAsia="Calibri" w:hAnsi="Calibri" w:cs="Calibri"/>
                <w:color w:val="000000"/>
                <w:sz w:val="20"/>
                <w:szCs w:val="20"/>
                <w:lang w:val="en-GB"/>
              </w:rPr>
              <w:t>) / undeveloped area (</w:t>
            </w:r>
            <w:r w:rsidR="00EB716F">
              <w:rPr>
                <w:rFonts w:ascii="Calibri" w:eastAsia="Calibri" w:hAnsi="Calibri" w:cs="Calibri"/>
                <w:b/>
                <w:color w:val="000000"/>
                <w:sz w:val="20"/>
                <w:szCs w:val="20"/>
                <w:lang w:val="en-GB"/>
              </w:rPr>
              <w:t>n</w:t>
            </w:r>
            <w:r w:rsidRPr="0045151D">
              <w:rPr>
                <w:rFonts w:ascii="Calibri" w:eastAsia="Calibri" w:hAnsi="Calibri" w:cs="Calibri"/>
                <w:color w:val="000000"/>
                <w:sz w:val="20"/>
                <w:szCs w:val="20"/>
                <w:lang w:val="en-GB"/>
              </w:rPr>
              <w:t>)</w:t>
            </w:r>
            <w:r w:rsidR="003E14E4">
              <w:rPr>
                <w:rFonts w:ascii="Calibri" w:eastAsia="Calibri" w:hAnsi="Calibri" w:cs="Calibri"/>
                <w:color w:val="000000"/>
                <w:sz w:val="20"/>
                <w:szCs w:val="20"/>
                <w:vertAlign w:val="superscript"/>
                <w:lang w:val="en-GB"/>
              </w:rPr>
              <w:t>29</w:t>
            </w:r>
            <w:r w:rsidRPr="0045151D">
              <w:rPr>
                <w:rFonts w:ascii="Calibri" w:eastAsia="Calibri" w:hAnsi="Calibri" w:cs="Calibri"/>
                <w:color w:val="000000"/>
                <w:sz w:val="20"/>
                <w:szCs w:val="20"/>
                <w:lang w:val="en-GB"/>
              </w:rPr>
              <w:t>.</w:t>
            </w:r>
          </w:p>
          <w:p w14:paraId="1829C4E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accidents </w:t>
            </w:r>
            <w:proofErr w:type="spellStart"/>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wt</w:t>
            </w:r>
            <w:proofErr w:type="spellEnd"/>
            <w:r w:rsidRPr="0045151D">
              <w:rPr>
                <w:rFonts w:ascii="Calibri" w:eastAsia="Calibri" w:hAnsi="Calibri" w:cs="Calibri"/>
                <w:color w:val="000000"/>
                <w:sz w:val="20"/>
                <w:szCs w:val="20"/>
                <w:lang w:val="en-GB"/>
              </w:rPr>
              <w:t xml:space="preserve"> in a given year t on the section of length L is calculated using the formula:</w:t>
            </w:r>
          </w:p>
          <w:p w14:paraId="624C3EA3" w14:textId="77777777" w:rsidR="003E14E4" w:rsidRPr="003E14E4" w:rsidRDefault="003E14E4" w:rsidP="003E14E4">
            <w:pPr>
              <w:pStyle w:val="anxnormal"/>
              <w:spacing w:after="120"/>
              <w:ind w:left="0"/>
              <w:rPr>
                <w:rFonts w:asciiTheme="minorHAnsi" w:hAnsiTheme="minorHAnsi"/>
                <w:b/>
                <w:lang w:val="en-US"/>
              </w:rPr>
            </w:pPr>
            <w:proofErr w:type="spellStart"/>
            <w:r w:rsidRPr="003E14E4">
              <w:rPr>
                <w:rFonts w:asciiTheme="minorHAnsi" w:hAnsiTheme="minorHAnsi"/>
                <w:b/>
                <w:lang w:val="en-US"/>
              </w:rPr>
              <w:t>a</w:t>
            </w:r>
            <w:r w:rsidRPr="003E14E4">
              <w:rPr>
                <w:rFonts w:asciiTheme="minorHAnsi" w:hAnsiTheme="minorHAnsi"/>
                <w:b/>
                <w:vertAlign w:val="subscript"/>
                <w:lang w:val="en-US"/>
              </w:rPr>
              <w:t>wt</w:t>
            </w:r>
            <w:proofErr w:type="spellEnd"/>
            <w:r w:rsidRPr="003E14E4">
              <w:rPr>
                <w:rFonts w:asciiTheme="minorHAnsi" w:hAnsiTheme="minorHAnsi"/>
                <w:b/>
                <w:lang w:val="en-US"/>
              </w:rPr>
              <w:t xml:space="preserve"> = GW</w:t>
            </w:r>
            <w:r w:rsidRPr="00731E4E">
              <w:rPr>
                <w:rFonts w:asciiTheme="minorHAnsi" w:hAnsiTheme="minorHAnsi"/>
                <w:b/>
              </w:rPr>
              <w:sym w:font="Symbol" w:char="F0D7"/>
            </w:r>
            <w:r w:rsidRPr="003E14E4">
              <w:rPr>
                <w:rFonts w:asciiTheme="minorHAnsi" w:hAnsiTheme="minorHAnsi"/>
                <w:b/>
                <w:lang w:val="en-US"/>
              </w:rPr>
              <w:t>L</w:t>
            </w:r>
            <w:r w:rsidRPr="00731E4E">
              <w:rPr>
                <w:rFonts w:asciiTheme="minorHAnsi" w:hAnsiTheme="minorHAnsi"/>
                <w:b/>
              </w:rPr>
              <w:sym w:font="Symbol" w:char="F0D7"/>
            </w:r>
            <w:proofErr w:type="spellStart"/>
            <w:r w:rsidRPr="003E14E4">
              <w:rPr>
                <w:rFonts w:asciiTheme="minorHAnsi" w:hAnsiTheme="minorHAnsi"/>
                <w:b/>
                <w:i/>
                <w:lang w:val="en-US"/>
              </w:rPr>
              <w:t>f</w:t>
            </w:r>
            <w:r w:rsidRPr="003E14E4">
              <w:rPr>
                <w:rFonts w:asciiTheme="minorHAnsi" w:hAnsiTheme="minorHAnsi"/>
                <w:b/>
                <w:i/>
                <w:vertAlign w:val="subscript"/>
                <w:lang w:val="en-US"/>
              </w:rPr>
              <w:t>HP</w:t>
            </w:r>
            <w:proofErr w:type="spellEnd"/>
          </w:p>
          <w:p w14:paraId="20FE9175"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where:</w:t>
            </w:r>
            <w:r w:rsidRPr="0045151D">
              <w:rPr>
                <w:rFonts w:ascii="Calibri" w:eastAsia="Calibri" w:hAnsi="Calibri" w:cs="Calibri"/>
                <w:color w:val="000000"/>
                <w:sz w:val="20"/>
                <w:szCs w:val="20"/>
                <w:lang w:val="en-GB"/>
              </w:rPr>
              <w:t xml:space="preserve"> GW – density of accidents [accidents / km / year], L—section length in km, </w:t>
            </w:r>
            <w:proofErr w:type="spellStart"/>
            <w:r w:rsidRPr="0045151D">
              <w:rPr>
                <w:rFonts w:ascii="Calibri" w:eastAsia="Calibri" w:hAnsi="Calibri" w:cs="Calibri"/>
                <w:color w:val="000000"/>
                <w:sz w:val="20"/>
                <w:szCs w:val="20"/>
                <w:lang w:val="en-GB"/>
              </w:rPr>
              <w:t>f</w:t>
            </w:r>
            <w:r w:rsidRPr="0045151D">
              <w:rPr>
                <w:rFonts w:ascii="Calibri" w:eastAsia="Calibri" w:hAnsi="Calibri" w:cs="Calibri"/>
                <w:color w:val="000000"/>
                <w:sz w:val="20"/>
                <w:szCs w:val="20"/>
                <w:vertAlign w:val="subscript"/>
                <w:lang w:val="en-GB"/>
              </w:rPr>
              <w:t>HP</w:t>
            </w:r>
            <w:proofErr w:type="spellEnd"/>
            <w:r w:rsidRPr="0045151D">
              <w:rPr>
                <w:rFonts w:ascii="Calibri" w:eastAsia="Calibri" w:hAnsi="Calibri" w:cs="Calibri"/>
                <w:color w:val="000000"/>
                <w:sz w:val="20"/>
                <w:szCs w:val="20"/>
                <w:lang w:val="en-GB"/>
              </w:rPr>
              <w:t xml:space="preserve"> – factor of impact of forecast horizon.</w:t>
            </w:r>
          </w:p>
          <w:p w14:paraId="611EF7F7" w14:textId="7D420273" w:rsidR="00600DEE" w:rsidRPr="0045151D" w:rsidRDefault="00EB716F">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EB716F">
              <w:rPr>
                <w:rFonts w:asciiTheme="minorHAnsi" w:hAnsiTheme="minorHAnsi"/>
                <w:sz w:val="20"/>
                <w:szCs w:val="20"/>
                <w:lang w:val="en-GB"/>
              </w:rPr>
              <w:t xml:space="preserve">The number of accidents </w:t>
            </w:r>
            <w:proofErr w:type="spellStart"/>
            <w:r w:rsidRPr="00EB716F">
              <w:rPr>
                <w:rFonts w:asciiTheme="minorHAnsi" w:hAnsiTheme="minorHAnsi"/>
                <w:b/>
                <w:sz w:val="20"/>
                <w:szCs w:val="20"/>
                <w:lang w:val="en-GB"/>
              </w:rPr>
              <w:t>a</w:t>
            </w:r>
            <w:r w:rsidRPr="00EB716F">
              <w:rPr>
                <w:rFonts w:asciiTheme="minorHAnsi" w:hAnsiTheme="minorHAnsi"/>
                <w:b/>
                <w:sz w:val="20"/>
                <w:szCs w:val="20"/>
                <w:vertAlign w:val="subscript"/>
                <w:lang w:val="en-GB"/>
              </w:rPr>
              <w:t>wt</w:t>
            </w:r>
            <w:proofErr w:type="spellEnd"/>
            <w:r w:rsidRPr="0056349F">
              <w:rPr>
                <w:rFonts w:asciiTheme="minorHAnsi" w:hAnsiTheme="minorHAnsi"/>
                <w:lang w:val="en-GB"/>
              </w:rPr>
              <w:t xml:space="preserve"> </w:t>
            </w:r>
            <w:r w:rsidR="00641FB5" w:rsidRPr="0045151D">
              <w:rPr>
                <w:rFonts w:ascii="Calibri" w:eastAsia="Calibri" w:hAnsi="Calibri" w:cs="Calibri"/>
                <w:color w:val="000000"/>
                <w:sz w:val="20"/>
                <w:szCs w:val="20"/>
                <w:lang w:val="en-GB"/>
              </w:rPr>
              <w:t>corresponds</w:t>
            </w:r>
            <w:r>
              <w:rPr>
                <w:rFonts w:ascii="Calibri" w:eastAsia="Calibri" w:hAnsi="Calibri" w:cs="Calibri"/>
                <w:color w:val="000000"/>
                <w:sz w:val="20"/>
                <w:szCs w:val="20"/>
                <w:lang w:val="en-GB"/>
              </w:rPr>
              <w:t xml:space="preserve"> also</w:t>
            </w:r>
            <w:r w:rsidR="00641FB5" w:rsidRPr="0045151D">
              <w:rPr>
                <w:rFonts w:ascii="Calibri" w:eastAsia="Calibri" w:hAnsi="Calibri" w:cs="Calibri"/>
                <w:color w:val="000000"/>
                <w:sz w:val="20"/>
                <w:szCs w:val="20"/>
                <w:lang w:val="en-GB"/>
              </w:rPr>
              <w:t xml:space="preserve"> to the number of accidents with material loses (a</w:t>
            </w:r>
            <w:r w:rsidR="00641FB5" w:rsidRPr="0045151D">
              <w:rPr>
                <w:rFonts w:ascii="Calibri" w:eastAsia="Calibri" w:hAnsi="Calibri" w:cs="Calibri"/>
                <w:color w:val="000000"/>
                <w:sz w:val="20"/>
                <w:szCs w:val="20"/>
                <w:vertAlign w:val="subscript"/>
                <w:lang w:val="en-GB"/>
              </w:rPr>
              <w:t xml:space="preserve">mt  </w:t>
            </w:r>
            <w:r w:rsidR="00641FB5" w:rsidRPr="0045151D">
              <w:rPr>
                <w:rFonts w:ascii="Calibri" w:eastAsia="Calibri" w:hAnsi="Calibri" w:cs="Calibri"/>
                <w:color w:val="000000"/>
                <w:sz w:val="20"/>
                <w:szCs w:val="20"/>
                <w:lang w:val="en-GB"/>
              </w:rPr>
              <w:t xml:space="preserve">in the formula </w:t>
            </w:r>
            <w:r w:rsidRPr="00EB716F">
              <w:rPr>
                <w:rFonts w:asciiTheme="minorHAnsi" w:hAnsiTheme="minorHAnsi"/>
                <w:color w:val="222222"/>
                <w:sz w:val="20"/>
                <w:szCs w:val="20"/>
                <w:lang w:val="en-US"/>
              </w:rPr>
              <w:t xml:space="preserve">presented </w:t>
            </w:r>
            <w:r w:rsidRPr="00EB716F">
              <w:rPr>
                <w:rStyle w:val="hps"/>
                <w:rFonts w:asciiTheme="minorHAnsi" w:hAnsiTheme="minorHAnsi"/>
                <w:color w:val="222222"/>
                <w:sz w:val="20"/>
                <w:szCs w:val="20"/>
                <w:lang w:val="en-US"/>
              </w:rPr>
              <w:t>in Table</w:t>
            </w:r>
            <w:r w:rsidRPr="00EB716F">
              <w:rPr>
                <w:rFonts w:asciiTheme="minorHAnsi" w:hAnsiTheme="minorHAnsi"/>
                <w:color w:val="222222"/>
                <w:sz w:val="20"/>
                <w:szCs w:val="20"/>
                <w:lang w:val="en-US"/>
              </w:rPr>
              <w:t> </w:t>
            </w:r>
            <w:r>
              <w:rPr>
                <w:rStyle w:val="hps"/>
                <w:rFonts w:asciiTheme="minorHAnsi" w:hAnsiTheme="minorHAnsi"/>
                <w:color w:val="222222"/>
                <w:sz w:val="20"/>
                <w:szCs w:val="20"/>
                <w:lang w:val="en-US"/>
              </w:rPr>
              <w:t>19</w:t>
            </w:r>
            <w:r w:rsidRPr="00EB716F">
              <w:rPr>
                <w:rStyle w:val="hps"/>
                <w:rFonts w:asciiTheme="minorHAnsi" w:hAnsiTheme="minorHAnsi"/>
                <w:color w:val="222222"/>
                <w:sz w:val="20"/>
                <w:szCs w:val="20"/>
                <w:lang w:val="en-US"/>
              </w:rPr>
              <w:t xml:space="preserve"> of the main document</w:t>
            </w:r>
            <w:r w:rsidR="00641FB5" w:rsidRPr="00EB716F">
              <w:rPr>
                <w:rFonts w:ascii="Calibri" w:eastAsia="Calibri" w:hAnsi="Calibri" w:cs="Calibri"/>
                <w:color w:val="000000"/>
                <w:sz w:val="20"/>
                <w:szCs w:val="20"/>
                <w:lang w:val="en-GB"/>
              </w:rPr>
              <w:t>).</w:t>
            </w:r>
          </w:p>
          <w:p w14:paraId="7C1B9CF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injured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rt</w:t>
            </w:r>
            <w:r w:rsidRPr="0045151D">
              <w:rPr>
                <w:rFonts w:ascii="Calibri" w:eastAsia="Calibri" w:hAnsi="Calibri" w:cs="Calibri"/>
                <w:color w:val="000000"/>
                <w:sz w:val="20"/>
                <w:szCs w:val="20"/>
                <w:lang w:val="en-GB"/>
              </w:rPr>
              <w:t xml:space="preserve"> in a given year t on the section of length L is calculated using the formula: </w:t>
            </w:r>
          </w:p>
          <w:p w14:paraId="0E4E7080" w14:textId="77777777" w:rsidR="003E14E4" w:rsidRPr="003E14E4" w:rsidRDefault="003E14E4" w:rsidP="003E14E4">
            <w:pPr>
              <w:pStyle w:val="anxnormal"/>
              <w:spacing w:after="120"/>
              <w:ind w:left="0"/>
              <w:rPr>
                <w:rFonts w:asciiTheme="minorHAnsi" w:hAnsiTheme="minorHAnsi"/>
                <w:b/>
                <w:lang w:val="en-US"/>
              </w:rPr>
            </w:pPr>
            <w:r w:rsidRPr="003E14E4">
              <w:rPr>
                <w:rFonts w:asciiTheme="minorHAnsi" w:hAnsiTheme="minorHAnsi"/>
                <w:b/>
                <w:lang w:val="en-US"/>
              </w:rPr>
              <w:t>a</w:t>
            </w:r>
            <w:r w:rsidRPr="003E14E4">
              <w:rPr>
                <w:rFonts w:asciiTheme="minorHAnsi" w:hAnsiTheme="minorHAnsi"/>
                <w:b/>
                <w:vertAlign w:val="subscript"/>
                <w:lang w:val="en-US"/>
              </w:rPr>
              <w:t>rt</w:t>
            </w:r>
            <w:r w:rsidRPr="003E14E4">
              <w:rPr>
                <w:rFonts w:asciiTheme="minorHAnsi" w:hAnsiTheme="minorHAnsi"/>
                <w:b/>
                <w:lang w:val="en-US"/>
              </w:rPr>
              <w:t xml:space="preserve"> =GR</w:t>
            </w:r>
            <w:r w:rsidRPr="00731E4E">
              <w:rPr>
                <w:rFonts w:asciiTheme="minorHAnsi" w:hAnsiTheme="minorHAnsi"/>
                <w:b/>
              </w:rPr>
              <w:sym w:font="Symbol" w:char="F0D7"/>
            </w:r>
            <w:r w:rsidRPr="003E14E4">
              <w:rPr>
                <w:rFonts w:asciiTheme="minorHAnsi" w:hAnsiTheme="minorHAnsi"/>
                <w:b/>
                <w:lang w:val="en-US"/>
              </w:rPr>
              <w:t>L</w:t>
            </w:r>
            <w:r w:rsidRPr="00731E4E">
              <w:rPr>
                <w:rFonts w:asciiTheme="minorHAnsi" w:hAnsiTheme="minorHAnsi"/>
                <w:b/>
              </w:rPr>
              <w:sym w:font="Symbol" w:char="F0D7"/>
            </w:r>
            <w:proofErr w:type="spellStart"/>
            <w:r w:rsidRPr="003E14E4">
              <w:rPr>
                <w:rFonts w:asciiTheme="minorHAnsi" w:hAnsiTheme="minorHAnsi"/>
                <w:b/>
                <w:i/>
                <w:lang w:val="en-US"/>
              </w:rPr>
              <w:t>f</w:t>
            </w:r>
            <w:r w:rsidRPr="003E14E4">
              <w:rPr>
                <w:rFonts w:asciiTheme="minorHAnsi" w:hAnsiTheme="minorHAnsi"/>
                <w:b/>
                <w:i/>
                <w:vertAlign w:val="subscript"/>
                <w:lang w:val="en-US"/>
              </w:rPr>
              <w:t>HP</w:t>
            </w:r>
            <w:proofErr w:type="spellEnd"/>
            <w:r w:rsidRPr="003E14E4">
              <w:rPr>
                <w:rFonts w:asciiTheme="minorHAnsi" w:hAnsiTheme="minorHAnsi"/>
                <w:b/>
                <w:i/>
                <w:vertAlign w:val="subscript"/>
                <w:lang w:val="en-US"/>
              </w:rPr>
              <w:t xml:space="preserve"> </w:t>
            </w:r>
          </w:p>
          <w:p w14:paraId="404B8922"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where:</w:t>
            </w:r>
            <w:r w:rsidRPr="0045151D">
              <w:rPr>
                <w:rFonts w:ascii="Calibri" w:eastAsia="Calibri" w:hAnsi="Calibri" w:cs="Calibri"/>
                <w:color w:val="000000"/>
                <w:sz w:val="20"/>
                <w:szCs w:val="20"/>
                <w:lang w:val="en-GB"/>
              </w:rPr>
              <w:t xml:space="preserve"> GR – density of injured [persons / km / year], L—section length in km, </w:t>
            </w:r>
            <w:proofErr w:type="spellStart"/>
            <w:r w:rsidRPr="0045151D">
              <w:rPr>
                <w:rFonts w:ascii="Calibri" w:eastAsia="Calibri" w:hAnsi="Calibri" w:cs="Calibri"/>
                <w:color w:val="000000"/>
                <w:sz w:val="20"/>
                <w:szCs w:val="20"/>
                <w:lang w:val="en-GB"/>
              </w:rPr>
              <w:t>f</w:t>
            </w:r>
            <w:r w:rsidRPr="0045151D">
              <w:rPr>
                <w:rFonts w:ascii="Calibri" w:eastAsia="Calibri" w:hAnsi="Calibri" w:cs="Calibri"/>
                <w:color w:val="000000"/>
                <w:sz w:val="20"/>
                <w:szCs w:val="20"/>
                <w:vertAlign w:val="subscript"/>
                <w:lang w:val="en-GB"/>
              </w:rPr>
              <w:t>HP</w:t>
            </w:r>
            <w:proofErr w:type="spellEnd"/>
            <w:r w:rsidRPr="0045151D">
              <w:rPr>
                <w:rFonts w:ascii="Calibri" w:eastAsia="Calibri" w:hAnsi="Calibri" w:cs="Calibri"/>
                <w:color w:val="000000"/>
                <w:sz w:val="20"/>
                <w:szCs w:val="20"/>
                <w:lang w:val="en-GB"/>
              </w:rPr>
              <w:t xml:space="preserve"> – factor of impact of forecast horizon.</w:t>
            </w:r>
          </w:p>
          <w:p w14:paraId="2CD8A24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fatalities </w:t>
            </w:r>
            <w:proofErr w:type="spellStart"/>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zt</w:t>
            </w:r>
            <w:proofErr w:type="spellEnd"/>
            <w:r w:rsidRPr="0045151D">
              <w:rPr>
                <w:rFonts w:ascii="Calibri" w:eastAsia="Calibri" w:hAnsi="Calibri" w:cs="Calibri"/>
                <w:color w:val="000000"/>
                <w:sz w:val="20"/>
                <w:szCs w:val="20"/>
                <w:lang w:val="en-GB"/>
              </w:rPr>
              <w:t xml:space="preserve"> in a given year t on the section of length L is calculated using the formula: </w:t>
            </w:r>
          </w:p>
          <w:p w14:paraId="0E0A9D62" w14:textId="77777777" w:rsidR="003E14E4" w:rsidRPr="003E14E4" w:rsidRDefault="003E14E4" w:rsidP="003E14E4">
            <w:pPr>
              <w:pStyle w:val="anxnormal"/>
              <w:spacing w:after="120"/>
              <w:ind w:left="0"/>
              <w:rPr>
                <w:rFonts w:asciiTheme="minorHAnsi" w:hAnsiTheme="minorHAnsi"/>
                <w:b/>
                <w:i/>
                <w:vertAlign w:val="subscript"/>
                <w:lang w:val="en-US"/>
              </w:rPr>
            </w:pPr>
            <w:proofErr w:type="spellStart"/>
            <w:r w:rsidRPr="003E14E4">
              <w:rPr>
                <w:rFonts w:asciiTheme="minorHAnsi" w:hAnsiTheme="minorHAnsi"/>
                <w:b/>
                <w:lang w:val="en-US"/>
              </w:rPr>
              <w:t>a</w:t>
            </w:r>
            <w:r w:rsidRPr="003E14E4">
              <w:rPr>
                <w:rFonts w:asciiTheme="minorHAnsi" w:hAnsiTheme="minorHAnsi"/>
                <w:b/>
                <w:vertAlign w:val="subscript"/>
                <w:lang w:val="en-US"/>
              </w:rPr>
              <w:t>zt</w:t>
            </w:r>
            <w:proofErr w:type="spellEnd"/>
            <w:r w:rsidRPr="003E14E4">
              <w:rPr>
                <w:rFonts w:asciiTheme="minorHAnsi" w:hAnsiTheme="minorHAnsi"/>
                <w:b/>
                <w:lang w:val="en-US"/>
              </w:rPr>
              <w:t xml:space="preserve"> = GZ L</w:t>
            </w:r>
            <w:r w:rsidRPr="00731E4E">
              <w:rPr>
                <w:rFonts w:asciiTheme="minorHAnsi" w:hAnsiTheme="minorHAnsi"/>
                <w:b/>
              </w:rPr>
              <w:sym w:font="Symbol" w:char="F0D7"/>
            </w:r>
            <w:proofErr w:type="spellStart"/>
            <w:r w:rsidRPr="003E14E4">
              <w:rPr>
                <w:rFonts w:asciiTheme="minorHAnsi" w:hAnsiTheme="minorHAnsi"/>
                <w:b/>
                <w:i/>
                <w:lang w:val="en-US"/>
              </w:rPr>
              <w:t>f</w:t>
            </w:r>
            <w:r w:rsidRPr="003E14E4">
              <w:rPr>
                <w:rFonts w:asciiTheme="minorHAnsi" w:hAnsiTheme="minorHAnsi"/>
                <w:b/>
                <w:i/>
                <w:vertAlign w:val="subscript"/>
                <w:lang w:val="en-US"/>
              </w:rPr>
              <w:t>HP</w:t>
            </w:r>
            <w:proofErr w:type="spellEnd"/>
            <w:r w:rsidRPr="003E14E4">
              <w:rPr>
                <w:rFonts w:asciiTheme="minorHAnsi" w:hAnsiTheme="minorHAnsi"/>
                <w:b/>
                <w:i/>
                <w:vertAlign w:val="subscript"/>
                <w:lang w:val="en-US"/>
              </w:rPr>
              <w:t xml:space="preserve"> </w:t>
            </w:r>
          </w:p>
          <w:p w14:paraId="7F0D27D9" w14:textId="71AF8774"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lastRenderedPageBreak/>
              <w:t>where:</w:t>
            </w:r>
            <w:r w:rsidRPr="0045151D">
              <w:rPr>
                <w:rFonts w:ascii="Calibri" w:eastAsia="Calibri" w:hAnsi="Calibri" w:cs="Calibri"/>
                <w:color w:val="000000"/>
                <w:sz w:val="20"/>
                <w:szCs w:val="20"/>
                <w:lang w:val="en-GB"/>
              </w:rPr>
              <w:t xml:space="preserve"> GZ—density of fatalities [persons / km / year], L—section length in km,</w:t>
            </w:r>
            <w:r w:rsidRPr="003E14E4">
              <w:rPr>
                <w:rFonts w:ascii="Calibri" w:eastAsia="Calibri" w:hAnsi="Calibri" w:cs="Calibri"/>
                <w:color w:val="000000"/>
                <w:sz w:val="16"/>
                <w:szCs w:val="20"/>
                <w:lang w:val="en-GB"/>
              </w:rPr>
              <w:t xml:space="preserve"> </w:t>
            </w:r>
            <w:proofErr w:type="spellStart"/>
            <w:r w:rsidR="003E14E4" w:rsidRPr="003E14E4">
              <w:rPr>
                <w:rFonts w:asciiTheme="minorHAnsi" w:hAnsiTheme="minorHAnsi"/>
                <w:b/>
                <w:i/>
                <w:sz w:val="20"/>
                <w:lang w:val="en-US"/>
              </w:rPr>
              <w:t>f</w:t>
            </w:r>
            <w:r w:rsidR="003E14E4" w:rsidRPr="003E14E4">
              <w:rPr>
                <w:rFonts w:asciiTheme="minorHAnsi" w:hAnsiTheme="minorHAnsi"/>
                <w:b/>
                <w:i/>
                <w:sz w:val="20"/>
                <w:vertAlign w:val="subscript"/>
                <w:lang w:val="en-US"/>
              </w:rPr>
              <w:t>HP</w:t>
            </w:r>
            <w:proofErr w:type="spellEnd"/>
            <w:r w:rsidRPr="003E14E4">
              <w:rPr>
                <w:rFonts w:ascii="Calibri" w:eastAsia="Calibri" w:hAnsi="Calibri" w:cs="Calibri"/>
                <w:color w:val="000000"/>
                <w:sz w:val="16"/>
                <w:szCs w:val="20"/>
                <w:lang w:val="en-GB"/>
              </w:rPr>
              <w:t xml:space="preserve"> </w:t>
            </w:r>
            <w:r w:rsidRPr="0045151D">
              <w:rPr>
                <w:rFonts w:ascii="Calibri" w:eastAsia="Calibri" w:hAnsi="Calibri" w:cs="Calibri"/>
                <w:color w:val="000000"/>
                <w:sz w:val="20"/>
                <w:szCs w:val="20"/>
                <w:lang w:val="en-GB"/>
              </w:rPr>
              <w:t>– factor of impact of forecast horizon.</w:t>
            </w:r>
          </w:p>
          <w:p w14:paraId="36BEAEFC"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seriously injured </w:t>
            </w:r>
            <w:proofErr w:type="spellStart"/>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crt</w:t>
            </w:r>
            <w:proofErr w:type="spellEnd"/>
            <w:r w:rsidRPr="0045151D">
              <w:rPr>
                <w:rFonts w:ascii="Calibri" w:eastAsia="Calibri" w:hAnsi="Calibri" w:cs="Calibri"/>
                <w:color w:val="000000"/>
                <w:sz w:val="20"/>
                <w:szCs w:val="20"/>
                <w:lang w:val="en-GB"/>
              </w:rPr>
              <w:t xml:space="preserve"> in a given year t on the section of length L is calculated using the formula: </w:t>
            </w:r>
          </w:p>
          <w:p w14:paraId="7912253C" w14:textId="77777777" w:rsidR="003E14E4" w:rsidRPr="00731E4E" w:rsidRDefault="003E14E4" w:rsidP="003E14E4">
            <w:pPr>
              <w:pStyle w:val="anxnormal"/>
              <w:spacing w:after="120"/>
              <w:ind w:left="0"/>
              <w:rPr>
                <w:rFonts w:asciiTheme="minorHAnsi" w:hAnsiTheme="minorHAnsi"/>
                <w:b/>
                <w:i/>
                <w:vertAlign w:val="subscript"/>
                <w:lang w:val="en-GB"/>
              </w:rPr>
            </w:pPr>
            <w:proofErr w:type="spellStart"/>
            <w:r w:rsidRPr="00731E4E">
              <w:rPr>
                <w:rFonts w:asciiTheme="minorHAnsi" w:hAnsiTheme="minorHAnsi"/>
                <w:b/>
                <w:lang w:val="en-GB"/>
              </w:rPr>
              <w:t>a</w:t>
            </w:r>
            <w:r w:rsidRPr="00731E4E">
              <w:rPr>
                <w:rFonts w:asciiTheme="minorHAnsi" w:hAnsiTheme="minorHAnsi"/>
                <w:b/>
                <w:vertAlign w:val="subscript"/>
                <w:lang w:val="en-GB"/>
              </w:rPr>
              <w:t>crt</w:t>
            </w:r>
            <w:proofErr w:type="spellEnd"/>
            <w:r w:rsidRPr="00731E4E">
              <w:rPr>
                <w:rFonts w:asciiTheme="minorHAnsi" w:hAnsiTheme="minorHAnsi"/>
                <w:b/>
                <w:lang w:val="en-GB"/>
              </w:rPr>
              <w:t xml:space="preserve"> =GCR</w:t>
            </w:r>
            <w:r w:rsidRPr="00731E4E">
              <w:rPr>
                <w:rFonts w:asciiTheme="minorHAnsi" w:hAnsiTheme="minorHAnsi"/>
                <w:b/>
                <w:lang w:val="en-GB"/>
              </w:rPr>
              <w:sym w:font="Symbol" w:char="F0D7"/>
            </w:r>
            <w:r w:rsidRPr="00731E4E">
              <w:rPr>
                <w:rFonts w:asciiTheme="minorHAnsi" w:hAnsiTheme="minorHAnsi"/>
                <w:b/>
                <w:lang w:val="en-GB"/>
              </w:rPr>
              <w:t>L</w:t>
            </w:r>
            <w:r w:rsidRPr="00731E4E">
              <w:rPr>
                <w:rFonts w:asciiTheme="minorHAnsi" w:hAnsiTheme="minorHAnsi"/>
                <w:b/>
                <w:lang w:val="en-GB"/>
              </w:rPr>
              <w:sym w:font="Symbol" w:char="F0D7"/>
            </w:r>
            <w:proofErr w:type="spellStart"/>
            <w:r w:rsidRPr="00731E4E">
              <w:rPr>
                <w:rFonts w:asciiTheme="minorHAnsi" w:hAnsiTheme="minorHAnsi"/>
                <w:b/>
                <w:i/>
                <w:lang w:val="en-GB"/>
              </w:rPr>
              <w:t>f</w:t>
            </w:r>
            <w:r w:rsidRPr="00731E4E">
              <w:rPr>
                <w:rFonts w:asciiTheme="minorHAnsi" w:hAnsiTheme="minorHAnsi"/>
                <w:b/>
                <w:i/>
                <w:vertAlign w:val="subscript"/>
                <w:lang w:val="en-GB"/>
              </w:rPr>
              <w:t>HP</w:t>
            </w:r>
            <w:proofErr w:type="spellEnd"/>
            <w:r w:rsidRPr="00731E4E">
              <w:rPr>
                <w:rFonts w:asciiTheme="minorHAnsi" w:hAnsiTheme="minorHAnsi"/>
                <w:b/>
                <w:i/>
                <w:vertAlign w:val="subscript"/>
                <w:lang w:val="en-GB"/>
              </w:rPr>
              <w:t xml:space="preserve"> </w:t>
            </w:r>
          </w:p>
          <w:p w14:paraId="15637E5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where:</w:t>
            </w:r>
            <w:r w:rsidRPr="0045151D">
              <w:rPr>
                <w:rFonts w:ascii="Calibri" w:eastAsia="Calibri" w:hAnsi="Calibri" w:cs="Calibri"/>
                <w:color w:val="000000"/>
                <w:sz w:val="20"/>
                <w:szCs w:val="20"/>
                <w:lang w:val="en-GB"/>
              </w:rPr>
              <w:t xml:space="preserve"> GCR—density of seriously injured [people / km / year], L—section length in km, </w:t>
            </w:r>
            <w:proofErr w:type="spellStart"/>
            <w:r w:rsidRPr="0045151D">
              <w:rPr>
                <w:rFonts w:ascii="Calibri" w:eastAsia="Calibri" w:hAnsi="Calibri" w:cs="Calibri"/>
                <w:b/>
                <w:i/>
                <w:color w:val="000000"/>
                <w:sz w:val="20"/>
                <w:szCs w:val="20"/>
                <w:lang w:val="en-GB"/>
              </w:rPr>
              <w:t>f</w:t>
            </w:r>
            <w:r w:rsidRPr="0045151D">
              <w:rPr>
                <w:rFonts w:ascii="Calibri" w:eastAsia="Calibri" w:hAnsi="Calibri" w:cs="Calibri"/>
                <w:color w:val="000000"/>
                <w:sz w:val="20"/>
                <w:szCs w:val="20"/>
                <w:vertAlign w:val="subscript"/>
                <w:lang w:val="en-GB"/>
              </w:rPr>
              <w:t>HP</w:t>
            </w:r>
            <w:proofErr w:type="spellEnd"/>
            <w:r w:rsidRPr="0045151D">
              <w:rPr>
                <w:rFonts w:ascii="Calibri" w:eastAsia="Calibri" w:hAnsi="Calibri" w:cs="Calibri"/>
                <w:color w:val="000000"/>
                <w:sz w:val="20"/>
                <w:szCs w:val="20"/>
                <w:lang w:val="en-GB"/>
              </w:rPr>
              <w:t xml:space="preserve"> – factor of impact of forecast horizon.</w:t>
            </w:r>
          </w:p>
          <w:p w14:paraId="24F2BAD4"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Number of slightly injured (</w:t>
            </w:r>
            <w:proofErr w:type="spellStart"/>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lrt</w:t>
            </w:r>
            <w:proofErr w:type="spellEnd"/>
            <w:r w:rsidRPr="0045151D">
              <w:rPr>
                <w:rFonts w:ascii="Calibri" w:eastAsia="Calibri" w:hAnsi="Calibri" w:cs="Calibri"/>
                <w:color w:val="000000"/>
                <w:sz w:val="20"/>
                <w:szCs w:val="20"/>
                <w:lang w:val="en-GB"/>
              </w:rPr>
              <w:t xml:space="preserve">) should be  calculated as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rt</w:t>
            </w:r>
            <w:r w:rsidRPr="0045151D">
              <w:rPr>
                <w:rFonts w:ascii="Calibri" w:eastAsia="Calibri" w:hAnsi="Calibri" w:cs="Calibri"/>
                <w:color w:val="000000"/>
                <w:sz w:val="20"/>
                <w:szCs w:val="20"/>
                <w:lang w:val="en-GB"/>
              </w:rPr>
              <w:t>-</w:t>
            </w:r>
            <w:r w:rsidRPr="0045151D">
              <w:rPr>
                <w:rFonts w:ascii="Calibri" w:eastAsia="Calibri" w:hAnsi="Calibri" w:cs="Calibri"/>
                <w:b/>
                <w:color w:val="000000"/>
                <w:sz w:val="20"/>
                <w:szCs w:val="20"/>
                <w:lang w:val="en-GB"/>
              </w:rPr>
              <w:t xml:space="preserve"> </w:t>
            </w:r>
            <w:proofErr w:type="spellStart"/>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crt</w:t>
            </w:r>
            <w:proofErr w:type="spellEnd"/>
            <w:r w:rsidRPr="0045151D">
              <w:rPr>
                <w:rFonts w:ascii="Calibri" w:eastAsia="Calibri" w:hAnsi="Calibri" w:cs="Calibri"/>
                <w:b/>
                <w:color w:val="000000"/>
                <w:sz w:val="20"/>
                <w:szCs w:val="20"/>
                <w:vertAlign w:val="subscript"/>
                <w:lang w:val="en-GB"/>
              </w:rPr>
              <w:t xml:space="preserve"> </w:t>
            </w:r>
            <w:r w:rsidRPr="0045151D">
              <w:rPr>
                <w:rFonts w:ascii="Calibri" w:eastAsia="Calibri" w:hAnsi="Calibri" w:cs="Calibri"/>
                <w:color w:val="000000"/>
                <w:sz w:val="20"/>
                <w:szCs w:val="20"/>
                <w:lang w:val="en-GB"/>
              </w:rPr>
              <w:t xml:space="preserve"> difference.</w:t>
            </w:r>
          </w:p>
          <w:p w14:paraId="0EF62E1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values shown in the tables below (from table 10 to table 20) correspond to the year 2010. For the base year and purpose of forecasting, the time horizon factor (tab. 9) included in the formulas above should be taken into account. This factor takes into account socio-economic changes in Poland and planned actions to improve road safety over time.</w:t>
            </w:r>
          </w:p>
          <w:p w14:paraId="1552B805" w14:textId="1E397902" w:rsidR="00600DEE" w:rsidRPr="0045151D" w:rsidRDefault="00641FB5">
            <w:pPr>
              <w:pBdr>
                <w:top w:val="nil"/>
                <w:left w:val="nil"/>
                <w:bottom w:val="nil"/>
                <w:right w:val="nil"/>
                <w:between w:val="nil"/>
              </w:pBdr>
              <w:spacing w:before="120" w:after="120"/>
              <w:jc w:val="both"/>
              <w:rPr>
                <w:rFonts w:ascii="Calibri" w:eastAsia="Calibri" w:hAnsi="Calibri" w:cs="Calibri"/>
                <w:b/>
                <w:i/>
                <w:color w:val="4F81BD"/>
                <w:sz w:val="20"/>
                <w:szCs w:val="20"/>
                <w:lang w:val="en-GB"/>
              </w:rPr>
            </w:pPr>
            <w:r w:rsidRPr="0045151D">
              <w:rPr>
                <w:rFonts w:ascii="Calibri" w:eastAsia="Calibri" w:hAnsi="Calibri" w:cs="Calibri"/>
                <w:b/>
                <w:color w:val="4F81BD"/>
                <w:sz w:val="20"/>
                <w:szCs w:val="20"/>
                <w:lang w:val="en-GB"/>
              </w:rPr>
              <w:t xml:space="preserve">Table 9. Time horizon factor </w:t>
            </w:r>
            <w:proofErr w:type="spellStart"/>
            <w:r w:rsidRPr="0045151D">
              <w:rPr>
                <w:rFonts w:ascii="Calibri" w:eastAsia="Calibri" w:hAnsi="Calibri" w:cs="Calibri"/>
                <w:b/>
                <w:color w:val="4F81BD"/>
                <w:sz w:val="20"/>
                <w:szCs w:val="20"/>
                <w:lang w:val="en-GB"/>
              </w:rPr>
              <w:t>f</w:t>
            </w:r>
            <w:r w:rsidRPr="0045151D">
              <w:rPr>
                <w:rFonts w:ascii="Calibri" w:eastAsia="Calibri" w:hAnsi="Calibri" w:cs="Calibri"/>
                <w:b/>
                <w:color w:val="4F81BD"/>
                <w:sz w:val="20"/>
                <w:szCs w:val="20"/>
                <w:vertAlign w:val="subscript"/>
                <w:lang w:val="en-GB"/>
              </w:rPr>
              <w:t>HP</w:t>
            </w:r>
            <w:proofErr w:type="spellEnd"/>
            <w:r w:rsidRPr="0045151D">
              <w:rPr>
                <w:rFonts w:ascii="Calibri" w:eastAsia="Calibri" w:hAnsi="Calibri" w:cs="Calibri"/>
                <w:b/>
                <w:color w:val="4F81BD"/>
                <w:sz w:val="20"/>
                <w:szCs w:val="20"/>
                <w:vertAlign w:val="subscript"/>
                <w:lang w:val="en-GB"/>
              </w:rPr>
              <w:t xml:space="preserve"> </w:t>
            </w:r>
            <w:r w:rsidRPr="0045151D">
              <w:rPr>
                <w:rFonts w:ascii="Calibri" w:eastAsia="Calibri" w:hAnsi="Calibri" w:cs="Calibri"/>
                <w:b/>
                <w:i/>
                <w:color w:val="4F81BD"/>
                <w:sz w:val="20"/>
                <w:szCs w:val="20"/>
                <w:lang w:val="en-GB"/>
              </w:rPr>
              <w:t>(same table as for Method I)</w:t>
            </w:r>
          </w:p>
          <w:p w14:paraId="1DE4126D" w14:textId="77777777" w:rsidR="00AB1BC5" w:rsidRPr="0045151D" w:rsidRDefault="00AB1BC5" w:rsidP="00AB1BC5">
            <w:pPr>
              <w:pBdr>
                <w:top w:val="nil"/>
                <w:left w:val="nil"/>
                <w:bottom w:val="nil"/>
                <w:right w:val="nil"/>
                <w:between w:val="nil"/>
              </w:pBdr>
              <w:spacing w:before="120"/>
              <w:jc w:val="both"/>
              <w:rPr>
                <w:rFonts w:ascii="Calibri" w:eastAsia="Calibri" w:hAnsi="Calibri" w:cs="Calibri"/>
                <w:b/>
                <w:color w:val="4F81BD"/>
                <w:sz w:val="20"/>
                <w:szCs w:val="20"/>
                <w:lang w:val="en-GB"/>
              </w:rPr>
            </w:pPr>
          </w:p>
          <w:tbl>
            <w:tblPr>
              <w:tblStyle w:val="afffffffffffffffff3"/>
              <w:tblW w:w="65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95"/>
              <w:gridCol w:w="1275"/>
              <w:gridCol w:w="1794"/>
              <w:gridCol w:w="1293"/>
            </w:tblGrid>
            <w:tr w:rsidR="00600DEE" w:rsidRPr="007463B9" w14:paraId="4556F7EB" w14:textId="77777777" w:rsidTr="00AB1BC5">
              <w:trPr>
                <w:trHeight w:hRule="exact" w:val="284"/>
              </w:trPr>
              <w:tc>
                <w:tcPr>
                  <w:tcW w:w="2195" w:type="dxa"/>
                  <w:shd w:val="clear" w:color="auto" w:fill="A6A6A6"/>
                  <w:vAlign w:val="center"/>
                </w:tcPr>
                <w:p w14:paraId="216A49DF"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75" w:type="dxa"/>
                  <w:shd w:val="clear" w:color="auto" w:fill="A6A6A6"/>
                  <w:vAlign w:val="center"/>
                </w:tcPr>
                <w:p w14:paraId="05A0B061"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roofErr w:type="spellEnd"/>
                </w:p>
              </w:tc>
              <w:tc>
                <w:tcPr>
                  <w:tcW w:w="1794" w:type="dxa"/>
                  <w:shd w:val="clear" w:color="auto" w:fill="A6A6A6"/>
                  <w:vAlign w:val="center"/>
                </w:tcPr>
                <w:p w14:paraId="009B2DD8"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93" w:type="dxa"/>
                  <w:shd w:val="clear" w:color="auto" w:fill="A6A6A6"/>
                  <w:vAlign w:val="center"/>
                </w:tcPr>
                <w:p w14:paraId="5C3A5836"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roofErr w:type="spellEnd"/>
                </w:p>
              </w:tc>
            </w:tr>
            <w:tr w:rsidR="00600DEE" w:rsidRPr="007463B9" w14:paraId="50032AB8" w14:textId="77777777" w:rsidTr="00AB1BC5">
              <w:trPr>
                <w:trHeight w:hRule="exact" w:val="284"/>
              </w:trPr>
              <w:tc>
                <w:tcPr>
                  <w:tcW w:w="2195" w:type="dxa"/>
                  <w:shd w:val="clear" w:color="auto" w:fill="DBE5F1"/>
                  <w:vAlign w:val="center"/>
                </w:tcPr>
                <w:p w14:paraId="3471D1A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2009 - 2010</w:t>
                  </w:r>
                </w:p>
              </w:tc>
              <w:tc>
                <w:tcPr>
                  <w:tcW w:w="1275" w:type="dxa"/>
                  <w:shd w:val="clear" w:color="auto" w:fill="DBE5F1"/>
                  <w:vAlign w:val="center"/>
                </w:tcPr>
                <w:p w14:paraId="0D85DB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c>
                <w:tcPr>
                  <w:tcW w:w="1794" w:type="dxa"/>
                  <w:shd w:val="clear" w:color="auto" w:fill="DBE5F1"/>
                  <w:vAlign w:val="center"/>
                </w:tcPr>
                <w:p w14:paraId="634FF3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2030 - 2033</w:t>
                  </w:r>
                </w:p>
              </w:tc>
              <w:tc>
                <w:tcPr>
                  <w:tcW w:w="1293" w:type="dxa"/>
                  <w:shd w:val="clear" w:color="auto" w:fill="DBE5F1"/>
                  <w:vAlign w:val="center"/>
                </w:tcPr>
                <w:p w14:paraId="0D3547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w:t>
                  </w:r>
                </w:p>
              </w:tc>
            </w:tr>
            <w:tr w:rsidR="00600DEE" w:rsidRPr="007463B9" w14:paraId="097149B2" w14:textId="77777777" w:rsidTr="00AB1BC5">
              <w:trPr>
                <w:trHeight w:hRule="exact" w:val="284"/>
              </w:trPr>
              <w:tc>
                <w:tcPr>
                  <w:tcW w:w="2195" w:type="dxa"/>
                  <w:shd w:val="clear" w:color="auto" w:fill="DBE5F1"/>
                  <w:vAlign w:val="center"/>
                </w:tcPr>
                <w:p w14:paraId="248ABF2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2011 - 2016 </w:t>
                  </w:r>
                </w:p>
              </w:tc>
              <w:tc>
                <w:tcPr>
                  <w:tcW w:w="1275" w:type="dxa"/>
                  <w:shd w:val="clear" w:color="auto" w:fill="DBE5F1"/>
                  <w:vAlign w:val="center"/>
                </w:tcPr>
                <w:p w14:paraId="79D4A4C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w:t>
                  </w:r>
                </w:p>
              </w:tc>
              <w:tc>
                <w:tcPr>
                  <w:tcW w:w="1794" w:type="dxa"/>
                  <w:shd w:val="clear" w:color="auto" w:fill="DBE5F1"/>
                  <w:vAlign w:val="center"/>
                </w:tcPr>
                <w:p w14:paraId="6DC2E73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2034 - 2039</w:t>
                  </w:r>
                </w:p>
              </w:tc>
              <w:tc>
                <w:tcPr>
                  <w:tcW w:w="1293" w:type="dxa"/>
                  <w:shd w:val="clear" w:color="auto" w:fill="DBE5F1"/>
                  <w:vAlign w:val="center"/>
                </w:tcPr>
                <w:p w14:paraId="692D49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w:t>
                  </w:r>
                </w:p>
              </w:tc>
            </w:tr>
            <w:tr w:rsidR="00600DEE" w:rsidRPr="007463B9" w14:paraId="6DB143C6" w14:textId="77777777" w:rsidTr="00AB1BC5">
              <w:trPr>
                <w:trHeight w:hRule="exact" w:val="284"/>
              </w:trPr>
              <w:tc>
                <w:tcPr>
                  <w:tcW w:w="2195" w:type="dxa"/>
                  <w:shd w:val="clear" w:color="auto" w:fill="DBE5F1"/>
                  <w:vAlign w:val="center"/>
                </w:tcPr>
                <w:p w14:paraId="5A24FA3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2017 - 2021</w:t>
                  </w:r>
                </w:p>
              </w:tc>
              <w:tc>
                <w:tcPr>
                  <w:tcW w:w="1275" w:type="dxa"/>
                  <w:shd w:val="clear" w:color="auto" w:fill="DBE5F1"/>
                  <w:vAlign w:val="center"/>
                </w:tcPr>
                <w:p w14:paraId="579F236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794" w:type="dxa"/>
                  <w:shd w:val="clear" w:color="auto" w:fill="DBE5F1"/>
                  <w:vAlign w:val="center"/>
                </w:tcPr>
                <w:p w14:paraId="0F1E456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2040 - 2045</w:t>
                  </w:r>
                </w:p>
              </w:tc>
              <w:tc>
                <w:tcPr>
                  <w:tcW w:w="1293" w:type="dxa"/>
                  <w:shd w:val="clear" w:color="auto" w:fill="DBE5F1"/>
                  <w:vAlign w:val="center"/>
                </w:tcPr>
                <w:p w14:paraId="1759DE4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w:t>
                  </w:r>
                </w:p>
              </w:tc>
            </w:tr>
            <w:tr w:rsidR="00600DEE" w:rsidRPr="007463B9" w14:paraId="314B590C" w14:textId="77777777" w:rsidTr="00AB1BC5">
              <w:trPr>
                <w:trHeight w:hRule="exact" w:val="284"/>
              </w:trPr>
              <w:tc>
                <w:tcPr>
                  <w:tcW w:w="2195" w:type="dxa"/>
                  <w:shd w:val="clear" w:color="auto" w:fill="DBE5F1"/>
                  <w:vAlign w:val="center"/>
                </w:tcPr>
                <w:p w14:paraId="4481F80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2022 - 2025</w:t>
                  </w:r>
                </w:p>
              </w:tc>
              <w:tc>
                <w:tcPr>
                  <w:tcW w:w="1275" w:type="dxa"/>
                  <w:shd w:val="clear" w:color="auto" w:fill="DBE5F1"/>
                  <w:vAlign w:val="center"/>
                </w:tcPr>
                <w:p w14:paraId="491594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w:t>
                  </w:r>
                </w:p>
              </w:tc>
              <w:tc>
                <w:tcPr>
                  <w:tcW w:w="1794" w:type="dxa"/>
                  <w:shd w:val="clear" w:color="auto" w:fill="DBE5F1"/>
                  <w:vAlign w:val="center"/>
                </w:tcPr>
                <w:p w14:paraId="5BE4C4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2046 - 2050</w:t>
                  </w:r>
                </w:p>
              </w:tc>
              <w:tc>
                <w:tcPr>
                  <w:tcW w:w="1293" w:type="dxa"/>
                  <w:shd w:val="clear" w:color="auto" w:fill="DBE5F1"/>
                  <w:vAlign w:val="center"/>
                </w:tcPr>
                <w:p w14:paraId="7257E72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w:t>
                  </w:r>
                </w:p>
              </w:tc>
            </w:tr>
            <w:tr w:rsidR="00600DEE" w:rsidRPr="007463B9" w14:paraId="3EB6BBB7" w14:textId="77777777" w:rsidTr="00AB1BC5">
              <w:trPr>
                <w:trHeight w:hRule="exact" w:val="284"/>
              </w:trPr>
              <w:tc>
                <w:tcPr>
                  <w:tcW w:w="2195" w:type="dxa"/>
                  <w:shd w:val="clear" w:color="auto" w:fill="DBE5F1"/>
                  <w:vAlign w:val="center"/>
                </w:tcPr>
                <w:p w14:paraId="32A3FC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2026 - 2029</w:t>
                  </w:r>
                </w:p>
              </w:tc>
              <w:tc>
                <w:tcPr>
                  <w:tcW w:w="1275" w:type="dxa"/>
                  <w:shd w:val="clear" w:color="auto" w:fill="DBE5F1"/>
                  <w:vAlign w:val="center"/>
                </w:tcPr>
                <w:p w14:paraId="5822229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w:t>
                  </w:r>
                </w:p>
              </w:tc>
              <w:tc>
                <w:tcPr>
                  <w:tcW w:w="1794" w:type="dxa"/>
                  <w:shd w:val="clear" w:color="auto" w:fill="DBE5F1"/>
                </w:tcPr>
                <w:p w14:paraId="3096B4BB" w14:textId="77777777" w:rsidR="00600DEE" w:rsidRPr="0045151D" w:rsidRDefault="00600DEE">
                  <w:pPr>
                    <w:jc w:val="both"/>
                    <w:rPr>
                      <w:rFonts w:ascii="Calibri" w:eastAsia="Calibri" w:hAnsi="Calibri" w:cs="Calibri"/>
                      <w:color w:val="4F81BD"/>
                      <w:sz w:val="18"/>
                      <w:szCs w:val="18"/>
                      <w:lang w:val="en-GB"/>
                    </w:rPr>
                  </w:pPr>
                </w:p>
              </w:tc>
              <w:tc>
                <w:tcPr>
                  <w:tcW w:w="1293" w:type="dxa"/>
                  <w:shd w:val="clear" w:color="auto" w:fill="DBE5F1"/>
                </w:tcPr>
                <w:p w14:paraId="20A03FA7" w14:textId="77777777" w:rsidR="00600DEE" w:rsidRPr="0045151D" w:rsidRDefault="00600DEE">
                  <w:pPr>
                    <w:rPr>
                      <w:rFonts w:ascii="Calibri" w:eastAsia="Calibri" w:hAnsi="Calibri" w:cs="Calibri"/>
                      <w:color w:val="4F81BD"/>
                      <w:sz w:val="18"/>
                      <w:szCs w:val="18"/>
                      <w:lang w:val="en-GB"/>
                    </w:rPr>
                  </w:pPr>
                </w:p>
              </w:tc>
            </w:tr>
          </w:tbl>
          <w:p w14:paraId="034C315A"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Own calculations based on the method of RS indicators</w:t>
            </w:r>
          </w:p>
          <w:p w14:paraId="1D0E0351"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following tables refer to two types of investments: </w:t>
            </w:r>
          </w:p>
          <w:p w14:paraId="3DA2080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linear investments, road sections (dual carriageway and single carriageway, over 10 km of length) </w:t>
            </w:r>
          </w:p>
          <w:p w14:paraId="0C1BD276" w14:textId="77777777" w:rsidR="00600DEE"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bypasses</w:t>
            </w:r>
            <w:proofErr w:type="spellEnd"/>
            <w:r>
              <w:rPr>
                <w:rFonts w:ascii="Calibri" w:eastAsia="Calibri" w:hAnsi="Calibri" w:cs="Calibri"/>
                <w:color w:val="000000"/>
                <w:sz w:val="20"/>
                <w:szCs w:val="20"/>
              </w:rPr>
              <w:t xml:space="preserve"> (single </w:t>
            </w:r>
            <w:proofErr w:type="spellStart"/>
            <w:r>
              <w:rPr>
                <w:rFonts w:ascii="Calibri" w:eastAsia="Calibri" w:hAnsi="Calibri" w:cs="Calibri"/>
                <w:color w:val="000000"/>
                <w:sz w:val="20"/>
                <w:szCs w:val="20"/>
              </w:rPr>
              <w:t>carriageway</w:t>
            </w:r>
            <w:proofErr w:type="spellEnd"/>
            <w:r>
              <w:rPr>
                <w:rFonts w:ascii="Calibri" w:eastAsia="Calibri" w:hAnsi="Calibri" w:cs="Calibri"/>
                <w:color w:val="000000"/>
                <w:sz w:val="20"/>
                <w:szCs w:val="20"/>
              </w:rPr>
              <w:t>).</w:t>
            </w:r>
          </w:p>
          <w:p w14:paraId="2265B66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values presented in the tables correspond to the relevant range of AADT; these estimates may be used for CBA purposes. </w:t>
            </w:r>
            <w:proofErr w:type="spellStart"/>
            <w:r w:rsidRPr="0045151D">
              <w:rPr>
                <w:rFonts w:ascii="Calibri" w:eastAsia="Calibri" w:hAnsi="Calibri" w:cs="Calibri"/>
                <w:color w:val="000000"/>
                <w:sz w:val="20"/>
                <w:szCs w:val="20"/>
                <w:lang w:val="en-GB"/>
              </w:rPr>
              <w:t>However,interpolation</w:t>
            </w:r>
            <w:proofErr w:type="spellEnd"/>
            <w:r w:rsidRPr="0045151D">
              <w:rPr>
                <w:rFonts w:ascii="Calibri" w:eastAsia="Calibri" w:hAnsi="Calibri" w:cs="Calibri"/>
                <w:color w:val="000000"/>
                <w:sz w:val="20"/>
                <w:szCs w:val="20"/>
                <w:lang w:val="en-GB"/>
              </w:rPr>
              <w:t xml:space="preserve"> is also possible, particularly in case of slight variations in AADT values.</w:t>
            </w:r>
          </w:p>
          <w:p w14:paraId="3312AC50"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000000"/>
                <w:sz w:val="20"/>
                <w:szCs w:val="20"/>
                <w:lang w:val="en-GB"/>
              </w:rPr>
            </w:pPr>
          </w:p>
          <w:p w14:paraId="6E694350"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lastRenderedPageBreak/>
              <w:t>Dual carriageway road sections</w:t>
            </w:r>
          </w:p>
          <w:p w14:paraId="5748547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Accident costs on dual carriageway roads sections for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and W0</w:t>
            </w:r>
            <w:r w:rsidRPr="0045151D">
              <w:rPr>
                <w:rFonts w:ascii="Calibri" w:eastAsia="Calibri" w:hAnsi="Calibri" w:cs="Calibri"/>
                <w:color w:val="000000"/>
                <w:sz w:val="20"/>
                <w:szCs w:val="20"/>
                <w:vertAlign w:val="subscript"/>
                <w:lang w:val="en-GB"/>
              </w:rPr>
              <w:t xml:space="preserve"> </w:t>
            </w:r>
            <w:r w:rsidRPr="0045151D">
              <w:rPr>
                <w:rFonts w:ascii="Calibri" w:eastAsia="Calibri" w:hAnsi="Calibri" w:cs="Calibri"/>
                <w:color w:val="000000"/>
                <w:sz w:val="20"/>
                <w:szCs w:val="20"/>
                <w:lang w:val="en-GB"/>
              </w:rPr>
              <w:t>options are calculated as the sum of costs of slightly injured, seriously injured, fatalities and material loses.</w:t>
            </w:r>
          </w:p>
          <w:p w14:paraId="0CDE2624"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169E7AE" w14:textId="77777777" w:rsidR="00600DEE" w:rsidRPr="0045151D" w:rsidRDefault="00641FB5">
            <w:pPr>
              <w:pBdr>
                <w:top w:val="nil"/>
                <w:left w:val="nil"/>
                <w:bottom w:val="nil"/>
                <w:right w:val="nil"/>
                <w:between w:val="nil"/>
              </w:pBdr>
              <w:spacing w:before="120" w:after="120"/>
              <w:ind w:left="848" w:hanging="85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10. The density of road traffic accidents (GW) for dual carriageway roads</w:t>
            </w:r>
            <w:r w:rsidRPr="0045151D">
              <w:rPr>
                <w:rFonts w:ascii="Calibri" w:eastAsia="Calibri" w:hAnsi="Calibri" w:cs="Calibri"/>
                <w:b/>
                <w:color w:val="4F81BD"/>
                <w:sz w:val="20"/>
                <w:szCs w:val="20"/>
                <w:lang w:val="en-GB"/>
              </w:rPr>
              <w:br/>
              <w:t>[accidents/km/year]</w:t>
            </w:r>
          </w:p>
          <w:tbl>
            <w:tblPr>
              <w:tblStyle w:val="afffffffffffffffff4"/>
              <w:tblW w:w="69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56"/>
              <w:gridCol w:w="1307"/>
              <w:gridCol w:w="1307"/>
              <w:gridCol w:w="1307"/>
              <w:gridCol w:w="1363"/>
            </w:tblGrid>
            <w:tr w:rsidR="00600DEE" w:rsidRPr="007463B9" w14:paraId="407B2E81" w14:textId="77777777" w:rsidTr="00AB1BC5">
              <w:trPr>
                <w:trHeight w:hRule="exact" w:val="255"/>
              </w:trPr>
              <w:tc>
                <w:tcPr>
                  <w:tcW w:w="1657" w:type="dxa"/>
                  <w:shd w:val="clear" w:color="auto" w:fill="A6A6A6"/>
                  <w:vAlign w:val="center"/>
                </w:tcPr>
                <w:p w14:paraId="16E9C552"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307" w:type="dxa"/>
                  <w:shd w:val="clear" w:color="auto" w:fill="A6A6A6"/>
                  <w:vAlign w:val="center"/>
                </w:tcPr>
                <w:p w14:paraId="21439CBA"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307" w:type="dxa"/>
                  <w:shd w:val="clear" w:color="auto" w:fill="A6A6A6"/>
                  <w:vAlign w:val="center"/>
                </w:tcPr>
                <w:p w14:paraId="39E05F6A"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307" w:type="dxa"/>
                  <w:shd w:val="clear" w:color="auto" w:fill="A6A6A6"/>
                  <w:vAlign w:val="center"/>
                </w:tcPr>
                <w:p w14:paraId="6FB94929"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GPn</w:t>
                  </w:r>
                  <w:proofErr w:type="spellEnd"/>
                  <w:r w:rsidRPr="0045151D">
                    <w:rPr>
                      <w:rFonts w:ascii="Calibri" w:eastAsia="Calibri" w:hAnsi="Calibri" w:cs="Calibri"/>
                      <w:b/>
                      <w:color w:val="FFFFFF"/>
                      <w:sz w:val="17"/>
                      <w:szCs w:val="17"/>
                      <w:lang w:val="en-GB"/>
                    </w:rPr>
                    <w:t xml:space="preserve"> *</w:t>
                  </w:r>
                </w:p>
              </w:tc>
              <w:tc>
                <w:tcPr>
                  <w:tcW w:w="1363" w:type="dxa"/>
                  <w:shd w:val="clear" w:color="auto" w:fill="A6A6A6"/>
                  <w:vAlign w:val="center"/>
                </w:tcPr>
                <w:p w14:paraId="32389A10"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GPz</w:t>
                  </w:r>
                  <w:proofErr w:type="spellEnd"/>
                  <w:r w:rsidRPr="0045151D">
                    <w:rPr>
                      <w:rFonts w:ascii="Calibri" w:eastAsia="Calibri" w:hAnsi="Calibri" w:cs="Calibri"/>
                      <w:b/>
                      <w:color w:val="FFFFFF"/>
                      <w:sz w:val="17"/>
                      <w:szCs w:val="17"/>
                      <w:lang w:val="en-GB"/>
                    </w:rPr>
                    <w:t xml:space="preserve"> **</w:t>
                  </w:r>
                </w:p>
              </w:tc>
            </w:tr>
            <w:tr w:rsidR="00600DEE" w:rsidRPr="007463B9" w14:paraId="3E8E0B11" w14:textId="77777777" w:rsidTr="00AB1BC5">
              <w:trPr>
                <w:trHeight w:hRule="exact" w:val="255"/>
              </w:trPr>
              <w:tc>
                <w:tcPr>
                  <w:tcW w:w="1657" w:type="dxa"/>
                  <w:shd w:val="clear" w:color="auto" w:fill="DBE5F1"/>
                  <w:vAlign w:val="bottom"/>
                </w:tcPr>
                <w:p w14:paraId="50B3EAC5" w14:textId="536E14DB"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307" w:type="dxa"/>
                  <w:shd w:val="clear" w:color="auto" w:fill="DBE5F1"/>
                  <w:vAlign w:val="bottom"/>
                </w:tcPr>
                <w:p w14:paraId="214274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0.040</w:t>
                  </w:r>
                </w:p>
              </w:tc>
              <w:tc>
                <w:tcPr>
                  <w:tcW w:w="1307" w:type="dxa"/>
                  <w:shd w:val="clear" w:color="auto" w:fill="DBE5F1"/>
                  <w:vAlign w:val="bottom"/>
                </w:tcPr>
                <w:p w14:paraId="0D7F835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0.029</w:t>
                  </w:r>
                </w:p>
              </w:tc>
              <w:tc>
                <w:tcPr>
                  <w:tcW w:w="1307" w:type="dxa"/>
                  <w:shd w:val="clear" w:color="auto" w:fill="DBE5F1"/>
                  <w:vAlign w:val="bottom"/>
                </w:tcPr>
                <w:p w14:paraId="6FDEB3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0.396</w:t>
                  </w:r>
                </w:p>
              </w:tc>
              <w:tc>
                <w:tcPr>
                  <w:tcW w:w="1363" w:type="dxa"/>
                  <w:shd w:val="clear" w:color="auto" w:fill="DBE5F1"/>
                  <w:vAlign w:val="bottom"/>
                </w:tcPr>
                <w:p w14:paraId="4D9A96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0.739</w:t>
                  </w:r>
                </w:p>
              </w:tc>
            </w:tr>
            <w:tr w:rsidR="00600DEE" w:rsidRPr="007463B9" w14:paraId="646ED7EF" w14:textId="77777777" w:rsidTr="00AB1BC5">
              <w:trPr>
                <w:trHeight w:hRule="exact" w:val="255"/>
              </w:trPr>
              <w:tc>
                <w:tcPr>
                  <w:tcW w:w="1657" w:type="dxa"/>
                  <w:shd w:val="clear" w:color="auto" w:fill="DBE5F1"/>
                  <w:vAlign w:val="bottom"/>
                </w:tcPr>
                <w:p w14:paraId="6A4B6A55" w14:textId="5B1A8CA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307" w:type="dxa"/>
                  <w:shd w:val="clear" w:color="auto" w:fill="DBE5F1"/>
                  <w:vAlign w:val="bottom"/>
                </w:tcPr>
                <w:p w14:paraId="6A3B32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c>
                <w:tcPr>
                  <w:tcW w:w="1307" w:type="dxa"/>
                  <w:shd w:val="clear" w:color="auto" w:fill="DBE5F1"/>
                  <w:vAlign w:val="bottom"/>
                </w:tcPr>
                <w:p w14:paraId="7C1E2F4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0.081</w:t>
                  </w:r>
                </w:p>
              </w:tc>
              <w:tc>
                <w:tcPr>
                  <w:tcW w:w="1307" w:type="dxa"/>
                  <w:shd w:val="clear" w:color="auto" w:fill="DBE5F1"/>
                  <w:vAlign w:val="bottom"/>
                </w:tcPr>
                <w:p w14:paraId="2D07931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0.460</w:t>
                  </w:r>
                </w:p>
              </w:tc>
              <w:tc>
                <w:tcPr>
                  <w:tcW w:w="1363" w:type="dxa"/>
                  <w:shd w:val="clear" w:color="auto" w:fill="DBE5F1"/>
                  <w:vAlign w:val="bottom"/>
                </w:tcPr>
                <w:p w14:paraId="16A21E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0.819</w:t>
                  </w:r>
                </w:p>
              </w:tc>
            </w:tr>
            <w:tr w:rsidR="00600DEE" w:rsidRPr="007463B9" w14:paraId="1FDA7361" w14:textId="77777777" w:rsidTr="00AB1BC5">
              <w:trPr>
                <w:trHeight w:hRule="exact" w:val="255"/>
              </w:trPr>
              <w:tc>
                <w:tcPr>
                  <w:tcW w:w="1657" w:type="dxa"/>
                  <w:shd w:val="clear" w:color="auto" w:fill="DBE5F1"/>
                  <w:vAlign w:val="bottom"/>
                </w:tcPr>
                <w:p w14:paraId="0B5EDA7F" w14:textId="0B001CB5"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10 000-20 000</w:t>
                  </w:r>
                </w:p>
              </w:tc>
              <w:tc>
                <w:tcPr>
                  <w:tcW w:w="1307" w:type="dxa"/>
                  <w:shd w:val="clear" w:color="auto" w:fill="DBE5F1"/>
                  <w:vAlign w:val="bottom"/>
                </w:tcPr>
                <w:p w14:paraId="50F0F87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0.294</w:t>
                  </w:r>
                </w:p>
              </w:tc>
              <w:tc>
                <w:tcPr>
                  <w:tcW w:w="1307" w:type="dxa"/>
                  <w:shd w:val="clear" w:color="auto" w:fill="DBE5F1"/>
                  <w:vAlign w:val="bottom"/>
                </w:tcPr>
                <w:p w14:paraId="47793EF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0.220</w:t>
                  </w:r>
                </w:p>
              </w:tc>
              <w:tc>
                <w:tcPr>
                  <w:tcW w:w="1307" w:type="dxa"/>
                  <w:shd w:val="clear" w:color="auto" w:fill="DBE5F1"/>
                  <w:vAlign w:val="bottom"/>
                </w:tcPr>
                <w:p w14:paraId="117100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0.603</w:t>
                  </w:r>
                </w:p>
              </w:tc>
              <w:tc>
                <w:tcPr>
                  <w:tcW w:w="1363" w:type="dxa"/>
                  <w:shd w:val="clear" w:color="auto" w:fill="DBE5F1"/>
                  <w:vAlign w:val="bottom"/>
                </w:tcPr>
                <w:p w14:paraId="3724F51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0.974</w:t>
                  </w:r>
                </w:p>
              </w:tc>
            </w:tr>
            <w:tr w:rsidR="00600DEE" w:rsidRPr="007463B9" w14:paraId="454E311F" w14:textId="77777777" w:rsidTr="00AB1BC5">
              <w:trPr>
                <w:trHeight w:hRule="exact" w:val="255"/>
              </w:trPr>
              <w:tc>
                <w:tcPr>
                  <w:tcW w:w="1657" w:type="dxa"/>
                  <w:shd w:val="clear" w:color="auto" w:fill="DBE5F1"/>
                  <w:vAlign w:val="bottom"/>
                </w:tcPr>
                <w:p w14:paraId="1A8920CA" w14:textId="4D60A133"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307" w:type="dxa"/>
                  <w:shd w:val="clear" w:color="auto" w:fill="DBE5F1"/>
                  <w:vAlign w:val="bottom"/>
                </w:tcPr>
                <w:p w14:paraId="19BBA2F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0.554</w:t>
                  </w:r>
                </w:p>
              </w:tc>
              <w:tc>
                <w:tcPr>
                  <w:tcW w:w="1307" w:type="dxa"/>
                  <w:shd w:val="clear" w:color="auto" w:fill="DBE5F1"/>
                  <w:vAlign w:val="bottom"/>
                </w:tcPr>
                <w:p w14:paraId="4E68102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0.396</w:t>
                  </w:r>
                </w:p>
              </w:tc>
              <w:tc>
                <w:tcPr>
                  <w:tcW w:w="1307" w:type="dxa"/>
                  <w:shd w:val="clear" w:color="auto" w:fill="DBE5F1"/>
                  <w:vAlign w:val="bottom"/>
                </w:tcPr>
                <w:p w14:paraId="093FD4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0.810</w:t>
                  </w:r>
                </w:p>
              </w:tc>
              <w:tc>
                <w:tcPr>
                  <w:tcW w:w="1363" w:type="dxa"/>
                  <w:shd w:val="clear" w:color="auto" w:fill="DBE5F1"/>
                  <w:vAlign w:val="bottom"/>
                </w:tcPr>
                <w:p w14:paraId="70D5634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1.161</w:t>
                  </w:r>
                </w:p>
              </w:tc>
            </w:tr>
            <w:tr w:rsidR="00600DEE" w:rsidRPr="007463B9" w14:paraId="402E46B7" w14:textId="77777777" w:rsidTr="00AB1BC5">
              <w:trPr>
                <w:trHeight w:hRule="exact" w:val="255"/>
              </w:trPr>
              <w:tc>
                <w:tcPr>
                  <w:tcW w:w="1657" w:type="dxa"/>
                  <w:shd w:val="clear" w:color="auto" w:fill="DBE5F1"/>
                  <w:vAlign w:val="bottom"/>
                </w:tcPr>
                <w:p w14:paraId="63BF5132" w14:textId="2416E59F"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307" w:type="dxa"/>
                  <w:shd w:val="clear" w:color="auto" w:fill="DBE5F1"/>
                  <w:vAlign w:val="bottom"/>
                </w:tcPr>
                <w:p w14:paraId="3D9ACA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0.800</w:t>
                  </w:r>
                </w:p>
              </w:tc>
              <w:tc>
                <w:tcPr>
                  <w:tcW w:w="1307" w:type="dxa"/>
                  <w:shd w:val="clear" w:color="auto" w:fill="DBE5F1"/>
                  <w:vAlign w:val="bottom"/>
                </w:tcPr>
                <w:p w14:paraId="76509F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0.571</w:t>
                  </w:r>
                </w:p>
              </w:tc>
              <w:tc>
                <w:tcPr>
                  <w:tcW w:w="1307" w:type="dxa"/>
                  <w:shd w:val="clear" w:color="auto" w:fill="DBE5F1"/>
                  <w:vAlign w:val="bottom"/>
                </w:tcPr>
                <w:p w14:paraId="0E1155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1.016</w:t>
                  </w:r>
                </w:p>
              </w:tc>
              <w:tc>
                <w:tcPr>
                  <w:tcW w:w="1363" w:type="dxa"/>
                  <w:shd w:val="clear" w:color="auto" w:fill="DBE5F1"/>
                  <w:vAlign w:val="bottom"/>
                </w:tcPr>
                <w:p w14:paraId="4A191B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1.309</w:t>
                  </w:r>
                </w:p>
              </w:tc>
            </w:tr>
            <w:tr w:rsidR="00600DEE" w:rsidRPr="007463B9" w14:paraId="18F3BAAF" w14:textId="77777777" w:rsidTr="00AB1BC5">
              <w:trPr>
                <w:trHeight w:hRule="exact" w:val="255"/>
              </w:trPr>
              <w:tc>
                <w:tcPr>
                  <w:tcW w:w="1657" w:type="dxa"/>
                  <w:shd w:val="clear" w:color="auto" w:fill="DBE5F1"/>
                  <w:vAlign w:val="bottom"/>
                </w:tcPr>
                <w:p w14:paraId="4A5BA1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307" w:type="dxa"/>
                  <w:shd w:val="clear" w:color="auto" w:fill="DBE5F1"/>
                  <w:vAlign w:val="bottom"/>
                </w:tcPr>
                <w:p w14:paraId="3847604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1.255</w:t>
                  </w:r>
                </w:p>
              </w:tc>
              <w:tc>
                <w:tcPr>
                  <w:tcW w:w="1307" w:type="dxa"/>
                  <w:shd w:val="clear" w:color="auto" w:fill="DBE5F1"/>
                  <w:vAlign w:val="bottom"/>
                </w:tcPr>
                <w:p w14:paraId="25469B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0.877</w:t>
                  </w:r>
                </w:p>
              </w:tc>
              <w:tc>
                <w:tcPr>
                  <w:tcW w:w="1307" w:type="dxa"/>
                  <w:shd w:val="clear" w:color="auto" w:fill="DBE5F1"/>
                  <w:vAlign w:val="bottom"/>
                </w:tcPr>
                <w:p w14:paraId="20B63DB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1.447</w:t>
                  </w:r>
                </w:p>
              </w:tc>
              <w:tc>
                <w:tcPr>
                  <w:tcW w:w="1363" w:type="dxa"/>
                  <w:shd w:val="clear" w:color="auto" w:fill="DBE5F1"/>
                  <w:vAlign w:val="bottom"/>
                </w:tcPr>
                <w:p w14:paraId="0A69D3E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1.535</w:t>
                  </w:r>
                </w:p>
              </w:tc>
            </w:tr>
          </w:tbl>
          <w:p w14:paraId="594D9D05" w14:textId="77777777" w:rsidR="00600DEE" w:rsidRPr="0045151D" w:rsidRDefault="00641FB5">
            <w:pPr>
              <w:spacing w:before="120" w:after="120"/>
              <w:ind w:right="170"/>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118DB3AB"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04325B5A"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1AE72FF7" w14:textId="7F4C4A8D" w:rsidR="00600DEE" w:rsidRPr="0045151D" w:rsidRDefault="00641FB5" w:rsidP="00AB1BC5">
            <w:pPr>
              <w:pBdr>
                <w:top w:val="nil"/>
                <w:left w:val="nil"/>
                <w:bottom w:val="nil"/>
                <w:right w:val="nil"/>
                <w:between w:val="nil"/>
              </w:pBdr>
              <w:spacing w:before="120" w:after="180"/>
              <w:ind w:left="1132" w:hanging="113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11. The density of injured (GR) for dual carriageway r</w:t>
            </w:r>
            <w:r w:rsidR="003D2AC3">
              <w:rPr>
                <w:rFonts w:ascii="Calibri" w:eastAsia="Calibri" w:hAnsi="Calibri" w:cs="Calibri"/>
                <w:b/>
                <w:color w:val="4F81BD"/>
                <w:sz w:val="20"/>
                <w:szCs w:val="20"/>
                <w:lang w:val="en-GB"/>
              </w:rPr>
              <w:t xml:space="preserve">oads </w:t>
            </w:r>
            <w:r w:rsidRPr="0045151D">
              <w:rPr>
                <w:rFonts w:ascii="Calibri" w:eastAsia="Calibri" w:hAnsi="Calibri" w:cs="Calibri"/>
                <w:b/>
                <w:color w:val="4F81BD"/>
                <w:sz w:val="20"/>
                <w:szCs w:val="20"/>
                <w:lang w:val="en-GB"/>
              </w:rPr>
              <w:t>[persons/km/year]</w:t>
            </w:r>
          </w:p>
          <w:tbl>
            <w:tblPr>
              <w:tblStyle w:val="afffffffffffffffff5"/>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88"/>
              <w:gridCol w:w="1403"/>
              <w:gridCol w:w="1403"/>
              <w:gridCol w:w="1403"/>
              <w:gridCol w:w="1142"/>
            </w:tblGrid>
            <w:tr w:rsidR="00600DEE" w:rsidRPr="007463B9" w14:paraId="78239442" w14:textId="77777777" w:rsidTr="00AB1BC5">
              <w:trPr>
                <w:trHeight w:val="255"/>
              </w:trPr>
              <w:tc>
                <w:tcPr>
                  <w:tcW w:w="1588" w:type="dxa"/>
                  <w:shd w:val="clear" w:color="auto" w:fill="A6A6A6"/>
                  <w:vAlign w:val="center"/>
                </w:tcPr>
                <w:p w14:paraId="3227C6E9"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403" w:type="dxa"/>
                  <w:shd w:val="clear" w:color="auto" w:fill="A6A6A6"/>
                  <w:vAlign w:val="center"/>
                </w:tcPr>
                <w:p w14:paraId="3B06AA9E"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403" w:type="dxa"/>
                  <w:shd w:val="clear" w:color="auto" w:fill="A6A6A6"/>
                  <w:vAlign w:val="center"/>
                </w:tcPr>
                <w:p w14:paraId="09CC3E4D"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403" w:type="dxa"/>
                  <w:shd w:val="clear" w:color="auto" w:fill="A6A6A6"/>
                  <w:vAlign w:val="center"/>
                </w:tcPr>
                <w:p w14:paraId="7B7ECDB6"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GPn</w:t>
                  </w:r>
                  <w:proofErr w:type="spellEnd"/>
                  <w:r w:rsidRPr="0045151D">
                    <w:rPr>
                      <w:rFonts w:ascii="Calibri" w:eastAsia="Calibri" w:hAnsi="Calibri" w:cs="Calibri"/>
                      <w:b/>
                      <w:color w:val="FFFFFF"/>
                      <w:sz w:val="17"/>
                      <w:szCs w:val="17"/>
                      <w:lang w:val="en-GB"/>
                    </w:rPr>
                    <w:t xml:space="preserve"> *</w:t>
                  </w:r>
                </w:p>
              </w:tc>
              <w:tc>
                <w:tcPr>
                  <w:tcW w:w="1142" w:type="dxa"/>
                  <w:shd w:val="clear" w:color="auto" w:fill="A6A6A6"/>
                  <w:vAlign w:val="center"/>
                </w:tcPr>
                <w:p w14:paraId="4AA6B2BB"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GPz</w:t>
                  </w:r>
                  <w:proofErr w:type="spellEnd"/>
                  <w:r w:rsidRPr="0045151D">
                    <w:rPr>
                      <w:rFonts w:ascii="Calibri" w:eastAsia="Calibri" w:hAnsi="Calibri" w:cs="Calibri"/>
                      <w:b/>
                      <w:color w:val="FFFFFF"/>
                      <w:sz w:val="17"/>
                      <w:szCs w:val="17"/>
                      <w:lang w:val="en-GB"/>
                    </w:rPr>
                    <w:t xml:space="preserve"> **</w:t>
                  </w:r>
                </w:p>
              </w:tc>
            </w:tr>
            <w:tr w:rsidR="00600DEE" w:rsidRPr="007463B9" w14:paraId="7FB520F1" w14:textId="77777777" w:rsidTr="00AB1BC5">
              <w:trPr>
                <w:trHeight w:val="255"/>
              </w:trPr>
              <w:tc>
                <w:tcPr>
                  <w:tcW w:w="1588" w:type="dxa"/>
                  <w:shd w:val="clear" w:color="auto" w:fill="DBE5F1"/>
                  <w:vAlign w:val="bottom"/>
                </w:tcPr>
                <w:p w14:paraId="07FBB0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0-5 000 </w:t>
                  </w:r>
                </w:p>
              </w:tc>
              <w:tc>
                <w:tcPr>
                  <w:tcW w:w="1403" w:type="dxa"/>
                  <w:shd w:val="clear" w:color="auto" w:fill="DBE5F1"/>
                  <w:vAlign w:val="bottom"/>
                </w:tcPr>
                <w:p w14:paraId="5DAED02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0.051</w:t>
                  </w:r>
                </w:p>
              </w:tc>
              <w:tc>
                <w:tcPr>
                  <w:tcW w:w="1403" w:type="dxa"/>
                  <w:shd w:val="clear" w:color="auto" w:fill="DBE5F1"/>
                  <w:vAlign w:val="bottom"/>
                </w:tcPr>
                <w:p w14:paraId="1675389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0.034</w:t>
                  </w:r>
                </w:p>
              </w:tc>
              <w:tc>
                <w:tcPr>
                  <w:tcW w:w="1403" w:type="dxa"/>
                  <w:shd w:val="clear" w:color="auto" w:fill="DBE5F1"/>
                  <w:vAlign w:val="bottom"/>
                </w:tcPr>
                <w:p w14:paraId="2A090E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0.519</w:t>
                  </w:r>
                </w:p>
              </w:tc>
              <w:tc>
                <w:tcPr>
                  <w:tcW w:w="1142" w:type="dxa"/>
                  <w:shd w:val="clear" w:color="auto" w:fill="DBE5F1"/>
                  <w:vAlign w:val="bottom"/>
                </w:tcPr>
                <w:p w14:paraId="388920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0.981</w:t>
                  </w:r>
                </w:p>
              </w:tc>
            </w:tr>
            <w:tr w:rsidR="00600DEE" w:rsidRPr="007463B9" w14:paraId="7D8BEED5" w14:textId="77777777" w:rsidTr="00AB1BC5">
              <w:trPr>
                <w:trHeight w:val="255"/>
              </w:trPr>
              <w:tc>
                <w:tcPr>
                  <w:tcW w:w="1588" w:type="dxa"/>
                  <w:shd w:val="clear" w:color="auto" w:fill="DBE5F1"/>
                  <w:vAlign w:val="bottom"/>
                </w:tcPr>
                <w:p w14:paraId="62BDABB2" w14:textId="5BB438F5"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403" w:type="dxa"/>
                  <w:shd w:val="clear" w:color="auto" w:fill="DBE5F1"/>
                  <w:vAlign w:val="bottom"/>
                </w:tcPr>
                <w:p w14:paraId="2170A61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0.144</w:t>
                  </w:r>
                </w:p>
              </w:tc>
              <w:tc>
                <w:tcPr>
                  <w:tcW w:w="1403" w:type="dxa"/>
                  <w:shd w:val="clear" w:color="auto" w:fill="DBE5F1"/>
                  <w:vAlign w:val="bottom"/>
                </w:tcPr>
                <w:p w14:paraId="79A1167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0.096</w:t>
                  </w:r>
                </w:p>
              </w:tc>
              <w:tc>
                <w:tcPr>
                  <w:tcW w:w="1403" w:type="dxa"/>
                  <w:shd w:val="clear" w:color="auto" w:fill="DBE5F1"/>
                  <w:vAlign w:val="bottom"/>
                </w:tcPr>
                <w:p w14:paraId="33E90B4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0.604</w:t>
                  </w:r>
                </w:p>
              </w:tc>
              <w:tc>
                <w:tcPr>
                  <w:tcW w:w="1142" w:type="dxa"/>
                  <w:shd w:val="clear" w:color="auto" w:fill="DBE5F1"/>
                  <w:vAlign w:val="bottom"/>
                </w:tcPr>
                <w:p w14:paraId="0E62C0D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1.090</w:t>
                  </w:r>
                </w:p>
              </w:tc>
            </w:tr>
            <w:tr w:rsidR="00600DEE" w:rsidRPr="007463B9" w14:paraId="0B203C4B" w14:textId="77777777" w:rsidTr="00AB1BC5">
              <w:trPr>
                <w:trHeight w:val="255"/>
              </w:trPr>
              <w:tc>
                <w:tcPr>
                  <w:tcW w:w="1588" w:type="dxa"/>
                  <w:shd w:val="clear" w:color="auto" w:fill="DBE5F1"/>
                  <w:vAlign w:val="bottom"/>
                </w:tcPr>
                <w:p w14:paraId="7C566A92" w14:textId="57744177" w:rsidR="00600DEE" w:rsidRPr="0045151D" w:rsidRDefault="00897A74">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403" w:type="dxa"/>
                  <w:shd w:val="clear" w:color="auto" w:fill="DBE5F1"/>
                  <w:vAlign w:val="bottom"/>
                </w:tcPr>
                <w:p w14:paraId="1A43535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0.381</w:t>
                  </w:r>
                </w:p>
              </w:tc>
              <w:tc>
                <w:tcPr>
                  <w:tcW w:w="1403" w:type="dxa"/>
                  <w:shd w:val="clear" w:color="auto" w:fill="DBE5F1"/>
                  <w:vAlign w:val="bottom"/>
                </w:tcPr>
                <w:p w14:paraId="23E1AE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0.256</w:t>
                  </w:r>
                </w:p>
              </w:tc>
              <w:tc>
                <w:tcPr>
                  <w:tcW w:w="1403" w:type="dxa"/>
                  <w:shd w:val="clear" w:color="auto" w:fill="DBE5F1"/>
                  <w:vAlign w:val="bottom"/>
                </w:tcPr>
                <w:p w14:paraId="23F76D9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0.797</w:t>
                  </w:r>
                </w:p>
              </w:tc>
              <w:tc>
                <w:tcPr>
                  <w:tcW w:w="1142" w:type="dxa"/>
                  <w:shd w:val="clear" w:color="auto" w:fill="DBE5F1"/>
                  <w:vAlign w:val="bottom"/>
                </w:tcPr>
                <w:p w14:paraId="66349AB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1.303</w:t>
                  </w:r>
                </w:p>
              </w:tc>
            </w:tr>
            <w:tr w:rsidR="00600DEE" w:rsidRPr="007463B9" w14:paraId="0C3990EC" w14:textId="77777777" w:rsidTr="00AB1BC5">
              <w:trPr>
                <w:trHeight w:val="255"/>
              </w:trPr>
              <w:tc>
                <w:tcPr>
                  <w:tcW w:w="1588" w:type="dxa"/>
                  <w:shd w:val="clear" w:color="auto" w:fill="DBE5F1"/>
                  <w:vAlign w:val="bottom"/>
                </w:tcPr>
                <w:p w14:paraId="6EB5CC9B" w14:textId="34A38189"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403" w:type="dxa"/>
                  <w:shd w:val="clear" w:color="auto" w:fill="DBE5F1"/>
                  <w:vAlign w:val="bottom"/>
                </w:tcPr>
                <w:p w14:paraId="4F773B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0.953</w:t>
                  </w:r>
                </w:p>
              </w:tc>
              <w:tc>
                <w:tcPr>
                  <w:tcW w:w="1403" w:type="dxa"/>
                  <w:shd w:val="clear" w:color="auto" w:fill="DBE5F1"/>
                  <w:vAlign w:val="bottom"/>
                </w:tcPr>
                <w:p w14:paraId="2C3100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0.504</w:t>
                  </w:r>
                </w:p>
              </w:tc>
              <w:tc>
                <w:tcPr>
                  <w:tcW w:w="1403" w:type="dxa"/>
                  <w:shd w:val="clear" w:color="auto" w:fill="DBE5F1"/>
                  <w:vAlign w:val="bottom"/>
                </w:tcPr>
                <w:p w14:paraId="6EDD9DF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1.303</w:t>
                  </w:r>
                </w:p>
              </w:tc>
              <w:tc>
                <w:tcPr>
                  <w:tcW w:w="1142" w:type="dxa"/>
                  <w:shd w:val="clear" w:color="auto" w:fill="DBE5F1"/>
                  <w:vAlign w:val="bottom"/>
                </w:tcPr>
                <w:p w14:paraId="4700FEB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1.559</w:t>
                  </w:r>
                </w:p>
              </w:tc>
            </w:tr>
            <w:tr w:rsidR="00600DEE" w:rsidRPr="007463B9" w14:paraId="39DFF575" w14:textId="77777777" w:rsidTr="00AB1BC5">
              <w:trPr>
                <w:trHeight w:val="255"/>
              </w:trPr>
              <w:tc>
                <w:tcPr>
                  <w:tcW w:w="1588" w:type="dxa"/>
                  <w:shd w:val="clear" w:color="auto" w:fill="DBE5F1"/>
                  <w:vAlign w:val="bottom"/>
                </w:tcPr>
                <w:p w14:paraId="177975AB" w14:textId="21A68348"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403" w:type="dxa"/>
                  <w:shd w:val="clear" w:color="auto" w:fill="DBE5F1"/>
                  <w:vAlign w:val="bottom"/>
                </w:tcPr>
                <w:p w14:paraId="29A3E2F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1.058</w:t>
                  </w:r>
                </w:p>
              </w:tc>
              <w:tc>
                <w:tcPr>
                  <w:tcW w:w="1403" w:type="dxa"/>
                  <w:shd w:val="clear" w:color="auto" w:fill="DBE5F1"/>
                  <w:vAlign w:val="bottom"/>
                </w:tcPr>
                <w:p w14:paraId="0F47AA6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0.713</w:t>
                  </w:r>
                </w:p>
              </w:tc>
              <w:tc>
                <w:tcPr>
                  <w:tcW w:w="1403" w:type="dxa"/>
                  <w:shd w:val="clear" w:color="auto" w:fill="DBE5F1"/>
                  <w:vAlign w:val="bottom"/>
                </w:tcPr>
                <w:p w14:paraId="4B61D90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1.407</w:t>
                  </w:r>
                </w:p>
              </w:tc>
              <w:tc>
                <w:tcPr>
                  <w:tcW w:w="1142" w:type="dxa"/>
                  <w:shd w:val="clear" w:color="auto" w:fill="DBE5F1"/>
                  <w:vAlign w:val="bottom"/>
                </w:tcPr>
                <w:p w14:paraId="03CF11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1.657</w:t>
                  </w:r>
                </w:p>
              </w:tc>
            </w:tr>
            <w:tr w:rsidR="00600DEE" w:rsidRPr="007463B9" w14:paraId="740059A3" w14:textId="77777777" w:rsidTr="00AB1BC5">
              <w:trPr>
                <w:trHeight w:val="255"/>
              </w:trPr>
              <w:tc>
                <w:tcPr>
                  <w:tcW w:w="1588" w:type="dxa"/>
                  <w:shd w:val="clear" w:color="auto" w:fill="DBE5F1"/>
                  <w:vAlign w:val="bottom"/>
                </w:tcPr>
                <w:p w14:paraId="5FD850A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403" w:type="dxa"/>
                  <w:shd w:val="clear" w:color="auto" w:fill="DBE5F1"/>
                  <w:vAlign w:val="bottom"/>
                </w:tcPr>
                <w:p w14:paraId="089C38D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1.631</w:t>
                  </w:r>
                </w:p>
              </w:tc>
              <w:tc>
                <w:tcPr>
                  <w:tcW w:w="1403" w:type="dxa"/>
                  <w:shd w:val="clear" w:color="auto" w:fill="DBE5F1"/>
                  <w:vAlign w:val="bottom"/>
                </w:tcPr>
                <w:p w14:paraId="6C3D86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1403" w:type="dxa"/>
                  <w:shd w:val="clear" w:color="auto" w:fill="DBE5F1"/>
                  <w:vAlign w:val="bottom"/>
                </w:tcPr>
                <w:p w14:paraId="0F51E9D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1.956</w:t>
                  </w:r>
                </w:p>
              </w:tc>
              <w:tc>
                <w:tcPr>
                  <w:tcW w:w="1142" w:type="dxa"/>
                  <w:shd w:val="clear" w:color="auto" w:fill="DBE5F1"/>
                  <w:vAlign w:val="bottom"/>
                </w:tcPr>
                <w:p w14:paraId="548456B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2.075</w:t>
                  </w:r>
                </w:p>
              </w:tc>
            </w:tr>
          </w:tbl>
          <w:p w14:paraId="4C7BBF45"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42659A0D"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4ED3B259"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2A6DE111"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54600FC2"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0449635E"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54188691" w14:textId="77777777" w:rsidR="00600DEE" w:rsidRPr="0045151D" w:rsidRDefault="00641FB5">
            <w:pPr>
              <w:pBdr>
                <w:top w:val="nil"/>
                <w:left w:val="nil"/>
                <w:bottom w:val="nil"/>
                <w:right w:val="nil"/>
                <w:between w:val="nil"/>
              </w:pBdr>
              <w:spacing w:before="120" w:after="120"/>
              <w:ind w:left="1132" w:hanging="113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12. The density of fatalities (GZ) for dual carriageway roads</w:t>
            </w:r>
            <w:r w:rsidRPr="0045151D">
              <w:rPr>
                <w:rFonts w:ascii="Calibri" w:eastAsia="Calibri" w:hAnsi="Calibri" w:cs="Calibri"/>
                <w:b/>
                <w:color w:val="4F81BD"/>
                <w:sz w:val="20"/>
                <w:szCs w:val="20"/>
                <w:lang w:val="en-GB"/>
              </w:rPr>
              <w:br/>
              <w:t>[persons/km/year]</w:t>
            </w:r>
          </w:p>
          <w:tbl>
            <w:tblPr>
              <w:tblStyle w:val="afffffffffffffffff6"/>
              <w:tblW w:w="683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65"/>
              <w:gridCol w:w="1284"/>
              <w:gridCol w:w="1284"/>
              <w:gridCol w:w="1284"/>
              <w:gridCol w:w="1421"/>
            </w:tblGrid>
            <w:tr w:rsidR="00600DEE" w:rsidRPr="007463B9" w14:paraId="1E5D8773" w14:textId="77777777" w:rsidTr="00542062">
              <w:trPr>
                <w:trHeight w:hRule="exact" w:val="227"/>
                <w:jc w:val="center"/>
              </w:trPr>
              <w:tc>
                <w:tcPr>
                  <w:tcW w:w="1565" w:type="dxa"/>
                  <w:shd w:val="clear" w:color="auto" w:fill="A6A6A6"/>
                  <w:vAlign w:val="center"/>
                </w:tcPr>
                <w:p w14:paraId="4BEF4B22"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284" w:type="dxa"/>
                  <w:shd w:val="clear" w:color="auto" w:fill="A6A6A6"/>
                  <w:vAlign w:val="center"/>
                </w:tcPr>
                <w:p w14:paraId="362224C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284" w:type="dxa"/>
                  <w:shd w:val="clear" w:color="auto" w:fill="A6A6A6"/>
                  <w:vAlign w:val="center"/>
                </w:tcPr>
                <w:p w14:paraId="56E8CBF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284" w:type="dxa"/>
                  <w:shd w:val="clear" w:color="auto" w:fill="A6A6A6"/>
                  <w:vAlign w:val="center"/>
                </w:tcPr>
                <w:p w14:paraId="3BE4AF7F"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GPn</w:t>
                  </w:r>
                  <w:proofErr w:type="spellEnd"/>
                  <w:r w:rsidRPr="0045151D">
                    <w:rPr>
                      <w:rFonts w:ascii="Calibri" w:eastAsia="Calibri" w:hAnsi="Calibri" w:cs="Calibri"/>
                      <w:b/>
                      <w:color w:val="FFFFFF"/>
                      <w:sz w:val="17"/>
                      <w:szCs w:val="17"/>
                      <w:lang w:val="en-GB"/>
                    </w:rPr>
                    <w:t xml:space="preserve"> *</w:t>
                  </w:r>
                </w:p>
              </w:tc>
              <w:tc>
                <w:tcPr>
                  <w:tcW w:w="1421" w:type="dxa"/>
                  <w:shd w:val="clear" w:color="auto" w:fill="A6A6A6"/>
                  <w:vAlign w:val="center"/>
                </w:tcPr>
                <w:p w14:paraId="4F2D77E6"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GPz</w:t>
                  </w:r>
                  <w:proofErr w:type="spellEnd"/>
                  <w:r w:rsidRPr="0045151D">
                    <w:rPr>
                      <w:rFonts w:ascii="Calibri" w:eastAsia="Calibri" w:hAnsi="Calibri" w:cs="Calibri"/>
                      <w:b/>
                      <w:color w:val="FFFFFF"/>
                      <w:sz w:val="17"/>
                      <w:szCs w:val="17"/>
                      <w:lang w:val="en-GB"/>
                    </w:rPr>
                    <w:t xml:space="preserve"> **</w:t>
                  </w:r>
                </w:p>
              </w:tc>
            </w:tr>
            <w:tr w:rsidR="00600DEE" w:rsidRPr="007463B9" w14:paraId="562743EA" w14:textId="77777777" w:rsidTr="00542062">
              <w:trPr>
                <w:trHeight w:hRule="exact" w:val="227"/>
                <w:jc w:val="center"/>
              </w:trPr>
              <w:tc>
                <w:tcPr>
                  <w:tcW w:w="1565" w:type="dxa"/>
                  <w:shd w:val="clear" w:color="auto" w:fill="DBE5F1"/>
                  <w:vAlign w:val="bottom"/>
                </w:tcPr>
                <w:p w14:paraId="052218E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284" w:type="dxa"/>
                  <w:shd w:val="clear" w:color="auto" w:fill="DBE5F1"/>
                  <w:vAlign w:val="bottom"/>
                </w:tcPr>
                <w:p w14:paraId="08220C6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0.036</w:t>
                  </w:r>
                </w:p>
              </w:tc>
              <w:tc>
                <w:tcPr>
                  <w:tcW w:w="1284" w:type="dxa"/>
                  <w:shd w:val="clear" w:color="auto" w:fill="DBE5F1"/>
                  <w:vAlign w:val="bottom"/>
                </w:tcPr>
                <w:p w14:paraId="1D4234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0.022</w:t>
                  </w:r>
                </w:p>
              </w:tc>
              <w:tc>
                <w:tcPr>
                  <w:tcW w:w="1284" w:type="dxa"/>
                  <w:shd w:val="clear" w:color="auto" w:fill="DBE5F1"/>
                  <w:vAlign w:val="bottom"/>
                </w:tcPr>
                <w:p w14:paraId="0FD909C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0.179</w:t>
                  </w:r>
                </w:p>
              </w:tc>
              <w:tc>
                <w:tcPr>
                  <w:tcW w:w="1421" w:type="dxa"/>
                  <w:shd w:val="clear" w:color="auto" w:fill="DBE5F1"/>
                  <w:vAlign w:val="bottom"/>
                </w:tcPr>
                <w:p w14:paraId="1459DA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r>
            <w:tr w:rsidR="00600DEE" w:rsidRPr="007463B9" w14:paraId="6881EC81" w14:textId="77777777" w:rsidTr="00542062">
              <w:trPr>
                <w:trHeight w:hRule="exact" w:val="227"/>
                <w:jc w:val="center"/>
              </w:trPr>
              <w:tc>
                <w:tcPr>
                  <w:tcW w:w="1565" w:type="dxa"/>
                  <w:shd w:val="clear" w:color="auto" w:fill="DBE5F1"/>
                  <w:vAlign w:val="bottom"/>
                </w:tcPr>
                <w:p w14:paraId="3B6547C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284" w:type="dxa"/>
                  <w:shd w:val="clear" w:color="auto" w:fill="DBE5F1"/>
                  <w:vAlign w:val="bottom"/>
                </w:tcPr>
                <w:p w14:paraId="377F09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0.073</w:t>
                  </w:r>
                </w:p>
              </w:tc>
              <w:tc>
                <w:tcPr>
                  <w:tcW w:w="1284" w:type="dxa"/>
                  <w:shd w:val="clear" w:color="auto" w:fill="DBE5F1"/>
                  <w:vAlign w:val="bottom"/>
                </w:tcPr>
                <w:p w14:paraId="1F9422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0.052</w:t>
                  </w:r>
                </w:p>
              </w:tc>
              <w:tc>
                <w:tcPr>
                  <w:tcW w:w="1284" w:type="dxa"/>
                  <w:shd w:val="clear" w:color="auto" w:fill="DBE5F1"/>
                  <w:vAlign w:val="bottom"/>
                </w:tcPr>
                <w:p w14:paraId="1100CCD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0.189</w:t>
                  </w:r>
                </w:p>
              </w:tc>
              <w:tc>
                <w:tcPr>
                  <w:tcW w:w="1421" w:type="dxa"/>
                  <w:shd w:val="clear" w:color="auto" w:fill="DBE5F1"/>
                  <w:vAlign w:val="bottom"/>
                </w:tcPr>
                <w:p w14:paraId="66BFD60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0.117</w:t>
                  </w:r>
                </w:p>
              </w:tc>
            </w:tr>
            <w:tr w:rsidR="00600DEE" w:rsidRPr="007463B9" w14:paraId="2C24BAC8" w14:textId="77777777" w:rsidTr="00542062">
              <w:trPr>
                <w:trHeight w:hRule="exact" w:val="227"/>
                <w:jc w:val="center"/>
              </w:trPr>
              <w:tc>
                <w:tcPr>
                  <w:tcW w:w="1565" w:type="dxa"/>
                  <w:shd w:val="clear" w:color="auto" w:fill="DBE5F1"/>
                  <w:vAlign w:val="bottom"/>
                </w:tcPr>
                <w:p w14:paraId="5B5B12A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284" w:type="dxa"/>
                  <w:shd w:val="clear" w:color="auto" w:fill="DBE5F1"/>
                  <w:vAlign w:val="bottom"/>
                </w:tcPr>
                <w:p w14:paraId="4FE6E82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0.104</w:t>
                  </w:r>
                </w:p>
              </w:tc>
              <w:tc>
                <w:tcPr>
                  <w:tcW w:w="1284" w:type="dxa"/>
                  <w:shd w:val="clear" w:color="auto" w:fill="DBE5F1"/>
                  <w:vAlign w:val="bottom"/>
                </w:tcPr>
                <w:p w14:paraId="68642FE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0.083</w:t>
                  </w:r>
                </w:p>
              </w:tc>
              <w:tc>
                <w:tcPr>
                  <w:tcW w:w="1284" w:type="dxa"/>
                  <w:shd w:val="clear" w:color="auto" w:fill="DBE5F1"/>
                  <w:vAlign w:val="bottom"/>
                </w:tcPr>
                <w:p w14:paraId="668F6D3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0.209</w:t>
                  </w:r>
                </w:p>
              </w:tc>
              <w:tc>
                <w:tcPr>
                  <w:tcW w:w="1421" w:type="dxa"/>
                  <w:shd w:val="clear" w:color="auto" w:fill="DBE5F1"/>
                  <w:vAlign w:val="bottom"/>
                </w:tcPr>
                <w:p w14:paraId="275CBF5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0.124</w:t>
                  </w:r>
                </w:p>
              </w:tc>
            </w:tr>
            <w:tr w:rsidR="00600DEE" w:rsidRPr="007463B9" w14:paraId="06D66979" w14:textId="77777777" w:rsidTr="00542062">
              <w:trPr>
                <w:trHeight w:hRule="exact" w:val="227"/>
                <w:jc w:val="center"/>
              </w:trPr>
              <w:tc>
                <w:tcPr>
                  <w:tcW w:w="1565" w:type="dxa"/>
                  <w:shd w:val="clear" w:color="auto" w:fill="DBE5F1"/>
                  <w:vAlign w:val="bottom"/>
                </w:tcPr>
                <w:p w14:paraId="181E462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284" w:type="dxa"/>
                  <w:shd w:val="clear" w:color="auto" w:fill="DBE5F1"/>
                  <w:vAlign w:val="bottom"/>
                </w:tcPr>
                <w:p w14:paraId="5C76022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0.135</w:t>
                  </w:r>
                </w:p>
              </w:tc>
              <w:tc>
                <w:tcPr>
                  <w:tcW w:w="1284" w:type="dxa"/>
                  <w:shd w:val="clear" w:color="auto" w:fill="DBE5F1"/>
                  <w:vAlign w:val="bottom"/>
                </w:tcPr>
                <w:p w14:paraId="363EB1D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0.104</w:t>
                  </w:r>
                </w:p>
              </w:tc>
              <w:tc>
                <w:tcPr>
                  <w:tcW w:w="1284" w:type="dxa"/>
                  <w:shd w:val="clear" w:color="auto" w:fill="DBE5F1"/>
                  <w:vAlign w:val="bottom"/>
                </w:tcPr>
                <w:p w14:paraId="1E3A87F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0.233</w:t>
                  </w:r>
                </w:p>
              </w:tc>
              <w:tc>
                <w:tcPr>
                  <w:tcW w:w="1421" w:type="dxa"/>
                  <w:shd w:val="clear" w:color="auto" w:fill="DBE5F1"/>
                  <w:vAlign w:val="bottom"/>
                </w:tcPr>
                <w:p w14:paraId="467EBAF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0.131</w:t>
                  </w:r>
                </w:p>
              </w:tc>
            </w:tr>
            <w:tr w:rsidR="00600DEE" w:rsidRPr="007463B9" w14:paraId="66D3F136" w14:textId="77777777" w:rsidTr="00542062">
              <w:trPr>
                <w:trHeight w:hRule="exact" w:val="227"/>
                <w:jc w:val="center"/>
              </w:trPr>
              <w:tc>
                <w:tcPr>
                  <w:tcW w:w="1565" w:type="dxa"/>
                  <w:shd w:val="clear" w:color="auto" w:fill="DBE5F1"/>
                  <w:vAlign w:val="bottom"/>
                </w:tcPr>
                <w:p w14:paraId="6A990A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284" w:type="dxa"/>
                  <w:shd w:val="clear" w:color="auto" w:fill="DBE5F1"/>
                  <w:vAlign w:val="bottom"/>
                </w:tcPr>
                <w:p w14:paraId="0C250AF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0.154</w:t>
                  </w:r>
                </w:p>
              </w:tc>
              <w:tc>
                <w:tcPr>
                  <w:tcW w:w="1284" w:type="dxa"/>
                  <w:shd w:val="clear" w:color="auto" w:fill="DBE5F1"/>
                  <w:vAlign w:val="bottom"/>
                </w:tcPr>
                <w:p w14:paraId="0422942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0.118</w:t>
                  </w:r>
                </w:p>
              </w:tc>
              <w:tc>
                <w:tcPr>
                  <w:tcW w:w="1284" w:type="dxa"/>
                  <w:shd w:val="clear" w:color="auto" w:fill="DBE5F1"/>
                  <w:vAlign w:val="bottom"/>
                </w:tcPr>
                <w:p w14:paraId="3D9B522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0.254</w:t>
                  </w:r>
                </w:p>
              </w:tc>
              <w:tc>
                <w:tcPr>
                  <w:tcW w:w="1421" w:type="dxa"/>
                  <w:shd w:val="clear" w:color="auto" w:fill="DBE5F1"/>
                  <w:vAlign w:val="bottom"/>
                </w:tcPr>
                <w:p w14:paraId="0AAB407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0.137</w:t>
                  </w:r>
                </w:p>
              </w:tc>
            </w:tr>
            <w:tr w:rsidR="00600DEE" w:rsidRPr="007463B9" w14:paraId="61E445E7" w14:textId="77777777" w:rsidTr="00542062">
              <w:trPr>
                <w:trHeight w:hRule="exact" w:val="227"/>
                <w:jc w:val="center"/>
              </w:trPr>
              <w:tc>
                <w:tcPr>
                  <w:tcW w:w="1565" w:type="dxa"/>
                  <w:shd w:val="clear" w:color="auto" w:fill="DBE5F1"/>
                  <w:vAlign w:val="bottom"/>
                </w:tcPr>
                <w:p w14:paraId="6BD98D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284" w:type="dxa"/>
                  <w:shd w:val="clear" w:color="auto" w:fill="DBE5F1"/>
                  <w:vAlign w:val="bottom"/>
                </w:tcPr>
                <w:p w14:paraId="1411267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0.177</w:t>
                  </w:r>
                </w:p>
              </w:tc>
              <w:tc>
                <w:tcPr>
                  <w:tcW w:w="1284" w:type="dxa"/>
                  <w:shd w:val="clear" w:color="auto" w:fill="DBE5F1"/>
                  <w:vAlign w:val="bottom"/>
                </w:tcPr>
                <w:p w14:paraId="70FC880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0.141</w:t>
                  </w:r>
                </w:p>
              </w:tc>
              <w:tc>
                <w:tcPr>
                  <w:tcW w:w="1284" w:type="dxa"/>
                  <w:shd w:val="clear" w:color="auto" w:fill="DBE5F1"/>
                  <w:vAlign w:val="bottom"/>
                </w:tcPr>
                <w:p w14:paraId="22FC541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0.280</w:t>
                  </w:r>
                </w:p>
              </w:tc>
              <w:tc>
                <w:tcPr>
                  <w:tcW w:w="1421" w:type="dxa"/>
                  <w:shd w:val="clear" w:color="auto" w:fill="DBE5F1"/>
                  <w:vAlign w:val="bottom"/>
                </w:tcPr>
                <w:p w14:paraId="453373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0.143</w:t>
                  </w:r>
                </w:p>
              </w:tc>
            </w:tr>
          </w:tbl>
          <w:p w14:paraId="0D5AA7C8"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9E3569B"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517E65EE"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79192B55" w14:textId="77777777" w:rsidR="00600DEE" w:rsidRPr="0045151D" w:rsidRDefault="00641FB5">
            <w:pPr>
              <w:pBdr>
                <w:top w:val="nil"/>
                <w:left w:val="nil"/>
                <w:bottom w:val="nil"/>
                <w:right w:val="nil"/>
                <w:between w:val="nil"/>
              </w:pBdr>
              <w:spacing w:before="12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13. The density of seriously injured (GCR) for dual carriageway roads</w:t>
            </w:r>
            <w:r w:rsidRPr="0045151D">
              <w:rPr>
                <w:rFonts w:ascii="Calibri" w:eastAsia="Calibri" w:hAnsi="Calibri" w:cs="Calibri"/>
                <w:b/>
                <w:color w:val="4F81BD"/>
                <w:sz w:val="20"/>
                <w:szCs w:val="20"/>
                <w:lang w:val="en-GB"/>
              </w:rPr>
              <w:br/>
              <w:t xml:space="preserve">  [persons/km/year]</w:t>
            </w:r>
          </w:p>
          <w:tbl>
            <w:tblPr>
              <w:tblStyle w:val="afffffffffffffffff7"/>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82"/>
              <w:gridCol w:w="1284"/>
              <w:gridCol w:w="1284"/>
              <w:gridCol w:w="1284"/>
              <w:gridCol w:w="1505"/>
            </w:tblGrid>
            <w:tr w:rsidR="00600DEE" w:rsidRPr="007463B9" w14:paraId="1FE447E4" w14:textId="77777777" w:rsidTr="00542062">
              <w:trPr>
                <w:trHeight w:hRule="exact" w:val="227"/>
              </w:trPr>
              <w:tc>
                <w:tcPr>
                  <w:tcW w:w="1582" w:type="dxa"/>
                  <w:shd w:val="clear" w:color="auto" w:fill="A6A6A6"/>
                  <w:vAlign w:val="center"/>
                </w:tcPr>
                <w:p w14:paraId="55A04DD8"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284" w:type="dxa"/>
                  <w:shd w:val="clear" w:color="auto" w:fill="A6A6A6"/>
                  <w:vAlign w:val="center"/>
                </w:tcPr>
                <w:p w14:paraId="01D73BF4"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284" w:type="dxa"/>
                  <w:shd w:val="clear" w:color="auto" w:fill="A6A6A6"/>
                  <w:vAlign w:val="center"/>
                </w:tcPr>
                <w:p w14:paraId="3923A302"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284" w:type="dxa"/>
                  <w:shd w:val="clear" w:color="auto" w:fill="A6A6A6"/>
                  <w:vAlign w:val="center"/>
                </w:tcPr>
                <w:p w14:paraId="27315361"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GPn</w:t>
                  </w:r>
                  <w:proofErr w:type="spellEnd"/>
                  <w:r w:rsidRPr="0045151D">
                    <w:rPr>
                      <w:rFonts w:ascii="Calibri" w:eastAsia="Calibri" w:hAnsi="Calibri" w:cs="Calibri"/>
                      <w:b/>
                      <w:color w:val="FFFFFF"/>
                      <w:sz w:val="17"/>
                      <w:szCs w:val="17"/>
                      <w:lang w:val="en-GB"/>
                    </w:rPr>
                    <w:t xml:space="preserve"> *</w:t>
                  </w:r>
                </w:p>
              </w:tc>
              <w:tc>
                <w:tcPr>
                  <w:tcW w:w="1505" w:type="dxa"/>
                  <w:shd w:val="clear" w:color="auto" w:fill="A6A6A6"/>
                  <w:vAlign w:val="center"/>
                </w:tcPr>
                <w:p w14:paraId="2A587DF1" w14:textId="77777777" w:rsidR="00600DEE" w:rsidRPr="0045151D" w:rsidRDefault="00641FB5">
                  <w:pPr>
                    <w:jc w:val="center"/>
                    <w:rPr>
                      <w:rFonts w:ascii="Calibri" w:eastAsia="Calibri" w:hAnsi="Calibri" w:cs="Calibri"/>
                      <w:b/>
                      <w:color w:val="FFFFFF"/>
                      <w:sz w:val="17"/>
                      <w:szCs w:val="17"/>
                      <w:lang w:val="en-GB"/>
                    </w:rPr>
                  </w:pPr>
                  <w:proofErr w:type="spellStart"/>
                  <w:r w:rsidRPr="0045151D">
                    <w:rPr>
                      <w:rFonts w:ascii="Calibri" w:eastAsia="Calibri" w:hAnsi="Calibri" w:cs="Calibri"/>
                      <w:b/>
                      <w:color w:val="FFFFFF"/>
                      <w:sz w:val="17"/>
                      <w:szCs w:val="17"/>
                      <w:lang w:val="en-GB"/>
                    </w:rPr>
                    <w:t>GPz</w:t>
                  </w:r>
                  <w:proofErr w:type="spellEnd"/>
                  <w:r w:rsidRPr="0045151D">
                    <w:rPr>
                      <w:rFonts w:ascii="Calibri" w:eastAsia="Calibri" w:hAnsi="Calibri" w:cs="Calibri"/>
                      <w:b/>
                      <w:color w:val="FFFFFF"/>
                      <w:sz w:val="17"/>
                      <w:szCs w:val="17"/>
                      <w:lang w:val="en-GB"/>
                    </w:rPr>
                    <w:t xml:space="preserve"> **</w:t>
                  </w:r>
                </w:p>
              </w:tc>
            </w:tr>
            <w:tr w:rsidR="00600DEE" w:rsidRPr="007463B9" w14:paraId="522AA965" w14:textId="77777777" w:rsidTr="00542062">
              <w:trPr>
                <w:trHeight w:hRule="exact" w:val="227"/>
              </w:trPr>
              <w:tc>
                <w:tcPr>
                  <w:tcW w:w="1582" w:type="dxa"/>
                  <w:shd w:val="clear" w:color="auto" w:fill="DBE5F1"/>
                  <w:vAlign w:val="bottom"/>
                </w:tcPr>
                <w:p w14:paraId="13A6B8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284" w:type="dxa"/>
                  <w:shd w:val="clear" w:color="auto" w:fill="DBE5F1"/>
                </w:tcPr>
                <w:p w14:paraId="7DF8CD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0.044</w:t>
                  </w:r>
                </w:p>
              </w:tc>
              <w:tc>
                <w:tcPr>
                  <w:tcW w:w="1284" w:type="dxa"/>
                  <w:shd w:val="clear" w:color="auto" w:fill="DBE5F1"/>
                </w:tcPr>
                <w:p w14:paraId="4CE2CB4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0.027</w:t>
                  </w:r>
                </w:p>
              </w:tc>
              <w:tc>
                <w:tcPr>
                  <w:tcW w:w="1284" w:type="dxa"/>
                  <w:shd w:val="clear" w:color="auto" w:fill="DBE5F1"/>
                </w:tcPr>
                <w:p w14:paraId="339C22C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0.198</w:t>
                  </w:r>
                </w:p>
              </w:tc>
              <w:tc>
                <w:tcPr>
                  <w:tcW w:w="1505" w:type="dxa"/>
                  <w:shd w:val="clear" w:color="auto" w:fill="DBE5F1"/>
                </w:tcPr>
                <w:p w14:paraId="07EE0B0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0.264</w:t>
                  </w:r>
                </w:p>
              </w:tc>
            </w:tr>
            <w:tr w:rsidR="00600DEE" w:rsidRPr="007463B9" w14:paraId="3C3FA2E0" w14:textId="77777777" w:rsidTr="00542062">
              <w:trPr>
                <w:trHeight w:hRule="exact" w:val="227"/>
              </w:trPr>
              <w:tc>
                <w:tcPr>
                  <w:tcW w:w="1582" w:type="dxa"/>
                  <w:shd w:val="clear" w:color="auto" w:fill="DBE5F1"/>
                  <w:vAlign w:val="bottom"/>
                </w:tcPr>
                <w:p w14:paraId="49B15FF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284" w:type="dxa"/>
                  <w:shd w:val="clear" w:color="auto" w:fill="DBE5F1"/>
                </w:tcPr>
                <w:p w14:paraId="34BB12C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0.078</w:t>
                  </w:r>
                </w:p>
              </w:tc>
              <w:tc>
                <w:tcPr>
                  <w:tcW w:w="1284" w:type="dxa"/>
                  <w:shd w:val="clear" w:color="auto" w:fill="DBE5F1"/>
                </w:tcPr>
                <w:p w14:paraId="07CCD8F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0.055</w:t>
                  </w:r>
                </w:p>
              </w:tc>
              <w:tc>
                <w:tcPr>
                  <w:tcW w:w="1284" w:type="dxa"/>
                  <w:shd w:val="clear" w:color="auto" w:fill="DBE5F1"/>
                </w:tcPr>
                <w:p w14:paraId="58ABCEF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0.212</w:t>
                  </w:r>
                </w:p>
              </w:tc>
              <w:tc>
                <w:tcPr>
                  <w:tcW w:w="1505" w:type="dxa"/>
                  <w:shd w:val="clear" w:color="auto" w:fill="DBE5F1"/>
                </w:tcPr>
                <w:p w14:paraId="5230FBF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0.278</w:t>
                  </w:r>
                </w:p>
              </w:tc>
            </w:tr>
            <w:tr w:rsidR="00600DEE" w:rsidRPr="007463B9" w14:paraId="1FF1E88D" w14:textId="77777777" w:rsidTr="00542062">
              <w:trPr>
                <w:trHeight w:hRule="exact" w:val="227"/>
              </w:trPr>
              <w:tc>
                <w:tcPr>
                  <w:tcW w:w="1582" w:type="dxa"/>
                  <w:shd w:val="clear" w:color="auto" w:fill="DBE5F1"/>
                  <w:vAlign w:val="bottom"/>
                </w:tcPr>
                <w:p w14:paraId="70584B4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284" w:type="dxa"/>
                  <w:shd w:val="clear" w:color="auto" w:fill="DBE5F1"/>
                </w:tcPr>
                <w:p w14:paraId="064CF62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0.122</w:t>
                  </w:r>
                </w:p>
              </w:tc>
              <w:tc>
                <w:tcPr>
                  <w:tcW w:w="1284" w:type="dxa"/>
                  <w:shd w:val="clear" w:color="auto" w:fill="DBE5F1"/>
                </w:tcPr>
                <w:p w14:paraId="518D01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0.093</w:t>
                  </w:r>
                </w:p>
              </w:tc>
              <w:tc>
                <w:tcPr>
                  <w:tcW w:w="1284" w:type="dxa"/>
                  <w:shd w:val="clear" w:color="auto" w:fill="DBE5F1"/>
                </w:tcPr>
                <w:p w14:paraId="2976CDF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0.238</w:t>
                  </w:r>
                </w:p>
              </w:tc>
              <w:tc>
                <w:tcPr>
                  <w:tcW w:w="1505" w:type="dxa"/>
                  <w:shd w:val="clear" w:color="auto" w:fill="DBE5F1"/>
                </w:tcPr>
                <w:p w14:paraId="4DC8806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0.301</w:t>
                  </w:r>
                </w:p>
              </w:tc>
            </w:tr>
            <w:tr w:rsidR="00600DEE" w:rsidRPr="007463B9" w14:paraId="55414079" w14:textId="77777777" w:rsidTr="00542062">
              <w:trPr>
                <w:trHeight w:hRule="exact" w:val="227"/>
              </w:trPr>
              <w:tc>
                <w:tcPr>
                  <w:tcW w:w="1582" w:type="dxa"/>
                  <w:shd w:val="clear" w:color="auto" w:fill="DBE5F1"/>
                  <w:vAlign w:val="bottom"/>
                </w:tcPr>
                <w:p w14:paraId="1E731E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284" w:type="dxa"/>
                  <w:shd w:val="clear" w:color="auto" w:fill="DBE5F1"/>
                </w:tcPr>
                <w:p w14:paraId="4165CD9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0.167</w:t>
                  </w:r>
                </w:p>
              </w:tc>
              <w:tc>
                <w:tcPr>
                  <w:tcW w:w="1284" w:type="dxa"/>
                  <w:shd w:val="clear" w:color="auto" w:fill="DBE5F1"/>
                </w:tcPr>
                <w:p w14:paraId="798D29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0.125</w:t>
                  </w:r>
                </w:p>
              </w:tc>
              <w:tc>
                <w:tcPr>
                  <w:tcW w:w="1284" w:type="dxa"/>
                  <w:shd w:val="clear" w:color="auto" w:fill="DBE5F1"/>
                </w:tcPr>
                <w:p w14:paraId="378927F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0.275</w:t>
                  </w:r>
                </w:p>
              </w:tc>
              <w:tc>
                <w:tcPr>
                  <w:tcW w:w="1505" w:type="dxa"/>
                  <w:shd w:val="clear" w:color="auto" w:fill="DBE5F1"/>
                </w:tcPr>
                <w:p w14:paraId="23CEF2B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0.325</w:t>
                  </w:r>
                </w:p>
              </w:tc>
            </w:tr>
            <w:tr w:rsidR="00600DEE" w:rsidRPr="007463B9" w14:paraId="28F61BBB" w14:textId="77777777" w:rsidTr="00542062">
              <w:trPr>
                <w:trHeight w:hRule="exact" w:val="227"/>
              </w:trPr>
              <w:tc>
                <w:tcPr>
                  <w:tcW w:w="1582" w:type="dxa"/>
                  <w:shd w:val="clear" w:color="auto" w:fill="DBE5F1"/>
                  <w:vAlign w:val="bottom"/>
                </w:tcPr>
                <w:p w14:paraId="435349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284" w:type="dxa"/>
                  <w:shd w:val="clear" w:color="auto" w:fill="DBE5F1"/>
                </w:tcPr>
                <w:p w14:paraId="6D34FB3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0.199</w:t>
                  </w:r>
                </w:p>
              </w:tc>
              <w:tc>
                <w:tcPr>
                  <w:tcW w:w="1284" w:type="dxa"/>
                  <w:shd w:val="clear" w:color="auto" w:fill="DBE5F1"/>
                </w:tcPr>
                <w:p w14:paraId="2497642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0.148</w:t>
                  </w:r>
                </w:p>
              </w:tc>
              <w:tc>
                <w:tcPr>
                  <w:tcW w:w="1284" w:type="dxa"/>
                  <w:shd w:val="clear" w:color="auto" w:fill="DBE5F1"/>
                </w:tcPr>
                <w:p w14:paraId="5EE9CB9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0.306</w:t>
                  </w:r>
                </w:p>
              </w:tc>
              <w:tc>
                <w:tcPr>
                  <w:tcW w:w="1505" w:type="dxa"/>
                  <w:shd w:val="clear" w:color="auto" w:fill="DBE5F1"/>
                </w:tcPr>
                <w:p w14:paraId="4A3331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0.343</w:t>
                  </w:r>
                </w:p>
              </w:tc>
            </w:tr>
            <w:tr w:rsidR="00600DEE" w:rsidRPr="007463B9" w14:paraId="2DF01161" w14:textId="77777777" w:rsidTr="00542062">
              <w:trPr>
                <w:trHeight w:hRule="exact" w:val="227"/>
              </w:trPr>
              <w:tc>
                <w:tcPr>
                  <w:tcW w:w="1582" w:type="dxa"/>
                  <w:shd w:val="clear" w:color="auto" w:fill="DBE5F1"/>
                  <w:vAlign w:val="bottom"/>
                </w:tcPr>
                <w:p w14:paraId="04928B7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284" w:type="dxa"/>
                  <w:shd w:val="clear" w:color="auto" w:fill="DBE5F1"/>
                </w:tcPr>
                <w:p w14:paraId="04FDD08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0.242</w:t>
                  </w:r>
                </w:p>
              </w:tc>
              <w:tc>
                <w:tcPr>
                  <w:tcW w:w="1284" w:type="dxa"/>
                  <w:shd w:val="clear" w:color="auto" w:fill="DBE5F1"/>
                </w:tcPr>
                <w:p w14:paraId="183521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0.187</w:t>
                  </w:r>
                </w:p>
              </w:tc>
              <w:tc>
                <w:tcPr>
                  <w:tcW w:w="1284" w:type="dxa"/>
                  <w:shd w:val="clear" w:color="auto" w:fill="DBE5F1"/>
                </w:tcPr>
                <w:p w14:paraId="495FC5F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0.359</w:t>
                  </w:r>
                </w:p>
              </w:tc>
              <w:tc>
                <w:tcPr>
                  <w:tcW w:w="1505" w:type="dxa"/>
                  <w:shd w:val="clear" w:color="auto" w:fill="DBE5F1"/>
                </w:tcPr>
                <w:p w14:paraId="7A3A698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0.368</w:t>
                  </w:r>
                </w:p>
              </w:tc>
            </w:tr>
          </w:tbl>
          <w:p w14:paraId="6DD770E8"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7D1356BC"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69F35E35"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38721775" w14:textId="77777777" w:rsidR="00600DEE" w:rsidRPr="0045151D" w:rsidRDefault="00641FB5">
            <w:pPr>
              <w:pBdr>
                <w:top w:val="nil"/>
                <w:left w:val="nil"/>
                <w:bottom w:val="nil"/>
                <w:right w:val="nil"/>
                <w:between w:val="nil"/>
              </w:pBdr>
              <w:spacing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Single carriageway road sections </w:t>
            </w:r>
          </w:p>
          <w:p w14:paraId="0BFAB52E"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Accident costs on single carriageway road sections for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and W0 options are calculated as the sum of the costs of slightly injured, seriously injured, fatalities and material loses.</w:t>
            </w:r>
          </w:p>
          <w:p w14:paraId="2C0558B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case of single carriageway roads, the density of accidents GW</w:t>
            </w:r>
            <w:r w:rsidRPr="0045151D">
              <w:rPr>
                <w:rFonts w:ascii="Calibri" w:eastAsia="Calibri" w:hAnsi="Calibri" w:cs="Calibri"/>
                <w:color w:val="000000"/>
                <w:sz w:val="20"/>
                <w:szCs w:val="20"/>
                <w:vertAlign w:val="superscript"/>
                <w:lang w:val="en-GB"/>
              </w:rPr>
              <w:t>(1)</w:t>
            </w:r>
            <w:r w:rsidRPr="0045151D">
              <w:rPr>
                <w:rFonts w:ascii="Calibri" w:eastAsia="Calibri" w:hAnsi="Calibri" w:cs="Calibri"/>
                <w:b/>
                <w:i/>
                <w:color w:val="000000"/>
                <w:sz w:val="20"/>
                <w:szCs w:val="20"/>
                <w:lang w:val="en-GB"/>
              </w:rPr>
              <w:t xml:space="preserve"> </w:t>
            </w:r>
            <w:r w:rsidRPr="0045151D">
              <w:rPr>
                <w:rFonts w:ascii="Calibri" w:eastAsia="Calibri" w:hAnsi="Calibri" w:cs="Calibri"/>
                <w:color w:val="000000"/>
                <w:sz w:val="20"/>
                <w:szCs w:val="20"/>
                <w:lang w:val="en-GB"/>
              </w:rPr>
              <w:t xml:space="preserve"> should be calculated in accordance with the following formula, which takes into account the factor of the road regional location </w:t>
            </w:r>
            <w:r w:rsidRPr="0045151D">
              <w:rPr>
                <w:rFonts w:ascii="Calibri" w:eastAsia="Calibri" w:hAnsi="Calibri" w:cs="Calibri"/>
                <w:b/>
                <w:i/>
                <w:color w:val="000000"/>
                <w:sz w:val="20"/>
                <w:szCs w:val="20"/>
                <w:lang w:val="en-GB"/>
              </w:rPr>
              <w:t>f</w:t>
            </w:r>
            <w:r w:rsidRPr="0045151D">
              <w:rPr>
                <w:rFonts w:ascii="Calibri" w:eastAsia="Calibri" w:hAnsi="Calibri" w:cs="Calibri"/>
                <w:b/>
                <w:i/>
                <w:color w:val="000000"/>
                <w:sz w:val="20"/>
                <w:szCs w:val="20"/>
                <w:vertAlign w:val="superscript"/>
                <w:lang w:val="en-GB"/>
              </w:rPr>
              <w:t>(1)</w:t>
            </w:r>
            <w:r w:rsidRPr="0045151D">
              <w:rPr>
                <w:rFonts w:ascii="Calibri" w:eastAsia="Calibri" w:hAnsi="Calibri" w:cs="Calibri"/>
                <w:b/>
                <w:i/>
                <w:color w:val="000000"/>
                <w:sz w:val="20"/>
                <w:szCs w:val="20"/>
                <w:vertAlign w:val="subscript"/>
                <w:lang w:val="en-GB"/>
              </w:rPr>
              <w:t>LDW</w:t>
            </w:r>
            <w:r w:rsidRPr="0045151D">
              <w:rPr>
                <w:rFonts w:ascii="Calibri" w:eastAsia="Calibri" w:hAnsi="Calibri" w:cs="Calibri"/>
                <w:b/>
                <w:i/>
                <w:color w:val="000000"/>
                <w:sz w:val="20"/>
                <w:szCs w:val="20"/>
                <w:lang w:val="en-GB"/>
              </w:rPr>
              <w:t>:</w:t>
            </w:r>
          </w:p>
          <w:p w14:paraId="642A18E2"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20"/>
                <w:szCs w:val="20"/>
                <w:vertAlign w:val="subscript"/>
                <w:lang w:val="en-GB"/>
              </w:rPr>
            </w:pPr>
            <w:r w:rsidRPr="0045151D">
              <w:rPr>
                <w:rFonts w:ascii="Calibri" w:eastAsia="Calibri" w:hAnsi="Calibri" w:cs="Calibri"/>
                <w:b/>
                <w:color w:val="000000"/>
                <w:sz w:val="20"/>
                <w:szCs w:val="20"/>
                <w:lang w:val="en-GB"/>
              </w:rPr>
              <w:t>GW</w:t>
            </w:r>
            <w:r w:rsidRPr="0045151D">
              <w:rPr>
                <w:rFonts w:ascii="Calibri" w:eastAsia="Calibri" w:hAnsi="Calibri" w:cs="Calibri"/>
                <w:b/>
                <w:i/>
                <w:color w:val="000000"/>
                <w:sz w:val="20"/>
                <w:szCs w:val="20"/>
                <w:vertAlign w:val="superscript"/>
                <w:lang w:val="en-GB"/>
              </w:rPr>
              <w:t>(1)</w:t>
            </w:r>
            <w:r w:rsidRPr="0045151D">
              <w:rPr>
                <w:rFonts w:ascii="Calibri" w:eastAsia="Calibri" w:hAnsi="Calibri" w:cs="Calibri"/>
                <w:b/>
                <w:i/>
                <w:color w:val="000000"/>
                <w:sz w:val="20"/>
                <w:szCs w:val="20"/>
                <w:lang w:val="en-GB"/>
              </w:rPr>
              <w:t xml:space="preserve"> = </w:t>
            </w:r>
            <w:proofErr w:type="spellStart"/>
            <w:r w:rsidRPr="0045151D">
              <w:rPr>
                <w:rFonts w:ascii="Calibri" w:eastAsia="Calibri" w:hAnsi="Calibri" w:cs="Calibri"/>
                <w:b/>
                <w:color w:val="000000"/>
                <w:sz w:val="20"/>
                <w:szCs w:val="20"/>
                <w:lang w:val="en-GB"/>
              </w:rPr>
              <w:t>gw</w:t>
            </w:r>
            <w:proofErr w:type="spellEnd"/>
            <w:r w:rsidRPr="0045151D">
              <w:rPr>
                <w:rFonts w:ascii="Calibri" w:eastAsia="Calibri" w:hAnsi="Calibri" w:cs="Calibri"/>
                <w:b/>
                <w:color w:val="000000"/>
                <w:sz w:val="20"/>
                <w:szCs w:val="20"/>
                <w:lang w:val="en-GB"/>
              </w:rPr>
              <w:t xml:space="preserve"> </w:t>
            </w:r>
            <w:r w:rsidRPr="0045151D">
              <w:rPr>
                <w:rFonts w:ascii="Calibri" w:eastAsia="Calibri" w:hAnsi="Calibri" w:cs="Calibri"/>
                <w:b/>
                <w:i/>
                <w:color w:val="000000"/>
                <w:sz w:val="20"/>
                <w:szCs w:val="20"/>
                <w:lang w:val="en-GB"/>
              </w:rPr>
              <w:t>* f</w:t>
            </w:r>
            <w:r w:rsidRPr="0045151D">
              <w:rPr>
                <w:rFonts w:ascii="Calibri" w:eastAsia="Calibri" w:hAnsi="Calibri" w:cs="Calibri"/>
                <w:b/>
                <w:i/>
                <w:color w:val="000000"/>
                <w:sz w:val="20"/>
                <w:szCs w:val="20"/>
                <w:vertAlign w:val="superscript"/>
                <w:lang w:val="en-GB"/>
              </w:rPr>
              <w:t>(1)</w:t>
            </w:r>
            <w:r w:rsidRPr="0045151D">
              <w:rPr>
                <w:rFonts w:ascii="Calibri" w:eastAsia="Calibri" w:hAnsi="Calibri" w:cs="Calibri"/>
                <w:b/>
                <w:i/>
                <w:color w:val="000000"/>
                <w:sz w:val="20"/>
                <w:szCs w:val="20"/>
                <w:vertAlign w:val="subscript"/>
                <w:lang w:val="en-GB"/>
              </w:rPr>
              <w:t>LDW</w:t>
            </w:r>
          </w:p>
          <w:p w14:paraId="3E098838"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EBB9853" w14:textId="77777777" w:rsidR="00600DEE" w:rsidRPr="0045151D" w:rsidRDefault="00641FB5">
            <w:pPr>
              <w:pBdr>
                <w:top w:val="nil"/>
                <w:left w:val="nil"/>
                <w:bottom w:val="nil"/>
                <w:right w:val="nil"/>
                <w:between w:val="nil"/>
              </w:pBdr>
              <w:spacing w:before="120" w:after="120"/>
              <w:ind w:left="990" w:hanging="99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Table 14. Traffic accidents density factor </w:t>
            </w:r>
            <w:proofErr w:type="spellStart"/>
            <w:r w:rsidRPr="0045151D">
              <w:rPr>
                <w:rFonts w:ascii="Calibri" w:eastAsia="Calibri" w:hAnsi="Calibri" w:cs="Calibri"/>
                <w:b/>
                <w:color w:val="4F81BD"/>
                <w:sz w:val="20"/>
                <w:szCs w:val="20"/>
                <w:lang w:val="en-GB"/>
              </w:rPr>
              <w:t>gw</w:t>
            </w:r>
            <w:proofErr w:type="spellEnd"/>
            <w:r w:rsidRPr="0045151D">
              <w:rPr>
                <w:rFonts w:ascii="Calibri" w:eastAsia="Calibri" w:hAnsi="Calibri" w:cs="Calibri"/>
                <w:b/>
                <w:color w:val="4F81BD"/>
                <w:sz w:val="20"/>
                <w:szCs w:val="20"/>
                <w:lang w:val="en-GB"/>
              </w:rPr>
              <w:t xml:space="preserve"> for single carriageway roads</w:t>
            </w:r>
            <w:r w:rsidRPr="0045151D">
              <w:rPr>
                <w:rFonts w:ascii="Calibri" w:eastAsia="Calibri" w:hAnsi="Calibri" w:cs="Calibri"/>
                <w:b/>
                <w:color w:val="4F81BD"/>
                <w:sz w:val="20"/>
                <w:szCs w:val="20"/>
                <w:lang w:val="en-GB"/>
              </w:rPr>
              <w:br/>
              <w:t>[persons/km/year]</w:t>
            </w:r>
          </w:p>
          <w:tbl>
            <w:tblPr>
              <w:tblStyle w:val="afffffffffffffffff8"/>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95"/>
              <w:gridCol w:w="1275"/>
              <w:gridCol w:w="1626"/>
              <w:gridCol w:w="1843"/>
            </w:tblGrid>
            <w:tr w:rsidR="00600DEE" w:rsidRPr="007463B9" w14:paraId="228840CF" w14:textId="77777777" w:rsidTr="00661345">
              <w:trPr>
                <w:trHeight w:hRule="exact" w:val="340"/>
              </w:trPr>
              <w:tc>
                <w:tcPr>
                  <w:tcW w:w="2195" w:type="dxa"/>
                  <w:vMerge w:val="restart"/>
                  <w:shd w:val="clear" w:color="auto" w:fill="A6A6A6"/>
                  <w:vAlign w:val="center"/>
                </w:tcPr>
                <w:p w14:paraId="4DCF62AC"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275" w:type="dxa"/>
                  <w:vMerge w:val="restart"/>
                  <w:shd w:val="clear" w:color="auto" w:fill="A6A6A6"/>
                  <w:vAlign w:val="center"/>
                </w:tcPr>
                <w:p w14:paraId="2809350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3469" w:type="dxa"/>
                  <w:gridSpan w:val="2"/>
                  <w:shd w:val="clear" w:color="auto" w:fill="A6A6A6"/>
                  <w:vAlign w:val="center"/>
                </w:tcPr>
                <w:p w14:paraId="04433D03"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 G1</w:t>
                  </w:r>
                </w:p>
              </w:tc>
            </w:tr>
            <w:tr w:rsidR="00600DEE" w:rsidRPr="007463B9" w14:paraId="1EDB7D8C" w14:textId="77777777">
              <w:trPr>
                <w:trHeight w:val="144"/>
              </w:trPr>
              <w:tc>
                <w:tcPr>
                  <w:tcW w:w="2195" w:type="dxa"/>
                  <w:vMerge/>
                  <w:shd w:val="clear" w:color="auto" w:fill="A6A6A6"/>
                  <w:vAlign w:val="center"/>
                </w:tcPr>
                <w:p w14:paraId="602AF8D3"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lang w:val="en-GB"/>
                    </w:rPr>
                  </w:pPr>
                </w:p>
              </w:tc>
              <w:tc>
                <w:tcPr>
                  <w:tcW w:w="1275" w:type="dxa"/>
                  <w:vMerge/>
                  <w:shd w:val="clear" w:color="auto" w:fill="A6A6A6"/>
                  <w:vAlign w:val="center"/>
                </w:tcPr>
                <w:p w14:paraId="6B98964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lang w:val="en-GB"/>
                    </w:rPr>
                  </w:pPr>
                </w:p>
              </w:tc>
              <w:tc>
                <w:tcPr>
                  <w:tcW w:w="1626" w:type="dxa"/>
                  <w:shd w:val="clear" w:color="auto" w:fill="A6A6A6"/>
                  <w:vAlign w:val="center"/>
                </w:tcPr>
                <w:p w14:paraId="57C9597C"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Undeveloped area</w:t>
                  </w:r>
                </w:p>
              </w:tc>
              <w:tc>
                <w:tcPr>
                  <w:tcW w:w="1843" w:type="dxa"/>
                  <w:shd w:val="clear" w:color="auto" w:fill="A6A6A6"/>
                  <w:vAlign w:val="center"/>
                </w:tcPr>
                <w:p w14:paraId="627ADF75"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Built-up  area</w:t>
                  </w:r>
                </w:p>
              </w:tc>
            </w:tr>
            <w:tr w:rsidR="00600DEE" w:rsidRPr="007463B9" w14:paraId="1FBBDDC2" w14:textId="77777777" w:rsidTr="003B4C7E">
              <w:trPr>
                <w:trHeight w:hRule="exact" w:val="227"/>
              </w:trPr>
              <w:tc>
                <w:tcPr>
                  <w:tcW w:w="2195" w:type="dxa"/>
                  <w:shd w:val="clear" w:color="auto" w:fill="DBE5F1"/>
                  <w:vAlign w:val="center"/>
                </w:tcPr>
                <w:p w14:paraId="656C28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275" w:type="dxa"/>
                  <w:shd w:val="clear" w:color="auto" w:fill="DBE5F1"/>
                  <w:vAlign w:val="center"/>
                </w:tcPr>
                <w:p w14:paraId="0168B1A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w:t>
                  </w:r>
                </w:p>
              </w:tc>
              <w:tc>
                <w:tcPr>
                  <w:tcW w:w="1626" w:type="dxa"/>
                  <w:shd w:val="clear" w:color="auto" w:fill="DBE5F1"/>
                  <w:vAlign w:val="center"/>
                </w:tcPr>
                <w:p w14:paraId="287427D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c>
                <w:tcPr>
                  <w:tcW w:w="1843" w:type="dxa"/>
                  <w:shd w:val="clear" w:color="auto" w:fill="DBE5F1"/>
                  <w:vAlign w:val="center"/>
                </w:tcPr>
                <w:p w14:paraId="0B282FB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0.170</w:t>
                  </w:r>
                </w:p>
              </w:tc>
            </w:tr>
            <w:tr w:rsidR="00600DEE" w:rsidRPr="007463B9" w14:paraId="392CCF17" w14:textId="77777777" w:rsidTr="003B4C7E">
              <w:trPr>
                <w:trHeight w:hRule="exact" w:val="227"/>
              </w:trPr>
              <w:tc>
                <w:tcPr>
                  <w:tcW w:w="2195" w:type="dxa"/>
                  <w:shd w:val="clear" w:color="auto" w:fill="DBE5F1"/>
                  <w:vAlign w:val="center"/>
                </w:tcPr>
                <w:p w14:paraId="05371BE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275" w:type="dxa"/>
                  <w:shd w:val="clear" w:color="auto" w:fill="DBE5F1"/>
                  <w:vAlign w:val="center"/>
                </w:tcPr>
                <w:p w14:paraId="2E35520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0.152</w:t>
                  </w:r>
                </w:p>
              </w:tc>
              <w:tc>
                <w:tcPr>
                  <w:tcW w:w="1626" w:type="dxa"/>
                  <w:shd w:val="clear" w:color="auto" w:fill="DBE5F1"/>
                  <w:vAlign w:val="center"/>
                </w:tcPr>
                <w:p w14:paraId="4E97C8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0.244</w:t>
                  </w:r>
                </w:p>
              </w:tc>
              <w:tc>
                <w:tcPr>
                  <w:tcW w:w="1843" w:type="dxa"/>
                  <w:shd w:val="clear" w:color="auto" w:fill="DBE5F1"/>
                  <w:vAlign w:val="center"/>
                </w:tcPr>
                <w:p w14:paraId="2FF7315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0.369</w:t>
                  </w:r>
                </w:p>
              </w:tc>
            </w:tr>
            <w:tr w:rsidR="00600DEE" w:rsidRPr="007463B9" w14:paraId="282BEB48" w14:textId="77777777" w:rsidTr="003B4C7E">
              <w:trPr>
                <w:trHeight w:hRule="exact" w:val="227"/>
              </w:trPr>
              <w:tc>
                <w:tcPr>
                  <w:tcW w:w="2195" w:type="dxa"/>
                  <w:shd w:val="clear" w:color="auto" w:fill="DBE5F1"/>
                  <w:vAlign w:val="center"/>
                </w:tcPr>
                <w:p w14:paraId="07118232" w14:textId="44E85C2E" w:rsidR="00600DEE" w:rsidRPr="0045151D" w:rsidRDefault="00897A74">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275" w:type="dxa"/>
                  <w:shd w:val="clear" w:color="auto" w:fill="DBE5F1"/>
                  <w:vAlign w:val="center"/>
                </w:tcPr>
                <w:p w14:paraId="45BC6DA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0.270</w:t>
                  </w:r>
                </w:p>
              </w:tc>
              <w:tc>
                <w:tcPr>
                  <w:tcW w:w="1626" w:type="dxa"/>
                  <w:shd w:val="clear" w:color="auto" w:fill="DBE5F1"/>
                  <w:vAlign w:val="center"/>
                </w:tcPr>
                <w:p w14:paraId="68C7E0C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0.435</w:t>
                  </w:r>
                </w:p>
              </w:tc>
              <w:tc>
                <w:tcPr>
                  <w:tcW w:w="1843" w:type="dxa"/>
                  <w:shd w:val="clear" w:color="auto" w:fill="DBE5F1"/>
                  <w:vAlign w:val="center"/>
                </w:tcPr>
                <w:p w14:paraId="57064F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0.656</w:t>
                  </w:r>
                </w:p>
              </w:tc>
            </w:tr>
            <w:tr w:rsidR="00600DEE" w:rsidRPr="007463B9" w14:paraId="1E2D131C" w14:textId="77777777" w:rsidTr="003B4C7E">
              <w:trPr>
                <w:trHeight w:hRule="exact" w:val="227"/>
              </w:trPr>
              <w:tc>
                <w:tcPr>
                  <w:tcW w:w="2195" w:type="dxa"/>
                  <w:shd w:val="clear" w:color="auto" w:fill="DBE5F1"/>
                  <w:vAlign w:val="center"/>
                </w:tcPr>
                <w:p w14:paraId="37EDE28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275" w:type="dxa"/>
                  <w:shd w:val="clear" w:color="auto" w:fill="DBE5F1"/>
                  <w:vAlign w:val="center"/>
                </w:tcPr>
                <w:p w14:paraId="3C191A4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0.413</w:t>
                  </w:r>
                </w:p>
              </w:tc>
              <w:tc>
                <w:tcPr>
                  <w:tcW w:w="1626" w:type="dxa"/>
                  <w:shd w:val="clear" w:color="auto" w:fill="DBE5F1"/>
                  <w:vAlign w:val="center"/>
                </w:tcPr>
                <w:p w14:paraId="2A130F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0.665</w:t>
                  </w:r>
                </w:p>
              </w:tc>
              <w:tc>
                <w:tcPr>
                  <w:tcW w:w="1843" w:type="dxa"/>
                  <w:shd w:val="clear" w:color="auto" w:fill="DBE5F1"/>
                  <w:vAlign w:val="center"/>
                </w:tcPr>
                <w:p w14:paraId="3843DAC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1.004</w:t>
                  </w:r>
                </w:p>
              </w:tc>
            </w:tr>
          </w:tbl>
          <w:p w14:paraId="4242D497"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18E28045"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15. Road location factor f</w:t>
            </w:r>
            <w:r w:rsidRPr="0045151D">
              <w:rPr>
                <w:rFonts w:ascii="Calibri" w:eastAsia="Calibri" w:hAnsi="Calibri" w:cs="Calibri"/>
                <w:b/>
                <w:color w:val="4F81BD"/>
                <w:sz w:val="20"/>
                <w:szCs w:val="20"/>
                <w:vertAlign w:val="superscript"/>
                <w:lang w:val="en-GB"/>
              </w:rPr>
              <w:t>(1)</w:t>
            </w:r>
            <w:r w:rsidRPr="0045151D">
              <w:rPr>
                <w:rFonts w:ascii="Calibri" w:eastAsia="Calibri" w:hAnsi="Calibri" w:cs="Calibri"/>
                <w:b/>
                <w:color w:val="4F81BD"/>
                <w:sz w:val="20"/>
                <w:szCs w:val="20"/>
                <w:vertAlign w:val="subscript"/>
                <w:lang w:val="en-GB"/>
              </w:rPr>
              <w:t>LDW</w:t>
            </w:r>
            <w:r w:rsidRPr="0045151D">
              <w:rPr>
                <w:rFonts w:ascii="Calibri" w:eastAsia="Calibri" w:hAnsi="Calibri" w:cs="Calibri"/>
                <w:b/>
                <w:color w:val="4F81BD"/>
                <w:sz w:val="20"/>
                <w:szCs w:val="20"/>
                <w:lang w:val="en-GB"/>
              </w:rPr>
              <w:t>.</w:t>
            </w:r>
          </w:p>
          <w:tbl>
            <w:tblPr>
              <w:tblStyle w:val="afffffffffffffffff9"/>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28"/>
              <w:gridCol w:w="1305"/>
              <w:gridCol w:w="2618"/>
              <w:gridCol w:w="1088"/>
            </w:tblGrid>
            <w:tr w:rsidR="00600DEE" w:rsidRPr="00132C08" w14:paraId="7B7574D3" w14:textId="77777777" w:rsidTr="003B4C7E">
              <w:trPr>
                <w:trHeight w:hRule="exact" w:val="227"/>
              </w:trPr>
              <w:tc>
                <w:tcPr>
                  <w:tcW w:w="1928" w:type="dxa"/>
                  <w:shd w:val="clear" w:color="auto" w:fill="A6A6A6"/>
                  <w:vAlign w:val="center"/>
                </w:tcPr>
                <w:p w14:paraId="445FA19F" w14:textId="77777777" w:rsidR="00600DEE" w:rsidRPr="007463B9" w:rsidRDefault="00641FB5">
                  <w:pPr>
                    <w:jc w:val="center"/>
                    <w:rPr>
                      <w:rFonts w:ascii="Calibri" w:eastAsia="Calibri" w:hAnsi="Calibri" w:cs="Calibri"/>
                      <w:b/>
                      <w:color w:val="FFFFFF"/>
                      <w:sz w:val="17"/>
                      <w:szCs w:val="17"/>
                    </w:rPr>
                  </w:pPr>
                  <w:proofErr w:type="spellStart"/>
                  <w:r w:rsidRPr="007463B9">
                    <w:rPr>
                      <w:rFonts w:ascii="Calibri" w:eastAsia="Calibri" w:hAnsi="Calibri" w:cs="Calibri"/>
                      <w:b/>
                      <w:color w:val="FFFFFF"/>
                      <w:sz w:val="17"/>
                      <w:szCs w:val="17"/>
                    </w:rPr>
                    <w:t>Voivodeship</w:t>
                  </w:r>
                  <w:proofErr w:type="spellEnd"/>
                </w:p>
              </w:tc>
              <w:tc>
                <w:tcPr>
                  <w:tcW w:w="1305" w:type="dxa"/>
                  <w:shd w:val="clear" w:color="auto" w:fill="A6A6A6"/>
                  <w:vAlign w:val="center"/>
                </w:tcPr>
                <w:p w14:paraId="23C82056"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c>
                <w:tcPr>
                  <w:tcW w:w="2618" w:type="dxa"/>
                  <w:shd w:val="clear" w:color="auto" w:fill="A6A6A6"/>
                  <w:vAlign w:val="center"/>
                </w:tcPr>
                <w:p w14:paraId="4F8D5956" w14:textId="77777777" w:rsidR="00600DEE" w:rsidRPr="007463B9" w:rsidRDefault="00641FB5">
                  <w:pPr>
                    <w:jc w:val="center"/>
                    <w:rPr>
                      <w:rFonts w:ascii="Calibri" w:eastAsia="Calibri" w:hAnsi="Calibri" w:cs="Calibri"/>
                      <w:b/>
                      <w:color w:val="FFFFFF"/>
                      <w:sz w:val="17"/>
                      <w:szCs w:val="17"/>
                    </w:rPr>
                  </w:pPr>
                  <w:proofErr w:type="spellStart"/>
                  <w:r w:rsidRPr="007463B9">
                    <w:rPr>
                      <w:rFonts w:ascii="Calibri" w:eastAsia="Calibri" w:hAnsi="Calibri" w:cs="Calibri"/>
                      <w:b/>
                      <w:color w:val="FFFFFF"/>
                      <w:sz w:val="17"/>
                      <w:szCs w:val="17"/>
                    </w:rPr>
                    <w:t>Voivodeship</w:t>
                  </w:r>
                  <w:proofErr w:type="spellEnd"/>
                </w:p>
              </w:tc>
              <w:tc>
                <w:tcPr>
                  <w:tcW w:w="1088" w:type="dxa"/>
                  <w:shd w:val="clear" w:color="auto" w:fill="A6A6A6"/>
                  <w:vAlign w:val="center"/>
                </w:tcPr>
                <w:p w14:paraId="7CA906C3"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r>
            <w:tr w:rsidR="00600DEE" w:rsidRPr="00132C08" w14:paraId="489FAC8B" w14:textId="77777777" w:rsidTr="003B4C7E">
              <w:trPr>
                <w:trHeight w:hRule="exact" w:val="227"/>
              </w:trPr>
              <w:tc>
                <w:tcPr>
                  <w:tcW w:w="1928" w:type="dxa"/>
                  <w:shd w:val="clear" w:color="auto" w:fill="DBE5F1"/>
                  <w:vAlign w:val="center"/>
                </w:tcPr>
                <w:p w14:paraId="640FCAF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dolnośląskie</w:t>
                  </w:r>
                </w:p>
              </w:tc>
              <w:tc>
                <w:tcPr>
                  <w:tcW w:w="1305" w:type="dxa"/>
                  <w:shd w:val="clear" w:color="auto" w:fill="DBE5F1"/>
                  <w:vAlign w:val="center"/>
                </w:tcPr>
                <w:p w14:paraId="4CE98F5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2.342</w:t>
                  </w:r>
                </w:p>
              </w:tc>
              <w:tc>
                <w:tcPr>
                  <w:tcW w:w="2618" w:type="dxa"/>
                  <w:shd w:val="clear" w:color="auto" w:fill="DBE5F1"/>
                  <w:vAlign w:val="center"/>
                </w:tcPr>
                <w:p w14:paraId="372CC5E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podkarpackie</w:t>
                  </w:r>
                </w:p>
              </w:tc>
              <w:tc>
                <w:tcPr>
                  <w:tcW w:w="1088" w:type="dxa"/>
                  <w:shd w:val="clear" w:color="auto" w:fill="DBE5F1"/>
                  <w:vAlign w:val="center"/>
                </w:tcPr>
                <w:p w14:paraId="4BB061AB"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6542AAC0" w14:textId="77777777" w:rsidTr="003B4C7E">
              <w:trPr>
                <w:trHeight w:hRule="exact" w:val="227"/>
              </w:trPr>
              <w:tc>
                <w:tcPr>
                  <w:tcW w:w="1928" w:type="dxa"/>
                  <w:shd w:val="clear" w:color="auto" w:fill="DBE5F1"/>
                  <w:vAlign w:val="center"/>
                </w:tcPr>
                <w:p w14:paraId="30AB3F04"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kujawsko-pomorskie</w:t>
                  </w:r>
                </w:p>
              </w:tc>
              <w:tc>
                <w:tcPr>
                  <w:tcW w:w="1305" w:type="dxa"/>
                  <w:shd w:val="clear" w:color="auto" w:fill="DBE5F1"/>
                  <w:vAlign w:val="center"/>
                </w:tcPr>
                <w:p w14:paraId="349D533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1.696</w:t>
                  </w:r>
                </w:p>
              </w:tc>
              <w:tc>
                <w:tcPr>
                  <w:tcW w:w="2618" w:type="dxa"/>
                  <w:shd w:val="clear" w:color="auto" w:fill="DBE5F1"/>
                  <w:vAlign w:val="center"/>
                </w:tcPr>
                <w:p w14:paraId="128E723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podlaskie</w:t>
                  </w:r>
                </w:p>
              </w:tc>
              <w:tc>
                <w:tcPr>
                  <w:tcW w:w="1088" w:type="dxa"/>
                  <w:shd w:val="clear" w:color="auto" w:fill="DBE5F1"/>
                  <w:vAlign w:val="center"/>
                </w:tcPr>
                <w:p w14:paraId="7DC0B73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1.760</w:t>
                  </w:r>
                </w:p>
              </w:tc>
            </w:tr>
            <w:tr w:rsidR="00600DEE" w:rsidRPr="00132C08" w14:paraId="7AA05B3F" w14:textId="77777777" w:rsidTr="003B4C7E">
              <w:trPr>
                <w:trHeight w:hRule="exact" w:val="227"/>
              </w:trPr>
              <w:tc>
                <w:tcPr>
                  <w:tcW w:w="1928" w:type="dxa"/>
                  <w:shd w:val="clear" w:color="auto" w:fill="DBE5F1"/>
                  <w:vAlign w:val="center"/>
                </w:tcPr>
                <w:p w14:paraId="499D70E0"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lubelskie</w:t>
                  </w:r>
                </w:p>
              </w:tc>
              <w:tc>
                <w:tcPr>
                  <w:tcW w:w="1305" w:type="dxa"/>
                  <w:shd w:val="clear" w:color="auto" w:fill="DBE5F1"/>
                  <w:vAlign w:val="center"/>
                </w:tcPr>
                <w:p w14:paraId="3800152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2.405</w:t>
                  </w:r>
                </w:p>
              </w:tc>
              <w:tc>
                <w:tcPr>
                  <w:tcW w:w="2618" w:type="dxa"/>
                  <w:shd w:val="clear" w:color="auto" w:fill="DBE5F1"/>
                  <w:vAlign w:val="center"/>
                </w:tcPr>
                <w:p w14:paraId="76380920"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pomorskie</w:t>
                  </w:r>
                </w:p>
              </w:tc>
              <w:tc>
                <w:tcPr>
                  <w:tcW w:w="1088" w:type="dxa"/>
                  <w:shd w:val="clear" w:color="auto" w:fill="DBE5F1"/>
                  <w:vAlign w:val="center"/>
                </w:tcPr>
                <w:p w14:paraId="5EC304EA"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2.317</w:t>
                  </w:r>
                </w:p>
              </w:tc>
            </w:tr>
            <w:tr w:rsidR="00600DEE" w:rsidRPr="00132C08" w14:paraId="1BAB9EB0" w14:textId="77777777" w:rsidTr="003B4C7E">
              <w:trPr>
                <w:trHeight w:hRule="exact" w:val="227"/>
              </w:trPr>
              <w:tc>
                <w:tcPr>
                  <w:tcW w:w="1928" w:type="dxa"/>
                  <w:shd w:val="clear" w:color="auto" w:fill="DBE5F1"/>
                  <w:vAlign w:val="center"/>
                </w:tcPr>
                <w:p w14:paraId="74D982B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lubuskie</w:t>
                  </w:r>
                </w:p>
              </w:tc>
              <w:tc>
                <w:tcPr>
                  <w:tcW w:w="1305" w:type="dxa"/>
                  <w:shd w:val="clear" w:color="auto" w:fill="DBE5F1"/>
                  <w:vAlign w:val="center"/>
                </w:tcPr>
                <w:p w14:paraId="57785FA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1.742</w:t>
                  </w:r>
                </w:p>
              </w:tc>
              <w:tc>
                <w:tcPr>
                  <w:tcW w:w="2618" w:type="dxa"/>
                  <w:shd w:val="clear" w:color="auto" w:fill="DBE5F1"/>
                  <w:vAlign w:val="center"/>
                </w:tcPr>
                <w:p w14:paraId="3FFA53E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śląskie</w:t>
                  </w:r>
                </w:p>
              </w:tc>
              <w:tc>
                <w:tcPr>
                  <w:tcW w:w="1088" w:type="dxa"/>
                  <w:shd w:val="clear" w:color="auto" w:fill="DBE5F1"/>
                  <w:vAlign w:val="center"/>
                </w:tcPr>
                <w:p w14:paraId="01725EC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2.833</w:t>
                  </w:r>
                </w:p>
              </w:tc>
            </w:tr>
            <w:tr w:rsidR="00600DEE" w:rsidRPr="00132C08" w14:paraId="2EB50C3A" w14:textId="77777777" w:rsidTr="003B4C7E">
              <w:trPr>
                <w:trHeight w:hRule="exact" w:val="227"/>
              </w:trPr>
              <w:tc>
                <w:tcPr>
                  <w:tcW w:w="1928" w:type="dxa"/>
                  <w:shd w:val="clear" w:color="auto" w:fill="DBE5F1"/>
                  <w:vAlign w:val="center"/>
                </w:tcPr>
                <w:p w14:paraId="21F392F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łódzkie</w:t>
                  </w:r>
                </w:p>
              </w:tc>
              <w:tc>
                <w:tcPr>
                  <w:tcW w:w="1305" w:type="dxa"/>
                  <w:shd w:val="clear" w:color="auto" w:fill="DBE5F1"/>
                  <w:vAlign w:val="center"/>
                </w:tcPr>
                <w:p w14:paraId="1859E89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2.701</w:t>
                  </w:r>
                </w:p>
              </w:tc>
              <w:tc>
                <w:tcPr>
                  <w:tcW w:w="2618" w:type="dxa"/>
                  <w:shd w:val="clear" w:color="auto" w:fill="DBE5F1"/>
                  <w:vAlign w:val="center"/>
                </w:tcPr>
                <w:p w14:paraId="4C3C6BF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świętokrzyskie</w:t>
                  </w:r>
                </w:p>
              </w:tc>
              <w:tc>
                <w:tcPr>
                  <w:tcW w:w="1088" w:type="dxa"/>
                  <w:shd w:val="clear" w:color="auto" w:fill="DBE5F1"/>
                  <w:vAlign w:val="center"/>
                </w:tcPr>
                <w:p w14:paraId="4506BE0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13638AB3" w14:textId="77777777" w:rsidTr="003B4C7E">
              <w:trPr>
                <w:trHeight w:hRule="exact" w:val="227"/>
              </w:trPr>
              <w:tc>
                <w:tcPr>
                  <w:tcW w:w="1928" w:type="dxa"/>
                  <w:shd w:val="clear" w:color="auto" w:fill="DBE5F1"/>
                  <w:vAlign w:val="center"/>
                </w:tcPr>
                <w:p w14:paraId="72A2E64F"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małopolskie</w:t>
                  </w:r>
                </w:p>
              </w:tc>
              <w:tc>
                <w:tcPr>
                  <w:tcW w:w="1305" w:type="dxa"/>
                  <w:shd w:val="clear" w:color="auto" w:fill="DBE5F1"/>
                  <w:vAlign w:val="center"/>
                </w:tcPr>
                <w:p w14:paraId="6E6A4B5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2.788</w:t>
                  </w:r>
                </w:p>
              </w:tc>
              <w:tc>
                <w:tcPr>
                  <w:tcW w:w="2618" w:type="dxa"/>
                  <w:shd w:val="clear" w:color="auto" w:fill="DBE5F1"/>
                  <w:vAlign w:val="center"/>
                </w:tcPr>
                <w:p w14:paraId="7ED98FD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warmińsko-mazurskie</w:t>
                  </w:r>
                </w:p>
              </w:tc>
              <w:tc>
                <w:tcPr>
                  <w:tcW w:w="1088" w:type="dxa"/>
                  <w:shd w:val="clear" w:color="auto" w:fill="DBE5F1"/>
                  <w:vAlign w:val="center"/>
                </w:tcPr>
                <w:p w14:paraId="7B70045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2.617</w:t>
                  </w:r>
                </w:p>
              </w:tc>
            </w:tr>
            <w:tr w:rsidR="00600DEE" w:rsidRPr="00132C08" w14:paraId="7A7027C6" w14:textId="77777777" w:rsidTr="003B4C7E">
              <w:trPr>
                <w:trHeight w:hRule="exact" w:val="227"/>
              </w:trPr>
              <w:tc>
                <w:tcPr>
                  <w:tcW w:w="1928" w:type="dxa"/>
                  <w:shd w:val="clear" w:color="auto" w:fill="DBE5F1"/>
                  <w:vAlign w:val="center"/>
                </w:tcPr>
                <w:p w14:paraId="6CCCA9B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mazowieckie</w:t>
                  </w:r>
                </w:p>
              </w:tc>
              <w:tc>
                <w:tcPr>
                  <w:tcW w:w="1305" w:type="dxa"/>
                  <w:shd w:val="clear" w:color="auto" w:fill="DBE5F1"/>
                  <w:vAlign w:val="center"/>
                </w:tcPr>
                <w:p w14:paraId="02972C7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2.096</w:t>
                  </w:r>
                </w:p>
              </w:tc>
              <w:tc>
                <w:tcPr>
                  <w:tcW w:w="2618" w:type="dxa"/>
                  <w:shd w:val="clear" w:color="auto" w:fill="DBE5F1"/>
                  <w:vAlign w:val="center"/>
                </w:tcPr>
                <w:p w14:paraId="7C91B58E"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wielkopolskie</w:t>
                  </w:r>
                </w:p>
              </w:tc>
              <w:tc>
                <w:tcPr>
                  <w:tcW w:w="1088" w:type="dxa"/>
                  <w:shd w:val="clear" w:color="auto" w:fill="DBE5F1"/>
                  <w:vAlign w:val="center"/>
                </w:tcPr>
                <w:p w14:paraId="7CEF111B"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1.936</w:t>
                  </w:r>
                </w:p>
              </w:tc>
            </w:tr>
            <w:tr w:rsidR="00600DEE" w:rsidRPr="00132C08" w14:paraId="2235FBE0" w14:textId="77777777" w:rsidTr="003B4C7E">
              <w:trPr>
                <w:trHeight w:hRule="exact" w:val="227"/>
              </w:trPr>
              <w:tc>
                <w:tcPr>
                  <w:tcW w:w="1928" w:type="dxa"/>
                  <w:shd w:val="clear" w:color="auto" w:fill="DBE5F1"/>
                  <w:vAlign w:val="center"/>
                </w:tcPr>
                <w:p w14:paraId="3BB2D79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opolskie</w:t>
                  </w:r>
                </w:p>
              </w:tc>
              <w:tc>
                <w:tcPr>
                  <w:tcW w:w="1305" w:type="dxa"/>
                  <w:shd w:val="clear" w:color="auto" w:fill="DBE5F1"/>
                  <w:vAlign w:val="center"/>
                </w:tcPr>
                <w:p w14:paraId="5705445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2.063</w:t>
                  </w:r>
                </w:p>
              </w:tc>
              <w:tc>
                <w:tcPr>
                  <w:tcW w:w="2618" w:type="dxa"/>
                  <w:shd w:val="clear" w:color="auto" w:fill="DBE5F1"/>
                  <w:vAlign w:val="center"/>
                </w:tcPr>
                <w:p w14:paraId="001AEBCA"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zachodniopomorskie</w:t>
                  </w:r>
                </w:p>
              </w:tc>
              <w:tc>
                <w:tcPr>
                  <w:tcW w:w="1088" w:type="dxa"/>
                  <w:shd w:val="clear" w:color="auto" w:fill="DBE5F1"/>
                  <w:vAlign w:val="center"/>
                </w:tcPr>
                <w:p w14:paraId="23D44A60"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1.886</w:t>
                  </w:r>
                </w:p>
              </w:tc>
            </w:tr>
          </w:tbl>
          <w:p w14:paraId="0C0C8EAE" w14:textId="77777777" w:rsidR="00600DEE" w:rsidRPr="007463B9" w:rsidRDefault="00641FB5">
            <w:pPr>
              <w:spacing w:before="120" w:after="120"/>
              <w:ind w:right="170"/>
              <w:jc w:val="both"/>
              <w:rPr>
                <w:rFonts w:ascii="Calibri" w:eastAsia="Calibri" w:hAnsi="Calibri" w:cs="Calibri"/>
                <w:b/>
                <w:i/>
                <w:sz w:val="16"/>
                <w:szCs w:val="16"/>
              </w:rPr>
            </w:pPr>
            <w:r w:rsidRPr="007463B9">
              <w:rPr>
                <w:rFonts w:ascii="Calibri" w:eastAsia="Calibri" w:hAnsi="Calibri" w:cs="Calibri"/>
                <w:b/>
                <w:i/>
                <w:sz w:val="16"/>
                <w:szCs w:val="16"/>
              </w:rPr>
              <w:t xml:space="preserve">Source: Method of RS </w:t>
            </w:r>
            <w:proofErr w:type="spellStart"/>
            <w:r w:rsidRPr="007463B9">
              <w:rPr>
                <w:rFonts w:ascii="Calibri" w:eastAsia="Calibri" w:hAnsi="Calibri" w:cs="Calibri"/>
                <w:b/>
                <w:i/>
                <w:sz w:val="16"/>
                <w:szCs w:val="16"/>
              </w:rPr>
              <w:t>indicators</w:t>
            </w:r>
            <w:proofErr w:type="spellEnd"/>
          </w:p>
          <w:p w14:paraId="58CA5591" w14:textId="77777777" w:rsidR="00600DEE" w:rsidRPr="0045151D" w:rsidRDefault="00641FB5">
            <w:pPr>
              <w:pBdr>
                <w:top w:val="nil"/>
                <w:left w:val="nil"/>
                <w:bottom w:val="nil"/>
                <w:right w:val="nil"/>
                <w:between w:val="nil"/>
              </w:pBdr>
              <w:spacing w:before="120" w:after="120"/>
              <w:ind w:left="1132" w:hanging="113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16. Densities of injured (GR) on single carriageway roads</w:t>
            </w:r>
            <w:r w:rsidRPr="0045151D">
              <w:rPr>
                <w:rFonts w:ascii="Calibri" w:eastAsia="Calibri" w:hAnsi="Calibri" w:cs="Calibri"/>
                <w:b/>
                <w:color w:val="4F81BD"/>
                <w:sz w:val="20"/>
                <w:szCs w:val="20"/>
                <w:lang w:val="en-GB"/>
              </w:rPr>
              <w:br/>
              <w:t xml:space="preserve"> [persons/km/year]</w:t>
            </w:r>
          </w:p>
          <w:tbl>
            <w:tblPr>
              <w:tblStyle w:val="afffffffffffffffffa"/>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15"/>
              <w:gridCol w:w="1004"/>
              <w:gridCol w:w="2052"/>
              <w:gridCol w:w="2268"/>
            </w:tblGrid>
            <w:tr w:rsidR="00600DEE" w14:paraId="1648C7C7" w14:textId="77777777" w:rsidTr="00746969">
              <w:trPr>
                <w:trHeight w:val="120"/>
              </w:trPr>
              <w:tc>
                <w:tcPr>
                  <w:tcW w:w="1615" w:type="dxa"/>
                  <w:vMerge w:val="restart"/>
                  <w:shd w:val="clear" w:color="auto" w:fill="A6A6A6"/>
                  <w:vAlign w:val="center"/>
                </w:tcPr>
                <w:p w14:paraId="654189E5" w14:textId="77777777"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AADT</w:t>
                  </w:r>
                </w:p>
              </w:tc>
              <w:tc>
                <w:tcPr>
                  <w:tcW w:w="5324" w:type="dxa"/>
                  <w:gridSpan w:val="3"/>
                  <w:shd w:val="clear" w:color="auto" w:fill="A6A6A6"/>
                  <w:vAlign w:val="center"/>
                </w:tcPr>
                <w:p w14:paraId="1E53F773" w14:textId="300B55EE"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GR</w:t>
                  </w:r>
                </w:p>
              </w:tc>
            </w:tr>
            <w:tr w:rsidR="00600DEE" w:rsidRPr="007463B9" w14:paraId="03F4F47B" w14:textId="77777777" w:rsidTr="00746969">
              <w:trPr>
                <w:trHeight w:val="194"/>
              </w:trPr>
              <w:tc>
                <w:tcPr>
                  <w:tcW w:w="1615" w:type="dxa"/>
                  <w:vMerge/>
                  <w:shd w:val="clear" w:color="auto" w:fill="A6A6A6"/>
                  <w:vAlign w:val="center"/>
                </w:tcPr>
                <w:p w14:paraId="0124DE56" w14:textId="77777777" w:rsidR="00600DEE" w:rsidRDefault="00600DEE" w:rsidP="00746969">
                  <w:pPr>
                    <w:widowControl w:val="0"/>
                    <w:pBdr>
                      <w:top w:val="nil"/>
                      <w:left w:val="nil"/>
                      <w:bottom w:val="nil"/>
                      <w:right w:val="nil"/>
                      <w:between w:val="nil"/>
                    </w:pBdr>
                    <w:spacing w:line="276" w:lineRule="auto"/>
                    <w:jc w:val="center"/>
                    <w:rPr>
                      <w:rFonts w:ascii="Calibri" w:eastAsia="Calibri" w:hAnsi="Calibri" w:cs="Calibri"/>
                      <w:b/>
                      <w:color w:val="FFFFFF"/>
                      <w:sz w:val="17"/>
                      <w:szCs w:val="17"/>
                    </w:rPr>
                  </w:pPr>
                </w:p>
              </w:tc>
              <w:tc>
                <w:tcPr>
                  <w:tcW w:w="1004" w:type="dxa"/>
                  <w:shd w:val="clear" w:color="auto" w:fill="A6A6A6"/>
                  <w:vAlign w:val="center"/>
                </w:tcPr>
                <w:p w14:paraId="7E722FD4" w14:textId="77777777"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2052" w:type="dxa"/>
                  <w:shd w:val="clear" w:color="auto" w:fill="A6A6A6"/>
                  <w:vAlign w:val="center"/>
                </w:tcPr>
                <w:p w14:paraId="7DA1C6C2" w14:textId="77777777"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 xml:space="preserve">GP1, G1 </w:t>
                  </w:r>
                  <w:proofErr w:type="spellStart"/>
                  <w:r>
                    <w:rPr>
                      <w:rFonts w:ascii="Calibri" w:eastAsia="Calibri" w:hAnsi="Calibri" w:cs="Calibri"/>
                      <w:b/>
                      <w:color w:val="FFFFFF"/>
                      <w:sz w:val="17"/>
                      <w:szCs w:val="17"/>
                    </w:rPr>
                    <w:t>undeveloped</w:t>
                  </w:r>
                  <w:proofErr w:type="spellEnd"/>
                  <w:r>
                    <w:rPr>
                      <w:rFonts w:ascii="Calibri" w:eastAsia="Calibri" w:hAnsi="Calibri" w:cs="Calibri"/>
                      <w:b/>
                      <w:color w:val="FFFFFF"/>
                      <w:sz w:val="17"/>
                      <w:szCs w:val="17"/>
                    </w:rPr>
                    <w:t xml:space="preserve"> </w:t>
                  </w:r>
                  <w:proofErr w:type="spellStart"/>
                  <w:r>
                    <w:rPr>
                      <w:rFonts w:ascii="Calibri" w:eastAsia="Calibri" w:hAnsi="Calibri" w:cs="Calibri"/>
                      <w:b/>
                      <w:color w:val="FFFFFF"/>
                      <w:sz w:val="17"/>
                      <w:szCs w:val="17"/>
                    </w:rPr>
                    <w:t>area</w:t>
                  </w:r>
                  <w:proofErr w:type="spellEnd"/>
                </w:p>
              </w:tc>
              <w:tc>
                <w:tcPr>
                  <w:tcW w:w="2268" w:type="dxa"/>
                  <w:shd w:val="clear" w:color="auto" w:fill="A6A6A6"/>
                  <w:vAlign w:val="center"/>
                </w:tcPr>
                <w:p w14:paraId="4252F7B0" w14:textId="77777777" w:rsidR="00600DEE" w:rsidRPr="0045151D" w:rsidRDefault="00641FB5" w:rsidP="00746969">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 G1 built-up  area</w:t>
                  </w:r>
                </w:p>
              </w:tc>
            </w:tr>
            <w:tr w:rsidR="00600DEE" w:rsidRPr="007463B9" w14:paraId="2F8DA99C" w14:textId="77777777" w:rsidTr="00746969">
              <w:trPr>
                <w:trHeight w:val="111"/>
              </w:trPr>
              <w:tc>
                <w:tcPr>
                  <w:tcW w:w="1615" w:type="dxa"/>
                  <w:shd w:val="clear" w:color="auto" w:fill="DBE5F1"/>
                  <w:vAlign w:val="center"/>
                </w:tcPr>
                <w:p w14:paraId="6753C87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004" w:type="dxa"/>
                  <w:shd w:val="clear" w:color="auto" w:fill="DBE5F1"/>
                  <w:vAlign w:val="center"/>
                </w:tcPr>
                <w:p w14:paraId="143F008F"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0.175</w:t>
                  </w:r>
                </w:p>
              </w:tc>
              <w:tc>
                <w:tcPr>
                  <w:tcW w:w="2052" w:type="dxa"/>
                  <w:shd w:val="clear" w:color="auto" w:fill="DBE5F1"/>
                  <w:vAlign w:val="center"/>
                </w:tcPr>
                <w:p w14:paraId="50053AAD"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0.323</w:t>
                  </w:r>
                </w:p>
              </w:tc>
              <w:tc>
                <w:tcPr>
                  <w:tcW w:w="2268" w:type="dxa"/>
                  <w:shd w:val="clear" w:color="auto" w:fill="DBE5F1"/>
                  <w:vAlign w:val="center"/>
                </w:tcPr>
                <w:p w14:paraId="73A8D8AF"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0.441</w:t>
                  </w:r>
                </w:p>
              </w:tc>
            </w:tr>
            <w:tr w:rsidR="00600DEE" w:rsidRPr="007463B9" w14:paraId="0810E02D" w14:textId="77777777" w:rsidTr="00746969">
              <w:trPr>
                <w:trHeight w:val="172"/>
              </w:trPr>
              <w:tc>
                <w:tcPr>
                  <w:tcW w:w="1615" w:type="dxa"/>
                  <w:shd w:val="clear" w:color="auto" w:fill="DBE5F1"/>
                  <w:vAlign w:val="center"/>
                </w:tcPr>
                <w:p w14:paraId="68B09F36"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004" w:type="dxa"/>
                  <w:shd w:val="clear" w:color="auto" w:fill="DBE5F1"/>
                  <w:vAlign w:val="center"/>
                </w:tcPr>
                <w:p w14:paraId="5AD8B6C7"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0.404</w:t>
                  </w:r>
                </w:p>
              </w:tc>
              <w:tc>
                <w:tcPr>
                  <w:tcW w:w="2052" w:type="dxa"/>
                  <w:shd w:val="clear" w:color="auto" w:fill="DBE5F1"/>
                  <w:vAlign w:val="center"/>
                </w:tcPr>
                <w:p w14:paraId="46E8DA2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0.804</w:t>
                  </w:r>
                </w:p>
              </w:tc>
              <w:tc>
                <w:tcPr>
                  <w:tcW w:w="2268" w:type="dxa"/>
                  <w:shd w:val="clear" w:color="auto" w:fill="DBE5F1"/>
                  <w:vAlign w:val="center"/>
                </w:tcPr>
                <w:p w14:paraId="6E067058"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1.042</w:t>
                  </w:r>
                </w:p>
              </w:tc>
            </w:tr>
            <w:tr w:rsidR="00600DEE" w:rsidRPr="007463B9" w14:paraId="4A24A51C" w14:textId="77777777" w:rsidTr="00746969">
              <w:trPr>
                <w:trHeight w:val="90"/>
              </w:trPr>
              <w:tc>
                <w:tcPr>
                  <w:tcW w:w="1615" w:type="dxa"/>
                  <w:shd w:val="clear" w:color="auto" w:fill="DBE5F1"/>
                  <w:vAlign w:val="center"/>
                </w:tcPr>
                <w:p w14:paraId="0A74C9BC" w14:textId="592B2B5A" w:rsidR="00600DEE" w:rsidRPr="0045151D" w:rsidRDefault="00897A74" w:rsidP="00746969">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004" w:type="dxa"/>
                  <w:shd w:val="clear" w:color="auto" w:fill="DBE5F1"/>
                  <w:vAlign w:val="center"/>
                </w:tcPr>
                <w:p w14:paraId="3D6BEB4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0.742</w:t>
                  </w:r>
                </w:p>
              </w:tc>
              <w:tc>
                <w:tcPr>
                  <w:tcW w:w="2052" w:type="dxa"/>
                  <w:shd w:val="clear" w:color="auto" w:fill="DBE5F1"/>
                  <w:vAlign w:val="center"/>
                </w:tcPr>
                <w:p w14:paraId="702E6659"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1.527</w:t>
                  </w:r>
                </w:p>
              </w:tc>
              <w:tc>
                <w:tcPr>
                  <w:tcW w:w="2268" w:type="dxa"/>
                  <w:shd w:val="clear" w:color="auto" w:fill="DBE5F1"/>
                  <w:vAlign w:val="center"/>
                </w:tcPr>
                <w:p w14:paraId="3F1956D3"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1.932</w:t>
                  </w:r>
                </w:p>
              </w:tc>
            </w:tr>
            <w:tr w:rsidR="00600DEE" w:rsidRPr="007463B9" w14:paraId="509B3740" w14:textId="77777777" w:rsidTr="00746969">
              <w:trPr>
                <w:trHeight w:val="375"/>
              </w:trPr>
              <w:tc>
                <w:tcPr>
                  <w:tcW w:w="1615" w:type="dxa"/>
                  <w:shd w:val="clear" w:color="auto" w:fill="DBE5F1"/>
                  <w:vAlign w:val="center"/>
                </w:tcPr>
                <w:p w14:paraId="7ADEEF72" w14:textId="3DEC533D"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004" w:type="dxa"/>
                  <w:shd w:val="clear" w:color="auto" w:fill="DBE5F1"/>
                  <w:vAlign w:val="center"/>
                </w:tcPr>
                <w:p w14:paraId="5594E52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2052" w:type="dxa"/>
                  <w:shd w:val="clear" w:color="auto" w:fill="DBE5F1"/>
                  <w:vAlign w:val="center"/>
                </w:tcPr>
                <w:p w14:paraId="4C288D18"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2.246</w:t>
                  </w:r>
                </w:p>
              </w:tc>
              <w:tc>
                <w:tcPr>
                  <w:tcW w:w="2268" w:type="dxa"/>
                  <w:shd w:val="clear" w:color="auto" w:fill="DBE5F1"/>
                  <w:vAlign w:val="center"/>
                </w:tcPr>
                <w:p w14:paraId="4AB9AFD4"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2.882</w:t>
                  </w:r>
                </w:p>
              </w:tc>
            </w:tr>
          </w:tbl>
          <w:p w14:paraId="6DA366EB"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30B028F4" w14:textId="77777777" w:rsidR="00600DEE" w:rsidRPr="0045151D" w:rsidRDefault="00600DEE">
            <w:pPr>
              <w:spacing w:before="120" w:after="120"/>
              <w:ind w:right="170"/>
              <w:jc w:val="both"/>
              <w:rPr>
                <w:rFonts w:ascii="Calibri" w:eastAsia="Calibri" w:hAnsi="Calibri" w:cs="Calibri"/>
                <w:b/>
                <w:i/>
                <w:sz w:val="16"/>
                <w:szCs w:val="16"/>
                <w:lang w:val="en-GB"/>
              </w:rPr>
            </w:pPr>
          </w:p>
          <w:p w14:paraId="711FDB8D" w14:textId="77777777" w:rsidR="00600DEE" w:rsidRPr="0045151D" w:rsidRDefault="00600DEE">
            <w:pPr>
              <w:spacing w:before="120" w:after="120"/>
              <w:ind w:right="170"/>
              <w:jc w:val="both"/>
              <w:rPr>
                <w:rFonts w:ascii="Calibri" w:eastAsia="Calibri" w:hAnsi="Calibri" w:cs="Calibri"/>
                <w:b/>
                <w:i/>
                <w:sz w:val="16"/>
                <w:szCs w:val="16"/>
                <w:lang w:val="en-GB"/>
              </w:rPr>
            </w:pPr>
          </w:p>
          <w:p w14:paraId="2F663208" w14:textId="77777777" w:rsidR="00600DEE" w:rsidRPr="0045151D" w:rsidRDefault="00641FB5" w:rsidP="003B6BDE">
            <w:pPr>
              <w:pBdr>
                <w:top w:val="nil"/>
                <w:left w:val="nil"/>
                <w:bottom w:val="nil"/>
                <w:right w:val="nil"/>
                <w:between w:val="nil"/>
              </w:pBdr>
              <w:spacing w:before="120" w:after="6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17. Densities of seriously injured (GCR) and of fatalities (GZ) on single</w:t>
            </w:r>
            <w:r w:rsidRPr="0045151D">
              <w:rPr>
                <w:rFonts w:ascii="Calibri" w:eastAsia="Calibri" w:hAnsi="Calibri" w:cs="Calibri"/>
                <w:b/>
                <w:color w:val="4F81BD"/>
                <w:sz w:val="20"/>
                <w:szCs w:val="20"/>
                <w:lang w:val="en-GB"/>
              </w:rPr>
              <w:br/>
              <w:t xml:space="preserve">  carriageway roads [persons/km/year]</w:t>
            </w:r>
          </w:p>
          <w:tbl>
            <w:tblPr>
              <w:tblStyle w:val="afffffffffffffffffb"/>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15"/>
              <w:gridCol w:w="1004"/>
              <w:gridCol w:w="1343"/>
              <w:gridCol w:w="2126"/>
              <w:gridCol w:w="851"/>
            </w:tblGrid>
            <w:tr w:rsidR="00600DEE" w14:paraId="3BCA0B57" w14:textId="77777777" w:rsidTr="003B6BDE">
              <w:trPr>
                <w:trHeight w:hRule="exact" w:val="397"/>
              </w:trPr>
              <w:tc>
                <w:tcPr>
                  <w:tcW w:w="1615" w:type="dxa"/>
                  <w:vMerge w:val="restart"/>
                  <w:shd w:val="clear" w:color="auto" w:fill="A6A6A6"/>
                  <w:vAlign w:val="center"/>
                </w:tcPr>
                <w:p w14:paraId="7E9A3312"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AADT</w:t>
                  </w:r>
                </w:p>
              </w:tc>
              <w:tc>
                <w:tcPr>
                  <w:tcW w:w="4473" w:type="dxa"/>
                  <w:gridSpan w:val="3"/>
                  <w:shd w:val="clear" w:color="auto" w:fill="A6A6A6"/>
                  <w:vAlign w:val="center"/>
                </w:tcPr>
                <w:p w14:paraId="7CA6356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GCR</w:t>
                  </w:r>
                </w:p>
              </w:tc>
              <w:tc>
                <w:tcPr>
                  <w:tcW w:w="851" w:type="dxa"/>
                  <w:vMerge w:val="restart"/>
                  <w:shd w:val="clear" w:color="auto" w:fill="A6A6A6"/>
                  <w:vAlign w:val="center"/>
                </w:tcPr>
                <w:p w14:paraId="0F5B474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GZ</w:t>
                  </w:r>
                </w:p>
              </w:tc>
            </w:tr>
            <w:tr w:rsidR="00600DEE" w:rsidRPr="007463B9" w14:paraId="6976A197" w14:textId="77777777">
              <w:trPr>
                <w:trHeight w:val="426"/>
              </w:trPr>
              <w:tc>
                <w:tcPr>
                  <w:tcW w:w="1615" w:type="dxa"/>
                  <w:vMerge/>
                  <w:shd w:val="clear" w:color="auto" w:fill="A6A6A6"/>
                  <w:vAlign w:val="center"/>
                </w:tcPr>
                <w:p w14:paraId="5121EA5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004" w:type="dxa"/>
                  <w:shd w:val="clear" w:color="auto" w:fill="A6A6A6"/>
                  <w:vAlign w:val="center"/>
                </w:tcPr>
                <w:p w14:paraId="1D26D382"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343" w:type="dxa"/>
                  <w:shd w:val="clear" w:color="auto" w:fill="A6A6A6"/>
                  <w:vAlign w:val="center"/>
                </w:tcPr>
                <w:p w14:paraId="758CF0E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 xml:space="preserve">GP1, G1 </w:t>
                  </w:r>
                  <w:proofErr w:type="spellStart"/>
                  <w:r>
                    <w:rPr>
                      <w:rFonts w:ascii="Calibri" w:eastAsia="Calibri" w:hAnsi="Calibri" w:cs="Calibri"/>
                      <w:b/>
                      <w:color w:val="FFFFFF"/>
                      <w:sz w:val="17"/>
                      <w:szCs w:val="17"/>
                    </w:rPr>
                    <w:t>undeveloped</w:t>
                  </w:r>
                  <w:proofErr w:type="spellEnd"/>
                  <w:r>
                    <w:rPr>
                      <w:rFonts w:ascii="Calibri" w:eastAsia="Calibri" w:hAnsi="Calibri" w:cs="Calibri"/>
                      <w:b/>
                      <w:color w:val="FFFFFF"/>
                      <w:sz w:val="17"/>
                      <w:szCs w:val="17"/>
                    </w:rPr>
                    <w:t xml:space="preserve"> </w:t>
                  </w:r>
                  <w:proofErr w:type="spellStart"/>
                  <w:r>
                    <w:rPr>
                      <w:rFonts w:ascii="Calibri" w:eastAsia="Calibri" w:hAnsi="Calibri" w:cs="Calibri"/>
                      <w:b/>
                      <w:color w:val="FFFFFF"/>
                      <w:sz w:val="17"/>
                      <w:szCs w:val="17"/>
                    </w:rPr>
                    <w:t>area</w:t>
                  </w:r>
                  <w:proofErr w:type="spellEnd"/>
                </w:p>
              </w:tc>
              <w:tc>
                <w:tcPr>
                  <w:tcW w:w="2126" w:type="dxa"/>
                  <w:shd w:val="clear" w:color="auto" w:fill="A6A6A6"/>
                  <w:vAlign w:val="center"/>
                </w:tcPr>
                <w:p w14:paraId="3B029D1E"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 G1  built-up arear</w:t>
                  </w:r>
                </w:p>
              </w:tc>
              <w:tc>
                <w:tcPr>
                  <w:tcW w:w="851" w:type="dxa"/>
                  <w:vMerge/>
                  <w:shd w:val="clear" w:color="auto" w:fill="A6A6A6"/>
                  <w:vAlign w:val="center"/>
                </w:tcPr>
                <w:p w14:paraId="6E52619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lang w:val="en-GB"/>
                    </w:rPr>
                  </w:pPr>
                </w:p>
              </w:tc>
            </w:tr>
            <w:tr w:rsidR="00600DEE" w:rsidRPr="007463B9" w14:paraId="603C2B10" w14:textId="77777777">
              <w:trPr>
                <w:trHeight w:val="120"/>
              </w:trPr>
              <w:tc>
                <w:tcPr>
                  <w:tcW w:w="1615" w:type="dxa"/>
                  <w:shd w:val="clear" w:color="auto" w:fill="DBE5F1"/>
                  <w:vAlign w:val="center"/>
                </w:tcPr>
                <w:p w14:paraId="0721FF7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004" w:type="dxa"/>
                  <w:shd w:val="clear" w:color="auto" w:fill="DBE5F1"/>
                  <w:vAlign w:val="center"/>
                </w:tcPr>
                <w:p w14:paraId="3E532BE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0.023</w:t>
                  </w:r>
                </w:p>
              </w:tc>
              <w:tc>
                <w:tcPr>
                  <w:tcW w:w="1343" w:type="dxa"/>
                  <w:shd w:val="clear" w:color="auto" w:fill="DBE5F1"/>
                  <w:vAlign w:val="center"/>
                </w:tcPr>
                <w:p w14:paraId="17C7764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c>
                <w:tcPr>
                  <w:tcW w:w="2126" w:type="dxa"/>
                  <w:shd w:val="clear" w:color="auto" w:fill="DBE5F1"/>
                  <w:vAlign w:val="center"/>
                </w:tcPr>
                <w:p w14:paraId="5A10B72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0.082</w:t>
                  </w:r>
                </w:p>
              </w:tc>
              <w:tc>
                <w:tcPr>
                  <w:tcW w:w="851" w:type="dxa"/>
                  <w:shd w:val="clear" w:color="auto" w:fill="DBE5F1"/>
                  <w:vAlign w:val="center"/>
                </w:tcPr>
                <w:p w14:paraId="4E4FA36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r>
            <w:tr w:rsidR="00600DEE" w:rsidRPr="007463B9" w14:paraId="4D11BF26" w14:textId="77777777">
              <w:trPr>
                <w:trHeight w:val="70"/>
              </w:trPr>
              <w:tc>
                <w:tcPr>
                  <w:tcW w:w="1615" w:type="dxa"/>
                  <w:shd w:val="clear" w:color="auto" w:fill="DBE5F1"/>
                  <w:vAlign w:val="center"/>
                </w:tcPr>
                <w:p w14:paraId="7F4CE8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004" w:type="dxa"/>
                  <w:shd w:val="clear" w:color="auto" w:fill="DBE5F1"/>
                  <w:vAlign w:val="center"/>
                </w:tcPr>
                <w:p w14:paraId="4487AD0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0.077</w:t>
                  </w:r>
                </w:p>
              </w:tc>
              <w:tc>
                <w:tcPr>
                  <w:tcW w:w="1343" w:type="dxa"/>
                  <w:shd w:val="clear" w:color="auto" w:fill="DBE5F1"/>
                  <w:vAlign w:val="center"/>
                </w:tcPr>
                <w:p w14:paraId="2405165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0.199</w:t>
                  </w:r>
                </w:p>
              </w:tc>
              <w:tc>
                <w:tcPr>
                  <w:tcW w:w="2126" w:type="dxa"/>
                  <w:shd w:val="clear" w:color="auto" w:fill="DBE5F1"/>
                  <w:vAlign w:val="center"/>
                </w:tcPr>
                <w:p w14:paraId="723708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0.271</w:t>
                  </w:r>
                </w:p>
              </w:tc>
              <w:tc>
                <w:tcPr>
                  <w:tcW w:w="851" w:type="dxa"/>
                  <w:shd w:val="clear" w:color="auto" w:fill="DBE5F1"/>
                  <w:vAlign w:val="center"/>
                </w:tcPr>
                <w:p w14:paraId="443C017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0.103</w:t>
                  </w:r>
                </w:p>
              </w:tc>
            </w:tr>
            <w:tr w:rsidR="00600DEE" w:rsidRPr="007463B9" w14:paraId="3D5FC728" w14:textId="77777777">
              <w:trPr>
                <w:trHeight w:val="84"/>
              </w:trPr>
              <w:tc>
                <w:tcPr>
                  <w:tcW w:w="1615" w:type="dxa"/>
                  <w:shd w:val="clear" w:color="auto" w:fill="DBE5F1"/>
                  <w:vAlign w:val="center"/>
                </w:tcPr>
                <w:p w14:paraId="3CDEEB1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004" w:type="dxa"/>
                  <w:shd w:val="clear" w:color="auto" w:fill="DBE5F1"/>
                  <w:vAlign w:val="center"/>
                </w:tcPr>
                <w:p w14:paraId="4EEEE7B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0.157</w:t>
                  </w:r>
                </w:p>
              </w:tc>
              <w:tc>
                <w:tcPr>
                  <w:tcW w:w="1343" w:type="dxa"/>
                  <w:shd w:val="clear" w:color="auto" w:fill="DBE5F1"/>
                  <w:vAlign w:val="center"/>
                </w:tcPr>
                <w:p w14:paraId="3E3B4C9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0.408</w:t>
                  </w:r>
                </w:p>
              </w:tc>
              <w:tc>
                <w:tcPr>
                  <w:tcW w:w="2126" w:type="dxa"/>
                  <w:shd w:val="clear" w:color="auto" w:fill="DBE5F1"/>
                  <w:vAlign w:val="center"/>
                </w:tcPr>
                <w:p w14:paraId="03F5134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0.556</w:t>
                  </w:r>
                </w:p>
              </w:tc>
              <w:tc>
                <w:tcPr>
                  <w:tcW w:w="851" w:type="dxa"/>
                  <w:shd w:val="clear" w:color="auto" w:fill="DBE5F1"/>
                  <w:vAlign w:val="center"/>
                </w:tcPr>
                <w:p w14:paraId="6BF1FC0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0.193</w:t>
                  </w:r>
                </w:p>
              </w:tc>
            </w:tr>
            <w:tr w:rsidR="00600DEE" w:rsidRPr="007463B9" w14:paraId="50F1D531" w14:textId="77777777">
              <w:trPr>
                <w:trHeight w:val="144"/>
              </w:trPr>
              <w:tc>
                <w:tcPr>
                  <w:tcW w:w="1615" w:type="dxa"/>
                  <w:shd w:val="clear" w:color="auto" w:fill="DBE5F1"/>
                  <w:vAlign w:val="center"/>
                </w:tcPr>
                <w:p w14:paraId="1E681F2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004" w:type="dxa"/>
                  <w:shd w:val="clear" w:color="auto" w:fill="DBE5F1"/>
                  <w:vAlign w:val="center"/>
                </w:tcPr>
                <w:p w14:paraId="1B80CC6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0.217</w:t>
                  </w:r>
                </w:p>
              </w:tc>
              <w:tc>
                <w:tcPr>
                  <w:tcW w:w="1343" w:type="dxa"/>
                  <w:shd w:val="clear" w:color="auto" w:fill="DBE5F1"/>
                  <w:vAlign w:val="center"/>
                </w:tcPr>
                <w:p w14:paraId="372F4B9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0.562</w:t>
                  </w:r>
                </w:p>
              </w:tc>
              <w:tc>
                <w:tcPr>
                  <w:tcW w:w="2126" w:type="dxa"/>
                  <w:shd w:val="clear" w:color="auto" w:fill="DBE5F1"/>
                  <w:vAlign w:val="center"/>
                </w:tcPr>
                <w:p w14:paraId="2C7399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0.766</w:t>
                  </w:r>
                </w:p>
              </w:tc>
              <w:tc>
                <w:tcPr>
                  <w:tcW w:w="851" w:type="dxa"/>
                  <w:shd w:val="clear" w:color="auto" w:fill="DBE5F1"/>
                  <w:vAlign w:val="center"/>
                </w:tcPr>
                <w:p w14:paraId="69C54B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0.291</w:t>
                  </w:r>
                </w:p>
              </w:tc>
            </w:tr>
          </w:tbl>
          <w:p w14:paraId="688CA3DF"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76779181"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Single carriageway bypasses</w:t>
            </w:r>
          </w:p>
          <w:p w14:paraId="6415E67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Accident costs on single carriageway bypasses for </w:t>
            </w:r>
            <w:proofErr w:type="spellStart"/>
            <w:r w:rsidRPr="0045151D">
              <w:rPr>
                <w:rFonts w:ascii="Calibri" w:eastAsia="Calibri" w:hAnsi="Calibri" w:cs="Calibri"/>
                <w:color w:val="000000"/>
                <w:sz w:val="20"/>
                <w:szCs w:val="20"/>
                <w:lang w:val="en-GB"/>
              </w:rPr>
              <w:t>Wn</w:t>
            </w:r>
            <w:proofErr w:type="spellEnd"/>
            <w:r w:rsidRPr="0045151D">
              <w:rPr>
                <w:rFonts w:ascii="Calibri" w:eastAsia="Calibri" w:hAnsi="Calibri" w:cs="Calibri"/>
                <w:color w:val="000000"/>
                <w:sz w:val="20"/>
                <w:szCs w:val="20"/>
                <w:lang w:val="en-GB"/>
              </w:rPr>
              <w:t xml:space="preserve"> and W0 options are calculated as the sum of the costs of injured, seriously injured, fatalities and material loses.</w:t>
            </w:r>
          </w:p>
          <w:p w14:paraId="051C6155" w14:textId="77777777" w:rsidR="00600DEE" w:rsidRPr="0045151D" w:rsidRDefault="00641FB5">
            <w:pPr>
              <w:pBdr>
                <w:top w:val="nil"/>
                <w:left w:val="nil"/>
                <w:bottom w:val="nil"/>
                <w:right w:val="nil"/>
                <w:between w:val="nil"/>
              </w:pBdr>
              <w:spacing w:before="12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18. The density of road traffic accidents (GW) for single carriageway</w:t>
            </w:r>
            <w:r w:rsidRPr="0045151D">
              <w:rPr>
                <w:rFonts w:ascii="Calibri" w:eastAsia="Calibri" w:hAnsi="Calibri" w:cs="Calibri"/>
                <w:b/>
                <w:color w:val="4F81BD"/>
                <w:sz w:val="20"/>
                <w:szCs w:val="20"/>
                <w:lang w:val="en-GB"/>
              </w:rPr>
              <w:br/>
              <w:t xml:space="preserve">  bypasses [persons/km/year]</w:t>
            </w:r>
          </w:p>
          <w:tbl>
            <w:tblPr>
              <w:tblStyle w:val="afffffffffffffffffc"/>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84"/>
              <w:gridCol w:w="1336"/>
              <w:gridCol w:w="1559"/>
              <w:gridCol w:w="1560"/>
            </w:tblGrid>
            <w:tr w:rsidR="00600DEE" w:rsidRPr="007463B9" w14:paraId="306DC441" w14:textId="77777777">
              <w:trPr>
                <w:trHeight w:val="221"/>
              </w:trPr>
              <w:tc>
                <w:tcPr>
                  <w:tcW w:w="2484" w:type="dxa"/>
                  <w:shd w:val="clear" w:color="auto" w:fill="A6A6A6"/>
                  <w:vAlign w:val="center"/>
                </w:tcPr>
                <w:p w14:paraId="2CCEAD35"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336" w:type="dxa"/>
                  <w:shd w:val="clear" w:color="auto" w:fill="A6A6A6"/>
                  <w:vAlign w:val="center"/>
                </w:tcPr>
                <w:p w14:paraId="0FD78DFE"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559" w:type="dxa"/>
                  <w:shd w:val="clear" w:color="auto" w:fill="A6A6A6"/>
                  <w:vAlign w:val="center"/>
                </w:tcPr>
                <w:p w14:paraId="5B6F048A"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560" w:type="dxa"/>
                  <w:shd w:val="clear" w:color="auto" w:fill="A6A6A6"/>
                  <w:vAlign w:val="center"/>
                </w:tcPr>
                <w:p w14:paraId="4D0E15F9"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G1</w:t>
                  </w:r>
                </w:p>
              </w:tc>
            </w:tr>
            <w:tr w:rsidR="00600DEE" w:rsidRPr="007463B9" w14:paraId="26AED333" w14:textId="77777777">
              <w:trPr>
                <w:trHeight w:val="236"/>
              </w:trPr>
              <w:tc>
                <w:tcPr>
                  <w:tcW w:w="2484" w:type="dxa"/>
                  <w:shd w:val="clear" w:color="auto" w:fill="DBE5F1"/>
                  <w:vAlign w:val="center"/>
                </w:tcPr>
                <w:p w14:paraId="7E0EC0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336" w:type="dxa"/>
                  <w:shd w:val="clear" w:color="auto" w:fill="DBE5F1"/>
                  <w:vAlign w:val="center"/>
                </w:tcPr>
                <w:p w14:paraId="16F965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0.024</w:t>
                  </w:r>
                </w:p>
              </w:tc>
              <w:tc>
                <w:tcPr>
                  <w:tcW w:w="1559" w:type="dxa"/>
                  <w:shd w:val="clear" w:color="auto" w:fill="DBE5F1"/>
                  <w:vAlign w:val="center"/>
                </w:tcPr>
                <w:p w14:paraId="78C421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0.036</w:t>
                  </w:r>
                </w:p>
              </w:tc>
              <w:tc>
                <w:tcPr>
                  <w:tcW w:w="1560" w:type="dxa"/>
                  <w:shd w:val="clear" w:color="auto" w:fill="DBE5F1"/>
                  <w:vAlign w:val="center"/>
                </w:tcPr>
                <w:p w14:paraId="1736A6E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0.047</w:t>
                  </w:r>
                </w:p>
              </w:tc>
            </w:tr>
            <w:tr w:rsidR="00600DEE" w:rsidRPr="007463B9" w14:paraId="71C6552A" w14:textId="77777777">
              <w:trPr>
                <w:trHeight w:val="171"/>
              </w:trPr>
              <w:tc>
                <w:tcPr>
                  <w:tcW w:w="2484" w:type="dxa"/>
                  <w:shd w:val="clear" w:color="auto" w:fill="DBE5F1"/>
                  <w:vAlign w:val="center"/>
                </w:tcPr>
                <w:p w14:paraId="1BE9241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336" w:type="dxa"/>
                  <w:shd w:val="clear" w:color="auto" w:fill="DBE5F1"/>
                  <w:vAlign w:val="center"/>
                </w:tcPr>
                <w:p w14:paraId="5A1A7B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0.075</w:t>
                  </w:r>
                </w:p>
              </w:tc>
              <w:tc>
                <w:tcPr>
                  <w:tcW w:w="1559" w:type="dxa"/>
                  <w:shd w:val="clear" w:color="auto" w:fill="DBE5F1"/>
                  <w:vAlign w:val="center"/>
                </w:tcPr>
                <w:p w14:paraId="44EE41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0.111</w:t>
                  </w:r>
                </w:p>
              </w:tc>
              <w:tc>
                <w:tcPr>
                  <w:tcW w:w="1560" w:type="dxa"/>
                  <w:shd w:val="clear" w:color="auto" w:fill="DBE5F1"/>
                  <w:vAlign w:val="center"/>
                </w:tcPr>
                <w:p w14:paraId="035512F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0.135</w:t>
                  </w:r>
                </w:p>
              </w:tc>
            </w:tr>
            <w:tr w:rsidR="00600DEE" w:rsidRPr="007463B9" w14:paraId="5FA0BD7B" w14:textId="77777777">
              <w:trPr>
                <w:trHeight w:val="90"/>
              </w:trPr>
              <w:tc>
                <w:tcPr>
                  <w:tcW w:w="2484" w:type="dxa"/>
                  <w:shd w:val="clear" w:color="auto" w:fill="DBE5F1"/>
                  <w:vAlign w:val="center"/>
                </w:tcPr>
                <w:p w14:paraId="60BE23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336" w:type="dxa"/>
                  <w:shd w:val="clear" w:color="auto" w:fill="DBE5F1"/>
                  <w:vAlign w:val="center"/>
                </w:tcPr>
                <w:p w14:paraId="796962C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0.157</w:t>
                  </w:r>
                </w:p>
              </w:tc>
              <w:tc>
                <w:tcPr>
                  <w:tcW w:w="1559" w:type="dxa"/>
                  <w:shd w:val="clear" w:color="auto" w:fill="DBE5F1"/>
                  <w:vAlign w:val="center"/>
                </w:tcPr>
                <w:p w14:paraId="5B003CB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0.230</w:t>
                  </w:r>
                </w:p>
              </w:tc>
              <w:tc>
                <w:tcPr>
                  <w:tcW w:w="1560" w:type="dxa"/>
                  <w:shd w:val="clear" w:color="auto" w:fill="DBE5F1"/>
                  <w:vAlign w:val="center"/>
                </w:tcPr>
                <w:p w14:paraId="33264E9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0.278</w:t>
                  </w:r>
                </w:p>
              </w:tc>
            </w:tr>
            <w:tr w:rsidR="00600DEE" w:rsidRPr="007463B9" w14:paraId="0332EE71" w14:textId="77777777">
              <w:trPr>
                <w:trHeight w:val="122"/>
              </w:trPr>
              <w:tc>
                <w:tcPr>
                  <w:tcW w:w="2484" w:type="dxa"/>
                  <w:shd w:val="clear" w:color="auto" w:fill="DBE5F1"/>
                  <w:vAlign w:val="center"/>
                </w:tcPr>
                <w:p w14:paraId="3492095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336" w:type="dxa"/>
                  <w:shd w:val="clear" w:color="auto" w:fill="DBE5F1"/>
                  <w:vAlign w:val="center"/>
                </w:tcPr>
                <w:p w14:paraId="617D8A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0.262</w:t>
                  </w:r>
                </w:p>
              </w:tc>
              <w:tc>
                <w:tcPr>
                  <w:tcW w:w="1559" w:type="dxa"/>
                  <w:shd w:val="clear" w:color="auto" w:fill="DBE5F1"/>
                  <w:vAlign w:val="center"/>
                </w:tcPr>
                <w:p w14:paraId="282CA65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0.393</w:t>
                  </w:r>
                </w:p>
              </w:tc>
              <w:tc>
                <w:tcPr>
                  <w:tcW w:w="1560" w:type="dxa"/>
                  <w:shd w:val="clear" w:color="auto" w:fill="DBE5F1"/>
                  <w:vAlign w:val="center"/>
                </w:tcPr>
                <w:p w14:paraId="53F543B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0.476</w:t>
                  </w:r>
                </w:p>
              </w:tc>
            </w:tr>
          </w:tbl>
          <w:p w14:paraId="53F2124E"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08B52F74" w14:textId="77777777" w:rsidR="00600DEE" w:rsidRPr="0045151D" w:rsidRDefault="00641FB5">
            <w:pPr>
              <w:pBdr>
                <w:top w:val="nil"/>
                <w:left w:val="nil"/>
                <w:bottom w:val="nil"/>
                <w:right w:val="nil"/>
                <w:between w:val="nil"/>
              </w:pBdr>
              <w:spacing w:before="12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19. The density of road injuries (GR) for single carriageway bypasses</w:t>
            </w:r>
            <w:r w:rsidRPr="0045151D">
              <w:rPr>
                <w:rFonts w:ascii="Calibri" w:eastAsia="Calibri" w:hAnsi="Calibri" w:cs="Calibri"/>
                <w:b/>
                <w:color w:val="4F81BD"/>
                <w:sz w:val="20"/>
                <w:szCs w:val="20"/>
                <w:lang w:val="en-GB"/>
              </w:rPr>
              <w:br/>
              <w:t xml:space="preserve">  [persons/km/year] </w:t>
            </w:r>
          </w:p>
          <w:tbl>
            <w:tblPr>
              <w:tblStyle w:val="afffffffffffffffffd"/>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84"/>
              <w:gridCol w:w="1336"/>
              <w:gridCol w:w="1559"/>
              <w:gridCol w:w="1560"/>
            </w:tblGrid>
            <w:tr w:rsidR="00600DEE" w:rsidRPr="007463B9" w14:paraId="6FB016E3" w14:textId="77777777">
              <w:trPr>
                <w:trHeight w:val="125"/>
              </w:trPr>
              <w:tc>
                <w:tcPr>
                  <w:tcW w:w="2484" w:type="dxa"/>
                  <w:shd w:val="clear" w:color="auto" w:fill="A6A6A6"/>
                  <w:vAlign w:val="center"/>
                </w:tcPr>
                <w:p w14:paraId="29EA3BF3"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336" w:type="dxa"/>
                  <w:shd w:val="clear" w:color="auto" w:fill="A6A6A6"/>
                  <w:vAlign w:val="center"/>
                </w:tcPr>
                <w:p w14:paraId="1A0AA5B5"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559" w:type="dxa"/>
                  <w:shd w:val="clear" w:color="auto" w:fill="A6A6A6"/>
                  <w:vAlign w:val="center"/>
                </w:tcPr>
                <w:p w14:paraId="2583CEB9"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560" w:type="dxa"/>
                  <w:shd w:val="clear" w:color="auto" w:fill="A6A6A6"/>
                  <w:vAlign w:val="center"/>
                </w:tcPr>
                <w:p w14:paraId="4C9E4B00"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G1</w:t>
                  </w:r>
                </w:p>
              </w:tc>
            </w:tr>
            <w:tr w:rsidR="00600DEE" w:rsidRPr="007463B9" w14:paraId="34600C7B" w14:textId="77777777">
              <w:trPr>
                <w:trHeight w:val="236"/>
              </w:trPr>
              <w:tc>
                <w:tcPr>
                  <w:tcW w:w="2484" w:type="dxa"/>
                  <w:shd w:val="clear" w:color="auto" w:fill="DBE5F1"/>
                  <w:vAlign w:val="bottom"/>
                </w:tcPr>
                <w:p w14:paraId="516B05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336" w:type="dxa"/>
                  <w:shd w:val="clear" w:color="auto" w:fill="DBE5F1"/>
                </w:tcPr>
                <w:p w14:paraId="11B107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0.024</w:t>
                  </w:r>
                </w:p>
              </w:tc>
              <w:tc>
                <w:tcPr>
                  <w:tcW w:w="1559" w:type="dxa"/>
                  <w:shd w:val="clear" w:color="auto" w:fill="DBE5F1"/>
                </w:tcPr>
                <w:p w14:paraId="4F7A8A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c>
                <w:tcPr>
                  <w:tcW w:w="1560" w:type="dxa"/>
                  <w:shd w:val="clear" w:color="auto" w:fill="DBE5F1"/>
                </w:tcPr>
                <w:p w14:paraId="2B2137A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0.188</w:t>
                  </w:r>
                </w:p>
              </w:tc>
            </w:tr>
            <w:tr w:rsidR="00600DEE" w:rsidRPr="007463B9" w14:paraId="48E285DC" w14:textId="77777777">
              <w:trPr>
                <w:trHeight w:val="90"/>
              </w:trPr>
              <w:tc>
                <w:tcPr>
                  <w:tcW w:w="2484" w:type="dxa"/>
                  <w:shd w:val="clear" w:color="auto" w:fill="DBE5F1"/>
                  <w:vAlign w:val="bottom"/>
                </w:tcPr>
                <w:p w14:paraId="63CBA1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336" w:type="dxa"/>
                  <w:shd w:val="clear" w:color="auto" w:fill="DBE5F1"/>
                </w:tcPr>
                <w:p w14:paraId="15F5000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0.083</w:t>
                  </w:r>
                </w:p>
              </w:tc>
              <w:tc>
                <w:tcPr>
                  <w:tcW w:w="1559" w:type="dxa"/>
                  <w:shd w:val="clear" w:color="auto" w:fill="DBE5F1"/>
                </w:tcPr>
                <w:p w14:paraId="730F74E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0.206</w:t>
                  </w:r>
                </w:p>
              </w:tc>
              <w:tc>
                <w:tcPr>
                  <w:tcW w:w="1560" w:type="dxa"/>
                  <w:shd w:val="clear" w:color="auto" w:fill="DBE5F1"/>
                </w:tcPr>
                <w:p w14:paraId="3304594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0.672</w:t>
                  </w:r>
                </w:p>
              </w:tc>
            </w:tr>
            <w:tr w:rsidR="00600DEE" w:rsidRPr="007463B9" w14:paraId="74B8152F" w14:textId="77777777">
              <w:trPr>
                <w:trHeight w:val="149"/>
              </w:trPr>
              <w:tc>
                <w:tcPr>
                  <w:tcW w:w="2484" w:type="dxa"/>
                  <w:shd w:val="clear" w:color="auto" w:fill="DBE5F1"/>
                  <w:vAlign w:val="bottom"/>
                </w:tcPr>
                <w:p w14:paraId="35362D2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336" w:type="dxa"/>
                  <w:shd w:val="clear" w:color="auto" w:fill="DBE5F1"/>
                </w:tcPr>
                <w:p w14:paraId="7A6FF28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0.159</w:t>
                  </w:r>
                </w:p>
              </w:tc>
              <w:tc>
                <w:tcPr>
                  <w:tcW w:w="1559" w:type="dxa"/>
                  <w:shd w:val="clear" w:color="auto" w:fill="DBE5F1"/>
                </w:tcPr>
                <w:p w14:paraId="33B84DC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0.385</w:t>
                  </w:r>
                </w:p>
              </w:tc>
              <w:tc>
                <w:tcPr>
                  <w:tcW w:w="1560" w:type="dxa"/>
                  <w:shd w:val="clear" w:color="auto" w:fill="DBE5F1"/>
                </w:tcPr>
                <w:p w14:paraId="408CCD9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1.200</w:t>
                  </w:r>
                </w:p>
              </w:tc>
            </w:tr>
            <w:tr w:rsidR="00600DEE" w:rsidRPr="007463B9" w14:paraId="45766C2D" w14:textId="77777777">
              <w:trPr>
                <w:trHeight w:val="70"/>
              </w:trPr>
              <w:tc>
                <w:tcPr>
                  <w:tcW w:w="2484" w:type="dxa"/>
                  <w:shd w:val="clear" w:color="auto" w:fill="DBE5F1"/>
                  <w:vAlign w:val="bottom"/>
                </w:tcPr>
                <w:p w14:paraId="5511AB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336" w:type="dxa"/>
                  <w:shd w:val="clear" w:color="auto" w:fill="DBE5F1"/>
                </w:tcPr>
                <w:p w14:paraId="21EE32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0.307</w:t>
                  </w:r>
                </w:p>
              </w:tc>
              <w:tc>
                <w:tcPr>
                  <w:tcW w:w="1559" w:type="dxa"/>
                  <w:shd w:val="clear" w:color="auto" w:fill="DBE5F1"/>
                </w:tcPr>
                <w:p w14:paraId="4A20F89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0.561</w:t>
                  </w:r>
                </w:p>
              </w:tc>
              <w:tc>
                <w:tcPr>
                  <w:tcW w:w="1560" w:type="dxa"/>
                  <w:shd w:val="clear" w:color="auto" w:fill="DBE5F1"/>
                </w:tcPr>
                <w:p w14:paraId="6DED58D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1.602</w:t>
                  </w:r>
                </w:p>
              </w:tc>
            </w:tr>
          </w:tbl>
          <w:p w14:paraId="6B20D130"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5060C48"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4120B16"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340182B" w14:textId="29A9A7E4" w:rsidR="00600DEE" w:rsidRPr="0045151D" w:rsidRDefault="00641FB5">
            <w:pPr>
              <w:pBdr>
                <w:top w:val="nil"/>
                <w:left w:val="nil"/>
                <w:bottom w:val="nil"/>
                <w:right w:val="nil"/>
                <w:between w:val="nil"/>
              </w:pBdr>
              <w:spacing w:before="120" w:after="120"/>
              <w:ind w:left="990" w:hanging="99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20. The density of fatalities (GZ) f</w:t>
            </w:r>
            <w:r w:rsidR="00AA29A0">
              <w:rPr>
                <w:rFonts w:ascii="Calibri" w:eastAsia="Calibri" w:hAnsi="Calibri" w:cs="Calibri"/>
                <w:b/>
                <w:color w:val="4F81BD"/>
                <w:sz w:val="20"/>
                <w:szCs w:val="20"/>
                <w:lang w:val="en-GB"/>
              </w:rPr>
              <w:t>or single carriageway bypasses</w:t>
            </w:r>
            <w:r w:rsidR="00AA29A0">
              <w:rPr>
                <w:rFonts w:ascii="Calibri" w:eastAsia="Calibri" w:hAnsi="Calibri" w:cs="Calibri"/>
                <w:b/>
                <w:color w:val="4F81BD"/>
                <w:sz w:val="20"/>
                <w:szCs w:val="20"/>
                <w:lang w:val="en-GB"/>
              </w:rPr>
              <w:br/>
            </w:r>
            <w:r w:rsidRPr="0045151D">
              <w:rPr>
                <w:rFonts w:ascii="Calibri" w:eastAsia="Calibri" w:hAnsi="Calibri" w:cs="Calibri"/>
                <w:b/>
                <w:color w:val="4F81BD"/>
                <w:sz w:val="20"/>
                <w:szCs w:val="20"/>
                <w:lang w:val="en-GB"/>
              </w:rPr>
              <w:t>[persons/km/year]</w:t>
            </w:r>
          </w:p>
          <w:tbl>
            <w:tblPr>
              <w:tblStyle w:val="afffffffffffffffffe"/>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58"/>
              <w:gridCol w:w="1479"/>
              <w:gridCol w:w="1701"/>
              <w:gridCol w:w="1701"/>
            </w:tblGrid>
            <w:tr w:rsidR="00600DEE" w:rsidRPr="007463B9" w14:paraId="3D0E4F02" w14:textId="77777777" w:rsidTr="003B6BDE">
              <w:trPr>
                <w:trHeight w:hRule="exact" w:val="340"/>
              </w:trPr>
              <w:tc>
                <w:tcPr>
                  <w:tcW w:w="2058" w:type="dxa"/>
                  <w:shd w:val="clear" w:color="auto" w:fill="A6A6A6"/>
                  <w:vAlign w:val="center"/>
                </w:tcPr>
                <w:p w14:paraId="3CEC06E8"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479" w:type="dxa"/>
                  <w:shd w:val="clear" w:color="auto" w:fill="A6A6A6"/>
                  <w:vAlign w:val="center"/>
                </w:tcPr>
                <w:p w14:paraId="45D1D197"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701" w:type="dxa"/>
                  <w:shd w:val="clear" w:color="auto" w:fill="A6A6A6"/>
                  <w:vAlign w:val="center"/>
                </w:tcPr>
                <w:p w14:paraId="1D62697F"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701" w:type="dxa"/>
                  <w:shd w:val="clear" w:color="auto" w:fill="A6A6A6"/>
                  <w:vAlign w:val="center"/>
                </w:tcPr>
                <w:p w14:paraId="6375E63B"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w:t>
                  </w:r>
                </w:p>
              </w:tc>
            </w:tr>
            <w:tr w:rsidR="00600DEE" w:rsidRPr="007463B9" w14:paraId="057AD32A" w14:textId="77777777" w:rsidTr="003B6BDE">
              <w:trPr>
                <w:trHeight w:hRule="exact" w:val="340"/>
              </w:trPr>
              <w:tc>
                <w:tcPr>
                  <w:tcW w:w="2058" w:type="dxa"/>
                  <w:shd w:val="clear" w:color="auto" w:fill="DBE5F1"/>
                  <w:vAlign w:val="center"/>
                </w:tcPr>
                <w:p w14:paraId="68F9D6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479" w:type="dxa"/>
                  <w:shd w:val="clear" w:color="auto" w:fill="DBE5F1"/>
                  <w:vAlign w:val="center"/>
                </w:tcPr>
                <w:p w14:paraId="53B7C5E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0.008</w:t>
                  </w:r>
                </w:p>
              </w:tc>
              <w:tc>
                <w:tcPr>
                  <w:tcW w:w="1701" w:type="dxa"/>
                  <w:shd w:val="clear" w:color="auto" w:fill="DBE5F1"/>
                  <w:vAlign w:val="center"/>
                </w:tcPr>
                <w:p w14:paraId="4C2EF28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0.011</w:t>
                  </w:r>
                </w:p>
              </w:tc>
              <w:tc>
                <w:tcPr>
                  <w:tcW w:w="1701" w:type="dxa"/>
                  <w:shd w:val="clear" w:color="auto" w:fill="DBE5F1"/>
                  <w:vAlign w:val="center"/>
                </w:tcPr>
                <w:p w14:paraId="401BCC5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0.016</w:t>
                  </w:r>
                </w:p>
              </w:tc>
            </w:tr>
            <w:tr w:rsidR="00600DEE" w:rsidRPr="007463B9" w14:paraId="3139B3D7" w14:textId="77777777" w:rsidTr="003B6BDE">
              <w:trPr>
                <w:trHeight w:hRule="exact" w:val="340"/>
              </w:trPr>
              <w:tc>
                <w:tcPr>
                  <w:tcW w:w="2058" w:type="dxa"/>
                  <w:shd w:val="clear" w:color="auto" w:fill="DBE5F1"/>
                  <w:vAlign w:val="center"/>
                </w:tcPr>
                <w:p w14:paraId="5403B68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479" w:type="dxa"/>
                  <w:shd w:val="clear" w:color="auto" w:fill="DBE5F1"/>
                  <w:vAlign w:val="center"/>
                </w:tcPr>
                <w:p w14:paraId="2D7DD20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0.018</w:t>
                  </w:r>
                </w:p>
              </w:tc>
              <w:tc>
                <w:tcPr>
                  <w:tcW w:w="1701" w:type="dxa"/>
                  <w:shd w:val="clear" w:color="auto" w:fill="DBE5F1"/>
                  <w:vAlign w:val="center"/>
                </w:tcPr>
                <w:p w14:paraId="4EEE20F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0.024</w:t>
                  </w:r>
                </w:p>
              </w:tc>
              <w:tc>
                <w:tcPr>
                  <w:tcW w:w="1701" w:type="dxa"/>
                  <w:shd w:val="clear" w:color="auto" w:fill="DBE5F1"/>
                  <w:vAlign w:val="center"/>
                </w:tcPr>
                <w:p w14:paraId="207485B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0.037</w:t>
                  </w:r>
                </w:p>
              </w:tc>
            </w:tr>
            <w:tr w:rsidR="00600DEE" w:rsidRPr="007463B9" w14:paraId="06B4CBF8" w14:textId="77777777" w:rsidTr="003B6BDE">
              <w:trPr>
                <w:trHeight w:hRule="exact" w:val="340"/>
              </w:trPr>
              <w:tc>
                <w:tcPr>
                  <w:tcW w:w="2058" w:type="dxa"/>
                  <w:shd w:val="clear" w:color="auto" w:fill="DBE5F1"/>
                  <w:vAlign w:val="center"/>
                </w:tcPr>
                <w:p w14:paraId="0DB4FF19" w14:textId="62491AE5" w:rsidR="00600DEE" w:rsidRPr="0045151D" w:rsidRDefault="00746969">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479" w:type="dxa"/>
                  <w:shd w:val="clear" w:color="auto" w:fill="DBE5F1"/>
                  <w:vAlign w:val="center"/>
                </w:tcPr>
                <w:p w14:paraId="73AB1A3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0.031</w:t>
                  </w:r>
                </w:p>
              </w:tc>
              <w:tc>
                <w:tcPr>
                  <w:tcW w:w="1701" w:type="dxa"/>
                  <w:shd w:val="clear" w:color="auto" w:fill="DBE5F1"/>
                  <w:vAlign w:val="center"/>
                </w:tcPr>
                <w:p w14:paraId="0619189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0.041</w:t>
                  </w:r>
                </w:p>
              </w:tc>
              <w:tc>
                <w:tcPr>
                  <w:tcW w:w="1701" w:type="dxa"/>
                  <w:shd w:val="clear" w:color="auto" w:fill="DBE5F1"/>
                  <w:vAlign w:val="center"/>
                </w:tcPr>
                <w:p w14:paraId="0BD1B26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0.063</w:t>
                  </w:r>
                </w:p>
              </w:tc>
            </w:tr>
            <w:tr w:rsidR="00600DEE" w:rsidRPr="007463B9" w14:paraId="3D0AA2F9" w14:textId="77777777" w:rsidTr="003B6BDE">
              <w:trPr>
                <w:trHeight w:hRule="exact" w:val="340"/>
              </w:trPr>
              <w:tc>
                <w:tcPr>
                  <w:tcW w:w="2058" w:type="dxa"/>
                  <w:shd w:val="clear" w:color="auto" w:fill="DBE5F1"/>
                  <w:vAlign w:val="center"/>
                </w:tcPr>
                <w:p w14:paraId="61019A5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479" w:type="dxa"/>
                  <w:shd w:val="clear" w:color="auto" w:fill="DBE5F1"/>
                  <w:vAlign w:val="center"/>
                </w:tcPr>
                <w:p w14:paraId="158A229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0.050</w:t>
                  </w:r>
                </w:p>
              </w:tc>
              <w:tc>
                <w:tcPr>
                  <w:tcW w:w="1701" w:type="dxa"/>
                  <w:shd w:val="clear" w:color="auto" w:fill="DBE5F1"/>
                  <w:vAlign w:val="center"/>
                </w:tcPr>
                <w:p w14:paraId="6F5DDCC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0.067</w:t>
                  </w:r>
                </w:p>
              </w:tc>
              <w:tc>
                <w:tcPr>
                  <w:tcW w:w="1701" w:type="dxa"/>
                  <w:shd w:val="clear" w:color="auto" w:fill="DBE5F1"/>
                  <w:vAlign w:val="center"/>
                </w:tcPr>
                <w:p w14:paraId="7EEBF4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0.103</w:t>
                  </w:r>
                </w:p>
              </w:tc>
            </w:tr>
          </w:tbl>
          <w:p w14:paraId="5C1B08CA" w14:textId="2FD6F99F"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533121D" w14:textId="77777777" w:rsidR="003B6BDE" w:rsidRPr="0045151D" w:rsidRDefault="003B6BDE">
            <w:pPr>
              <w:spacing w:before="120" w:after="120"/>
              <w:ind w:right="170"/>
              <w:jc w:val="both"/>
              <w:rPr>
                <w:rFonts w:ascii="Calibri" w:eastAsia="Calibri" w:hAnsi="Calibri" w:cs="Calibri"/>
                <w:b/>
                <w:i/>
                <w:sz w:val="16"/>
                <w:szCs w:val="16"/>
                <w:lang w:val="en-GB"/>
              </w:rPr>
            </w:pPr>
          </w:p>
          <w:p w14:paraId="142D2186" w14:textId="4A563819" w:rsidR="00600DEE" w:rsidRPr="0045151D" w:rsidRDefault="00641FB5" w:rsidP="003B6BDE">
            <w:pPr>
              <w:pBdr>
                <w:top w:val="nil"/>
                <w:left w:val="nil"/>
                <w:bottom w:val="nil"/>
                <w:right w:val="nil"/>
                <w:between w:val="nil"/>
              </w:pBdr>
              <w:spacing w:before="30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21. The density of seriously injured (GCR) f</w:t>
            </w:r>
            <w:r w:rsidR="00AA29A0">
              <w:rPr>
                <w:rFonts w:ascii="Calibri" w:eastAsia="Calibri" w:hAnsi="Calibri" w:cs="Calibri"/>
                <w:b/>
                <w:color w:val="4F81BD"/>
                <w:sz w:val="20"/>
                <w:szCs w:val="20"/>
                <w:lang w:val="en-GB"/>
              </w:rPr>
              <w:t>or single carriageway bypasses</w:t>
            </w:r>
            <w:r w:rsidR="00AA29A0">
              <w:rPr>
                <w:rFonts w:ascii="Calibri" w:eastAsia="Calibri" w:hAnsi="Calibri" w:cs="Calibri"/>
                <w:b/>
                <w:color w:val="4F81BD"/>
                <w:sz w:val="20"/>
                <w:szCs w:val="20"/>
                <w:lang w:val="en-GB"/>
              </w:rPr>
              <w:br/>
            </w:r>
            <w:r w:rsidRPr="0045151D">
              <w:rPr>
                <w:rFonts w:ascii="Calibri" w:eastAsia="Calibri" w:hAnsi="Calibri" w:cs="Calibri"/>
                <w:b/>
                <w:color w:val="4F81BD"/>
                <w:sz w:val="20"/>
                <w:szCs w:val="20"/>
                <w:lang w:val="en-GB"/>
              </w:rPr>
              <w:t xml:space="preserve">[persons/km/year] </w:t>
            </w:r>
          </w:p>
          <w:tbl>
            <w:tblPr>
              <w:tblStyle w:val="affffffffffffffffff"/>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58"/>
              <w:gridCol w:w="1479"/>
              <w:gridCol w:w="1701"/>
              <w:gridCol w:w="1701"/>
            </w:tblGrid>
            <w:tr w:rsidR="00600DEE" w:rsidRPr="007463B9" w14:paraId="424D3CEF" w14:textId="77777777" w:rsidTr="003B6BDE">
              <w:trPr>
                <w:trHeight w:hRule="exact" w:val="340"/>
              </w:trPr>
              <w:tc>
                <w:tcPr>
                  <w:tcW w:w="2058" w:type="dxa"/>
                  <w:shd w:val="clear" w:color="auto" w:fill="A6A6A6"/>
                  <w:vAlign w:val="center"/>
                </w:tcPr>
                <w:p w14:paraId="226BD9FD"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479" w:type="dxa"/>
                  <w:shd w:val="clear" w:color="auto" w:fill="A6A6A6"/>
                  <w:vAlign w:val="center"/>
                </w:tcPr>
                <w:p w14:paraId="1E967D4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701" w:type="dxa"/>
                  <w:shd w:val="clear" w:color="auto" w:fill="A6A6A6"/>
                  <w:vAlign w:val="center"/>
                </w:tcPr>
                <w:p w14:paraId="0E4FDEE3"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701" w:type="dxa"/>
                  <w:shd w:val="clear" w:color="auto" w:fill="A6A6A6"/>
                  <w:vAlign w:val="center"/>
                </w:tcPr>
                <w:p w14:paraId="29266DC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G1</w:t>
                  </w:r>
                </w:p>
              </w:tc>
            </w:tr>
            <w:tr w:rsidR="00600DEE" w:rsidRPr="007463B9" w14:paraId="29356573" w14:textId="77777777" w:rsidTr="003B6BDE">
              <w:trPr>
                <w:trHeight w:hRule="exact" w:val="340"/>
              </w:trPr>
              <w:tc>
                <w:tcPr>
                  <w:tcW w:w="2058" w:type="dxa"/>
                  <w:shd w:val="clear" w:color="auto" w:fill="DBE5F1"/>
                  <w:vAlign w:val="center"/>
                </w:tcPr>
                <w:p w14:paraId="2827830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479" w:type="dxa"/>
                  <w:shd w:val="clear" w:color="auto" w:fill="DBE5F1"/>
                  <w:vAlign w:val="center"/>
                </w:tcPr>
                <w:p w14:paraId="0EDA741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0.015</w:t>
                  </w:r>
                </w:p>
              </w:tc>
              <w:tc>
                <w:tcPr>
                  <w:tcW w:w="1701" w:type="dxa"/>
                  <w:shd w:val="clear" w:color="auto" w:fill="DBE5F1"/>
                  <w:vAlign w:val="center"/>
                </w:tcPr>
                <w:p w14:paraId="6DA47A4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0.020</w:t>
                  </w:r>
                </w:p>
              </w:tc>
              <w:tc>
                <w:tcPr>
                  <w:tcW w:w="1701" w:type="dxa"/>
                  <w:shd w:val="clear" w:color="auto" w:fill="DBE5F1"/>
                  <w:vAlign w:val="center"/>
                </w:tcPr>
                <w:p w14:paraId="59F50E6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0.031</w:t>
                  </w:r>
                </w:p>
              </w:tc>
            </w:tr>
            <w:tr w:rsidR="00600DEE" w:rsidRPr="007463B9" w14:paraId="11707F39" w14:textId="77777777" w:rsidTr="003B6BDE">
              <w:trPr>
                <w:trHeight w:hRule="exact" w:val="340"/>
              </w:trPr>
              <w:tc>
                <w:tcPr>
                  <w:tcW w:w="2058" w:type="dxa"/>
                  <w:shd w:val="clear" w:color="auto" w:fill="DBE5F1"/>
                  <w:vAlign w:val="center"/>
                </w:tcPr>
                <w:p w14:paraId="0081A7D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479" w:type="dxa"/>
                  <w:shd w:val="clear" w:color="auto" w:fill="DBE5F1"/>
                  <w:vAlign w:val="center"/>
                </w:tcPr>
                <w:p w14:paraId="0910023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0.036</w:t>
                  </w:r>
                </w:p>
              </w:tc>
              <w:tc>
                <w:tcPr>
                  <w:tcW w:w="1701" w:type="dxa"/>
                  <w:shd w:val="clear" w:color="auto" w:fill="DBE5F1"/>
                  <w:vAlign w:val="center"/>
                </w:tcPr>
                <w:p w14:paraId="463223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0.046</w:t>
                  </w:r>
                </w:p>
              </w:tc>
              <w:tc>
                <w:tcPr>
                  <w:tcW w:w="1701" w:type="dxa"/>
                  <w:shd w:val="clear" w:color="auto" w:fill="DBE5F1"/>
                  <w:vAlign w:val="center"/>
                </w:tcPr>
                <w:p w14:paraId="0C96D4D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0.071</w:t>
                  </w:r>
                </w:p>
              </w:tc>
            </w:tr>
            <w:tr w:rsidR="00600DEE" w:rsidRPr="007463B9" w14:paraId="07F73199" w14:textId="77777777" w:rsidTr="003B6BDE">
              <w:trPr>
                <w:trHeight w:hRule="exact" w:val="340"/>
              </w:trPr>
              <w:tc>
                <w:tcPr>
                  <w:tcW w:w="2058" w:type="dxa"/>
                  <w:shd w:val="clear" w:color="auto" w:fill="DBE5F1"/>
                  <w:vAlign w:val="center"/>
                </w:tcPr>
                <w:p w14:paraId="23CD60E3" w14:textId="73BFD8FB" w:rsidR="00600DEE" w:rsidRPr="0045151D" w:rsidRDefault="00746969">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479" w:type="dxa"/>
                  <w:shd w:val="clear" w:color="auto" w:fill="DBE5F1"/>
                  <w:vAlign w:val="center"/>
                </w:tcPr>
                <w:p w14:paraId="190A9A4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0.059</w:t>
                  </w:r>
                </w:p>
              </w:tc>
              <w:tc>
                <w:tcPr>
                  <w:tcW w:w="1701" w:type="dxa"/>
                  <w:shd w:val="clear" w:color="auto" w:fill="DBE5F1"/>
                  <w:vAlign w:val="center"/>
                </w:tcPr>
                <w:p w14:paraId="46CCE63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0.078</w:t>
                  </w:r>
                </w:p>
              </w:tc>
              <w:tc>
                <w:tcPr>
                  <w:tcW w:w="1701" w:type="dxa"/>
                  <w:shd w:val="clear" w:color="auto" w:fill="DBE5F1"/>
                  <w:vAlign w:val="center"/>
                </w:tcPr>
                <w:p w14:paraId="3DA898B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0.121</w:t>
                  </w:r>
                </w:p>
              </w:tc>
            </w:tr>
            <w:tr w:rsidR="00600DEE" w:rsidRPr="007463B9" w14:paraId="12F07EBA" w14:textId="77777777" w:rsidTr="003B6BDE">
              <w:trPr>
                <w:trHeight w:hRule="exact" w:val="340"/>
              </w:trPr>
              <w:tc>
                <w:tcPr>
                  <w:tcW w:w="2058" w:type="dxa"/>
                  <w:shd w:val="clear" w:color="auto" w:fill="DBE5F1"/>
                  <w:vAlign w:val="center"/>
                </w:tcPr>
                <w:p w14:paraId="313665E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479" w:type="dxa"/>
                  <w:shd w:val="clear" w:color="auto" w:fill="DBE5F1"/>
                  <w:vAlign w:val="center"/>
                </w:tcPr>
                <w:p w14:paraId="0EEFB5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0.096</w:t>
                  </w:r>
                </w:p>
              </w:tc>
              <w:tc>
                <w:tcPr>
                  <w:tcW w:w="1701" w:type="dxa"/>
                  <w:shd w:val="clear" w:color="auto" w:fill="DBE5F1"/>
                  <w:vAlign w:val="center"/>
                </w:tcPr>
                <w:p w14:paraId="1D07F39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0.128</w:t>
                  </w:r>
                </w:p>
              </w:tc>
              <w:tc>
                <w:tcPr>
                  <w:tcW w:w="1701" w:type="dxa"/>
                  <w:shd w:val="clear" w:color="auto" w:fill="DBE5F1"/>
                  <w:vAlign w:val="center"/>
                </w:tcPr>
                <w:p w14:paraId="5517F3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0.197</w:t>
                  </w:r>
                </w:p>
              </w:tc>
            </w:tr>
          </w:tbl>
          <w:p w14:paraId="2F3A6017"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D8526D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The total costs of road accidents are then calculated using the formula presented in Table 20 of the main document.</w:t>
            </w:r>
          </w:p>
        </w:tc>
      </w:tr>
    </w:tbl>
    <w:p w14:paraId="02CBCBF9"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sectPr w:rsidR="00600DEE" w:rsidRPr="0045151D" w:rsidSect="00E12F72">
      <w:headerReference w:type="even" r:id="rId168"/>
      <w:headerReference w:type="default" r:id="rId169"/>
      <w:headerReference w:type="first" r:id="rId170"/>
      <w:pgSz w:w="16838" w:h="11906" w:orient="landscape"/>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4381" w14:textId="77777777" w:rsidR="00F44231" w:rsidRDefault="00F44231">
      <w:r>
        <w:separator/>
      </w:r>
    </w:p>
  </w:endnote>
  <w:endnote w:type="continuationSeparator" w:id="0">
    <w:p w14:paraId="698E4ABB" w14:textId="77777777" w:rsidR="00F44231" w:rsidRDefault="00F44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Arial-Narrow,Bold">
    <w:altName w:val="Arial Narrow"/>
    <w:panose1 w:val="00000000000000000000"/>
    <w:charset w:val="00"/>
    <w:family w:val="roman"/>
    <w:notTrueType/>
    <w:pitch w:val="default"/>
    <w:sig w:usb0="00000003" w:usb1="00000000" w:usb2="00000000" w:usb3="00000000" w:csb0="00000001" w:csb1="00000000"/>
  </w:font>
  <w:font w:name="Polo">
    <w:altName w:val="Times New Roman"/>
    <w:charset w:val="00"/>
    <w:family w:val="auto"/>
    <w:pitch w:val="variable"/>
    <w:sig w:usb0="00000001" w:usb1="0000205B" w:usb2="00000000" w:usb3="00000000" w:csb0="00000013" w:csb1="00000000"/>
  </w:font>
  <w:font w:name="Cambria">
    <w:panose1 w:val="02040503050406030204"/>
    <w:charset w:val="EE"/>
    <w:family w:val="roman"/>
    <w:pitch w:val="variable"/>
    <w:sig w:usb0="E00006FF" w:usb1="420024FF" w:usb2="02000000" w:usb3="00000000" w:csb0="0000019F" w:csb1="00000000"/>
  </w:font>
  <w:font w:name="Roboto">
    <w:altName w:val="Times New Roman"/>
    <w:charset w:val="00"/>
    <w:family w:val="auto"/>
    <w:pitch w:val="variable"/>
    <w:sig w:usb0="E00002FF" w:usb1="5000205B" w:usb2="00000020" w:usb3="00000000" w:csb0="0000019F" w:csb1="00000000"/>
  </w:font>
  <w:font w:name="Cambria Math">
    <w:panose1 w:val="02040503050406030204"/>
    <w:charset w:val="EE"/>
    <w:family w:val="roman"/>
    <w:pitch w:val="variable"/>
    <w:sig w:usb0="E00006FF" w:usb1="420024FF" w:usb2="02000000" w:usb3="00000000" w:csb0="0000019F" w:csb1="00000000"/>
  </w:font>
  <w:font w:name="TTE18839A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CD49" w14:textId="77777777" w:rsidR="007463B9" w:rsidRDefault="007463B9">
    <w:pPr>
      <w:pBdr>
        <w:top w:val="nil"/>
        <w:left w:val="nil"/>
        <w:bottom w:val="nil"/>
        <w:right w:val="nil"/>
        <w:between w:val="nil"/>
      </w:pBdr>
      <w:tabs>
        <w:tab w:val="center" w:pos="4536"/>
        <w:tab w:val="right" w:pos="9072"/>
      </w:tabs>
      <w:spacing w:before="120"/>
      <w:jc w:val="right"/>
      <w:rPr>
        <w:color w:val="000000"/>
      </w:rPr>
    </w:pPr>
    <w:r>
      <w:rPr>
        <w:color w:val="000000"/>
      </w:rPr>
      <w:fldChar w:fldCharType="begin"/>
    </w:r>
    <w:r>
      <w:rPr>
        <w:color w:val="000000"/>
      </w:rPr>
      <w:instrText>PAGE</w:instrText>
    </w:r>
    <w:r>
      <w:rPr>
        <w:color w:val="000000"/>
      </w:rPr>
      <w:fldChar w:fldCharType="end"/>
    </w:r>
  </w:p>
  <w:p w14:paraId="10295EA3" w14:textId="77777777" w:rsidR="007463B9" w:rsidRDefault="007463B9">
    <w:pPr>
      <w:pBdr>
        <w:top w:val="nil"/>
        <w:left w:val="nil"/>
        <w:bottom w:val="nil"/>
        <w:right w:val="nil"/>
        <w:between w:val="nil"/>
      </w:pBdr>
      <w:tabs>
        <w:tab w:val="center" w:pos="4536"/>
        <w:tab w:val="right" w:pos="9072"/>
      </w:tabs>
      <w:spacing w:before="1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CC2E" w14:textId="0B4F5879" w:rsidR="007463B9" w:rsidRDefault="007463B9">
    <w:pPr>
      <w:pBdr>
        <w:top w:val="nil"/>
        <w:left w:val="nil"/>
        <w:bottom w:val="nil"/>
        <w:right w:val="nil"/>
        <w:between w:val="nil"/>
      </w:pBdr>
      <w:tabs>
        <w:tab w:val="center" w:pos="4536"/>
        <w:tab w:val="right" w:pos="9072"/>
      </w:tabs>
      <w:spacing w:before="120"/>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C4407">
      <w:rPr>
        <w:rFonts w:ascii="Arial" w:eastAsia="Arial" w:hAnsi="Arial" w:cs="Arial"/>
        <w:noProof/>
        <w:color w:val="000000"/>
        <w:sz w:val="20"/>
        <w:szCs w:val="20"/>
      </w:rPr>
      <w:t>121</w:t>
    </w:r>
    <w:r>
      <w:rPr>
        <w:rFonts w:ascii="Arial" w:eastAsia="Arial" w:hAnsi="Arial" w:cs="Arial"/>
        <w:color w:val="000000"/>
        <w:sz w:val="20"/>
        <w:szCs w:val="20"/>
      </w:rPr>
      <w:fldChar w:fldCharType="end"/>
    </w:r>
  </w:p>
  <w:p w14:paraId="5737E018" w14:textId="77777777" w:rsidR="007463B9" w:rsidRDefault="007463B9">
    <w:pPr>
      <w:tabs>
        <w:tab w:val="left" w:pos="2210"/>
        <w:tab w:val="center" w:pos="4819"/>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B81F" w14:textId="77777777" w:rsidR="007463B9" w:rsidRDefault="007463B9">
    <w:pPr>
      <w:pBdr>
        <w:top w:val="nil"/>
        <w:left w:val="nil"/>
        <w:bottom w:val="nil"/>
        <w:right w:val="nil"/>
        <w:between w:val="nil"/>
      </w:pBdr>
      <w:tabs>
        <w:tab w:val="center" w:pos="4536"/>
        <w:tab w:val="right" w:pos="9072"/>
      </w:tabs>
      <w:spacing w:before="120"/>
      <w:jc w:val="center"/>
      <w:rPr>
        <w:color w:val="000000"/>
      </w:rPr>
    </w:pPr>
  </w:p>
  <w:p w14:paraId="66F62C9D" w14:textId="77777777" w:rsidR="007463B9" w:rsidRDefault="007463B9">
    <w:pPr>
      <w:pBdr>
        <w:top w:val="nil"/>
        <w:left w:val="nil"/>
        <w:bottom w:val="nil"/>
        <w:right w:val="nil"/>
        <w:between w:val="nil"/>
      </w:pBdr>
      <w:tabs>
        <w:tab w:val="center" w:pos="4536"/>
        <w:tab w:val="right" w:pos="9072"/>
        <w:tab w:val="center" w:pos="7285"/>
        <w:tab w:val="left" w:pos="8640"/>
      </w:tabs>
      <w:spacing w:before="120"/>
      <w:rPr>
        <w:rFonts w:ascii="Arial" w:eastAsia="Arial" w:hAnsi="Arial" w:cs="Arial"/>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79A85" w14:textId="77777777" w:rsidR="00F44231" w:rsidRDefault="00F44231">
      <w:r>
        <w:separator/>
      </w:r>
    </w:p>
  </w:footnote>
  <w:footnote w:type="continuationSeparator" w:id="0">
    <w:p w14:paraId="1A677094" w14:textId="77777777" w:rsidR="00F44231" w:rsidRDefault="00F44231">
      <w:r>
        <w:continuationSeparator/>
      </w:r>
    </w:p>
  </w:footnote>
  <w:footnote w:id="1">
    <w:p w14:paraId="09AC6802" w14:textId="3C9130A4" w:rsidR="007463B9" w:rsidRPr="008155F6" w:rsidRDefault="007463B9" w:rsidP="008155F6">
      <w:pPr>
        <w:pStyle w:val="Tekstprzypisudolnego"/>
        <w:rPr>
          <w:rFonts w:asciiTheme="minorHAnsi" w:hAnsiTheme="minorHAnsi"/>
          <w:highlight w:val="yellow"/>
        </w:rPr>
      </w:pPr>
      <w:r w:rsidRPr="001F155E">
        <w:rPr>
          <w:rStyle w:val="Odwoanieprzypisudolnego"/>
          <w:rFonts w:asciiTheme="minorHAnsi" w:hAnsiTheme="minorHAnsi"/>
        </w:rPr>
        <w:footnoteRef/>
      </w:r>
      <w:r w:rsidRPr="001F155E">
        <w:rPr>
          <w:rFonts w:asciiTheme="minorHAnsi" w:hAnsiTheme="minorHAnsi"/>
        </w:rPr>
        <w:t xml:space="preserve"> </w:t>
      </w:r>
      <w:r w:rsidRPr="00B6399E">
        <w:rPr>
          <w:rFonts w:asciiTheme="minorHAnsi" w:hAnsiTheme="minorHAnsi" w:cstheme="minorHAnsi"/>
          <w:sz w:val="16"/>
          <w:szCs w:val="16"/>
        </w:rPr>
        <w:t>“</w:t>
      </w:r>
      <w:hyperlink r:id="rId1" w:history="1">
        <w:r w:rsidRPr="00B6399E">
          <w:rPr>
            <w:rStyle w:val="Hipercze"/>
            <w:rFonts w:asciiTheme="minorHAnsi" w:hAnsiTheme="minorHAnsi" w:cstheme="minorHAnsi"/>
            <w:sz w:val="16"/>
            <w:szCs w:val="16"/>
          </w:rPr>
          <w:t>Economic Appraisal Vademecum 2021-2027 - General Principles and Sector Applications, September 2021</w:t>
        </w:r>
      </w:hyperlink>
      <w:r w:rsidRPr="00B6399E">
        <w:rPr>
          <w:rFonts w:asciiTheme="minorHAnsi" w:hAnsiTheme="minorHAnsi" w:cstheme="minorHAnsi"/>
          <w:sz w:val="16"/>
          <w:szCs w:val="16"/>
        </w:rPr>
        <w:t>” &amp;  “Guide to Cost-Benefit Analysis of Investment Projects. Economic appraisal tool for Cohesion Policy 2014-2020”, December 2014 (</w:t>
      </w:r>
      <w:hyperlink r:id="rId2" w:history="1">
        <w:r w:rsidRPr="00A31D30">
          <w:rPr>
            <w:rStyle w:val="Hipercze"/>
            <w:rFonts w:asciiTheme="minorHAnsi" w:hAnsiTheme="minorHAnsi" w:cstheme="minorHAnsi"/>
            <w:sz w:val="16"/>
            <w:szCs w:val="16"/>
          </w:rPr>
          <w:t>http://ec.europa.eu/regional_policy/sources/docgener/studies/pdf/cba_guide.pdf</w:t>
        </w:r>
      </w:hyperlink>
      <w:r w:rsidRPr="00B6399E">
        <w:rPr>
          <w:rFonts w:asciiTheme="minorHAnsi" w:hAnsiTheme="minorHAnsi" w:cstheme="minorHAnsi"/>
          <w:sz w:val="16"/>
          <w:szCs w:val="16"/>
        </w:rPr>
        <w:t>.)</w:t>
      </w:r>
    </w:p>
  </w:footnote>
  <w:footnote w:id="2">
    <w:p w14:paraId="3DFD667F" w14:textId="77777777" w:rsidR="007463B9" w:rsidRPr="004A0576" w:rsidRDefault="007463B9" w:rsidP="008155F6">
      <w:pPr>
        <w:pStyle w:val="Tekstprzypisudolnego"/>
        <w:rPr>
          <w:rFonts w:asciiTheme="minorHAnsi" w:hAnsiTheme="minorHAnsi"/>
          <w:sz w:val="16"/>
          <w:szCs w:val="16"/>
          <w:lang w:val="pl-PL"/>
        </w:rPr>
      </w:pPr>
      <w:r>
        <w:rPr>
          <w:rStyle w:val="Odwoanieprzypisudolnego"/>
        </w:rPr>
        <w:footnoteRef/>
      </w:r>
      <w:r w:rsidRPr="008155F6">
        <w:rPr>
          <w:lang w:val="pl-PL"/>
        </w:rPr>
        <w:t xml:space="preserve"> </w:t>
      </w:r>
      <w:r w:rsidRPr="007B1768">
        <w:rPr>
          <w:rFonts w:asciiTheme="minorHAnsi" w:hAnsiTheme="minorHAnsi"/>
          <w:sz w:val="16"/>
          <w:szCs w:val="16"/>
          <w:lang w:val="pl-PL"/>
        </w:rPr>
        <w:t xml:space="preserve">“Wytyczne w zakresie zagadnień związanych z przygotowaniem projektów inwestycyjnych, w tym projektów generujących dochód i projektów hybrydowych na </w:t>
      </w:r>
      <w:r w:rsidRPr="008155F6">
        <w:rPr>
          <w:rFonts w:asciiTheme="minorHAnsi" w:hAnsiTheme="minorHAnsi"/>
          <w:sz w:val="16"/>
          <w:szCs w:val="16"/>
          <w:lang w:val="pl-PL"/>
        </w:rPr>
        <w:t xml:space="preserve">lata 2014-2020”. </w:t>
      </w:r>
      <w:r w:rsidRPr="007B1768">
        <w:rPr>
          <w:rFonts w:asciiTheme="minorHAnsi" w:hAnsiTheme="minorHAnsi"/>
          <w:sz w:val="16"/>
          <w:szCs w:val="16"/>
          <w:lang w:val="pl-PL"/>
        </w:rPr>
        <w:t>(</w:t>
      </w:r>
      <w:hyperlink r:id="rId3" w:history="1">
        <w:r w:rsidRPr="007B1768">
          <w:rPr>
            <w:rStyle w:val="Hipercze"/>
            <w:rFonts w:asciiTheme="minorHAnsi" w:hAnsiTheme="minorHAnsi"/>
            <w:sz w:val="16"/>
            <w:szCs w:val="16"/>
            <w:lang w:val="pl-PL"/>
          </w:rPr>
          <w:t>http://www.mir.gov.pl/fundusze/wytyczne_mrr/Wytyczne_2014_2020/Obowiazujace/Documents/Wytyczne_PGD_PH_2014_2020_podpisane_032015.pdf</w:t>
        </w:r>
      </w:hyperlink>
      <w:r>
        <w:rPr>
          <w:rFonts w:asciiTheme="minorHAnsi" w:hAnsiTheme="minorHAnsi"/>
          <w:sz w:val="16"/>
          <w:szCs w:val="16"/>
          <w:lang w:val="pl-PL"/>
        </w:rPr>
        <w:t>)</w:t>
      </w:r>
      <w:r w:rsidRPr="004A0576">
        <w:rPr>
          <w:rFonts w:asciiTheme="minorHAnsi" w:hAnsiTheme="minorHAnsi"/>
          <w:sz w:val="16"/>
          <w:szCs w:val="16"/>
          <w:lang w:val="pl-PL"/>
        </w:rPr>
        <w:t xml:space="preserve"> </w:t>
      </w:r>
      <w:r>
        <w:rPr>
          <w:rFonts w:asciiTheme="minorHAnsi" w:hAnsiTheme="minorHAnsi"/>
          <w:sz w:val="16"/>
          <w:szCs w:val="16"/>
          <w:lang w:val="pl-PL"/>
        </w:rPr>
        <w:t>i</w:t>
      </w:r>
      <w:r w:rsidRPr="004A0576">
        <w:rPr>
          <w:rFonts w:asciiTheme="minorHAnsi" w:hAnsiTheme="minorHAnsi"/>
          <w:sz w:val="16"/>
          <w:szCs w:val="16"/>
          <w:lang w:val="pl-PL"/>
        </w:rPr>
        <w:t xml:space="preserve"> inne wytyczne któ</w:t>
      </w:r>
      <w:r>
        <w:rPr>
          <w:rFonts w:asciiTheme="minorHAnsi" w:hAnsiTheme="minorHAnsi"/>
          <w:sz w:val="16"/>
          <w:szCs w:val="16"/>
          <w:lang w:val="pl-PL"/>
        </w:rPr>
        <w:t xml:space="preserve">re </w:t>
      </w:r>
      <w:r w:rsidRPr="004A0576">
        <w:rPr>
          <w:rFonts w:asciiTheme="minorHAnsi" w:hAnsiTheme="minorHAnsi"/>
          <w:sz w:val="16"/>
          <w:szCs w:val="16"/>
          <w:lang w:val="pl-PL"/>
        </w:rPr>
        <w:t xml:space="preserve">zostaną przygotowane na lata </w:t>
      </w:r>
      <w:r>
        <w:rPr>
          <w:rFonts w:asciiTheme="minorHAnsi" w:hAnsiTheme="minorHAnsi"/>
          <w:sz w:val="16"/>
          <w:szCs w:val="16"/>
          <w:lang w:val="pl-PL"/>
        </w:rPr>
        <w:t>2021-2027</w:t>
      </w:r>
      <w:r w:rsidRPr="004A0576">
        <w:rPr>
          <w:rFonts w:asciiTheme="minorHAnsi" w:hAnsiTheme="minorHAnsi"/>
          <w:sz w:val="16"/>
          <w:szCs w:val="16"/>
          <w:lang w:val="pl-PL"/>
        </w:rPr>
        <w:t>.</w:t>
      </w:r>
    </w:p>
    <w:p w14:paraId="27EAD932" w14:textId="13B0785A" w:rsidR="007463B9" w:rsidRPr="008155F6" w:rsidRDefault="007463B9">
      <w:pPr>
        <w:pStyle w:val="Tekstprzypisudolnego"/>
        <w:rPr>
          <w:lang w:val="pl-PL"/>
        </w:rPr>
      </w:pPr>
    </w:p>
  </w:footnote>
  <w:footnote w:id="3">
    <w:p w14:paraId="0CC5BC31" w14:textId="77777777" w:rsidR="007463B9" w:rsidRDefault="007463B9">
      <w:pPr>
        <w:pBdr>
          <w:top w:val="nil"/>
          <w:left w:val="nil"/>
          <w:bottom w:val="nil"/>
          <w:right w:val="nil"/>
          <w:between w:val="nil"/>
        </w:pBdr>
        <w:spacing w:before="120"/>
        <w:rPr>
          <w:color w:val="000000"/>
          <w:sz w:val="20"/>
          <w:szCs w:val="20"/>
        </w:rPr>
      </w:pPr>
      <w:r>
        <w:rPr>
          <w:rStyle w:val="Odwoanieprzypisudolnego"/>
        </w:rPr>
        <w:footnoteRef/>
      </w:r>
      <w:r>
        <w:rPr>
          <w:color w:val="000000"/>
          <w:sz w:val="20"/>
          <w:szCs w:val="20"/>
        </w:rPr>
        <w:t xml:space="preserve"> </w:t>
      </w:r>
      <w:r>
        <w:rPr>
          <w:rFonts w:ascii="Calibri" w:eastAsia="Calibri" w:hAnsi="Calibri" w:cs="Calibri"/>
          <w:color w:val="000000"/>
          <w:sz w:val="16"/>
          <w:szCs w:val="16"/>
        </w:rPr>
        <w:t>Krajowy plan na rzecz energii i klimatu na lata 2021-2030, 30.12.2019: https://www.gov.pl/web/aktywa-panstwowe/krajowy-plan-na-rzecz-energii-i-klimatu-na-lata-2021-2030-przekazany-do-ke</w:t>
      </w:r>
    </w:p>
  </w:footnote>
  <w:footnote w:id="4">
    <w:p w14:paraId="12D5DE3C" w14:textId="77777777" w:rsidR="007463B9" w:rsidRPr="00295C1F" w:rsidRDefault="007463B9" w:rsidP="009A6C17">
      <w:pPr>
        <w:pStyle w:val="Tekstprzypisudolnego"/>
        <w:rPr>
          <w:rFonts w:asciiTheme="minorHAnsi" w:hAnsiTheme="minorHAnsi" w:cs="Arial"/>
          <w:sz w:val="15"/>
          <w:szCs w:val="15"/>
          <w:lang w:val="pl-PL"/>
        </w:rPr>
      </w:pPr>
      <w:r w:rsidRPr="00505091">
        <w:rPr>
          <w:rStyle w:val="Odwoanieprzypisudolnego"/>
          <w:rFonts w:asciiTheme="minorHAnsi" w:hAnsiTheme="minorHAnsi" w:cstheme="minorHAnsi"/>
        </w:rPr>
        <w:footnoteRef/>
      </w:r>
      <w:r w:rsidRPr="00505091">
        <w:rPr>
          <w:rFonts w:asciiTheme="minorHAnsi" w:hAnsiTheme="minorHAnsi" w:cstheme="minorHAnsi"/>
          <w:lang w:val="pl-PL"/>
        </w:rPr>
        <w:t xml:space="preserve"> </w:t>
      </w:r>
      <w:r w:rsidRPr="00295C1F">
        <w:rPr>
          <w:rFonts w:asciiTheme="minorHAnsi" w:hAnsiTheme="minorHAnsi" w:cs="Arial"/>
          <w:sz w:val="15"/>
          <w:szCs w:val="15"/>
          <w:lang w:val="pl-PL"/>
        </w:rPr>
        <w:t>Niebieskie Księgi 2006 zostały przygotowane przez konsorcjum firm konsultingowych: Scott Wilson, Arup</w:t>
      </w:r>
      <w:r>
        <w:rPr>
          <w:rFonts w:asciiTheme="minorHAnsi" w:hAnsiTheme="minorHAnsi" w:cs="Arial"/>
          <w:sz w:val="15"/>
          <w:szCs w:val="15"/>
          <w:lang w:val="pl-PL"/>
        </w:rPr>
        <w:t xml:space="preserve"> i </w:t>
      </w:r>
      <w:r w:rsidRPr="00295C1F">
        <w:rPr>
          <w:rFonts w:asciiTheme="minorHAnsi" w:hAnsiTheme="minorHAnsi" w:cs="Arial"/>
          <w:sz w:val="15"/>
          <w:szCs w:val="15"/>
          <w:lang w:val="pl-PL"/>
        </w:rPr>
        <w:t>PM Group wraz Ernst &amp; Young jako głównym podwykonawcą,</w:t>
      </w:r>
      <w:r>
        <w:rPr>
          <w:rFonts w:asciiTheme="minorHAnsi" w:hAnsiTheme="minorHAnsi" w:cs="Arial"/>
          <w:sz w:val="15"/>
          <w:szCs w:val="15"/>
          <w:lang w:val="pl-PL"/>
        </w:rPr>
        <w:t xml:space="preserve"> w </w:t>
      </w:r>
      <w:r w:rsidRPr="00295C1F">
        <w:rPr>
          <w:rFonts w:asciiTheme="minorHAnsi" w:hAnsiTheme="minorHAnsi" w:cs="Arial"/>
          <w:sz w:val="15"/>
          <w:szCs w:val="15"/>
          <w:lang w:val="pl-PL"/>
        </w:rPr>
        <w:t xml:space="preserve">ramach projektu Phare -2002/000-580.01 ‘Przygotowanie projektów do wsparcia ze </w:t>
      </w:r>
      <w:r w:rsidRPr="00295C1F">
        <w:rPr>
          <w:rFonts w:asciiTheme="minorHAnsi" w:eastAsiaTheme="minorHAnsi" w:hAnsiTheme="minorHAnsi" w:cs="Arial"/>
          <w:sz w:val="15"/>
          <w:szCs w:val="15"/>
          <w:lang w:val="pl-PL"/>
        </w:rPr>
        <w:t>Ś</w:t>
      </w:r>
      <w:r w:rsidRPr="00295C1F">
        <w:rPr>
          <w:rFonts w:asciiTheme="minorHAnsi" w:hAnsiTheme="minorHAnsi" w:cs="Arial"/>
          <w:sz w:val="15"/>
          <w:szCs w:val="15"/>
          <w:lang w:val="pl-PL"/>
        </w:rPr>
        <w:t>rodków Europejskiego Funduszu Rozwoju Regionalnego</w:t>
      </w:r>
      <w:r>
        <w:rPr>
          <w:rFonts w:asciiTheme="minorHAnsi" w:hAnsiTheme="minorHAnsi" w:cs="Arial"/>
          <w:sz w:val="15"/>
          <w:szCs w:val="15"/>
          <w:lang w:val="pl-PL"/>
        </w:rPr>
        <w:t xml:space="preserve"> w </w:t>
      </w:r>
      <w:r w:rsidRPr="00295C1F">
        <w:rPr>
          <w:rFonts w:asciiTheme="minorHAnsi" w:hAnsiTheme="minorHAnsi" w:cs="Arial"/>
          <w:sz w:val="15"/>
          <w:szCs w:val="15"/>
          <w:lang w:val="pl-PL"/>
        </w:rPr>
        <w:t>Polsce - EuropeAid /115971/D/SV/PL’, administrowanego przez Władz</w:t>
      </w:r>
      <w:r w:rsidRPr="00295C1F">
        <w:rPr>
          <w:rFonts w:asciiTheme="minorHAnsi" w:eastAsiaTheme="minorHAnsi" w:hAnsiTheme="minorHAnsi" w:cs="Arial"/>
          <w:sz w:val="15"/>
          <w:szCs w:val="15"/>
          <w:lang w:val="pl-PL"/>
        </w:rPr>
        <w:t>ę</w:t>
      </w:r>
      <w:r w:rsidRPr="00295C1F">
        <w:rPr>
          <w:rFonts w:asciiTheme="minorHAnsi" w:hAnsiTheme="minorHAnsi" w:cs="Arial"/>
          <w:sz w:val="15"/>
          <w:szCs w:val="15"/>
          <w:lang w:val="pl-PL"/>
        </w:rPr>
        <w:t xml:space="preserve"> Wdrażaj</w:t>
      </w:r>
      <w:r w:rsidRPr="00295C1F">
        <w:rPr>
          <w:rFonts w:asciiTheme="minorHAnsi" w:eastAsiaTheme="minorHAnsi" w:hAnsiTheme="minorHAnsi" w:cs="Arial"/>
          <w:sz w:val="15"/>
          <w:szCs w:val="15"/>
          <w:lang w:val="pl-PL"/>
        </w:rPr>
        <w:t>ą</w:t>
      </w:r>
      <w:r w:rsidRPr="00295C1F">
        <w:rPr>
          <w:rFonts w:asciiTheme="minorHAnsi" w:hAnsiTheme="minorHAnsi" w:cs="Arial"/>
          <w:sz w:val="15"/>
          <w:szCs w:val="15"/>
          <w:lang w:val="pl-PL"/>
        </w:rPr>
        <w:t>c</w:t>
      </w:r>
      <w:r w:rsidRPr="00295C1F">
        <w:rPr>
          <w:rFonts w:asciiTheme="minorHAnsi" w:eastAsiaTheme="minorHAnsi" w:hAnsiTheme="minorHAnsi" w:cs="Arial"/>
          <w:sz w:val="15"/>
          <w:szCs w:val="15"/>
          <w:lang w:val="pl-PL"/>
        </w:rPr>
        <w:t xml:space="preserve">ą </w:t>
      </w:r>
      <w:r w:rsidRPr="00295C1F">
        <w:rPr>
          <w:rFonts w:asciiTheme="minorHAnsi" w:hAnsiTheme="minorHAnsi" w:cs="Arial"/>
          <w:sz w:val="15"/>
          <w:szCs w:val="15"/>
          <w:lang w:val="pl-PL"/>
        </w:rPr>
        <w:t xml:space="preserve">Program Współpracy Przygranicznej PHARE.  </w:t>
      </w:r>
    </w:p>
    <w:p w14:paraId="4DA1A4BB" w14:textId="488ED20D" w:rsidR="007463B9" w:rsidRPr="009A6C17" w:rsidRDefault="007463B9">
      <w:pPr>
        <w:pStyle w:val="Tekstprzypisudolnego"/>
        <w:rPr>
          <w:rFonts w:asciiTheme="minorHAnsi" w:hAnsiTheme="minorHAnsi"/>
        </w:rPr>
      </w:pPr>
      <w:r w:rsidRPr="00295C1F">
        <w:rPr>
          <w:rFonts w:asciiTheme="minorHAnsi" w:hAnsiTheme="minorHAnsi" w:cs="Arial"/>
          <w:sz w:val="15"/>
          <w:szCs w:val="15"/>
        </w:rPr>
        <w:t>The 2006 series of the transport Blue Books was prepared by the consultants of the consortium Scott Wilson, Arup, PM Group and its main subcontractor Ernst &amp; Young within the scope of the Phare-2002/000-580.01 project – “Preparation of projects supported from the European Regional Development Fund” managed by the Implementing Authority responsible for the PHARE Cross Border Cooperation Programme – EuropeAid/115971/D/SV/PL”.</w:t>
      </w:r>
    </w:p>
  </w:footnote>
  <w:footnote w:id="5">
    <w:p w14:paraId="4554655B" w14:textId="24D37155" w:rsidR="007463B9" w:rsidRPr="00295C1F" w:rsidRDefault="007463B9" w:rsidP="009A6C17">
      <w:pPr>
        <w:jc w:val="both"/>
        <w:rPr>
          <w:rFonts w:asciiTheme="minorHAnsi" w:eastAsia="Calibri" w:hAnsiTheme="minorHAnsi" w:cs="Arial"/>
          <w:sz w:val="15"/>
          <w:szCs w:val="15"/>
          <w:lang w:eastAsia="en-US"/>
        </w:rPr>
      </w:pPr>
      <w:r w:rsidRPr="009A6C17">
        <w:rPr>
          <w:rStyle w:val="Odwoanieprzypisudolnego"/>
          <w:rFonts w:asciiTheme="minorHAnsi" w:hAnsiTheme="minorHAnsi" w:cstheme="minorHAnsi"/>
          <w:sz w:val="20"/>
          <w:szCs w:val="20"/>
        </w:rPr>
        <w:footnoteRef/>
      </w:r>
      <w:r w:rsidRPr="009A6C17">
        <w:rPr>
          <w:sz w:val="20"/>
          <w:szCs w:val="20"/>
        </w:rPr>
        <w:t xml:space="preserve"> </w:t>
      </w:r>
      <w:r w:rsidRPr="00295C1F">
        <w:rPr>
          <w:rFonts w:asciiTheme="minorHAnsi" w:eastAsia="Calibri" w:hAnsiTheme="minorHAnsi" w:cs="Arial"/>
          <w:sz w:val="15"/>
          <w:szCs w:val="15"/>
          <w:lang w:eastAsia="en-US"/>
        </w:rPr>
        <w:t>Transportowe Niebieskie Księgi 2008 zostały przygotowane przez inicjatywę JASPERS (</w:t>
      </w:r>
      <w:hyperlink r:id="rId4" w:history="1">
        <w:r w:rsidRPr="00295C1F">
          <w:rPr>
            <w:rStyle w:val="Hipercze"/>
            <w:rFonts w:asciiTheme="minorHAnsi" w:eastAsia="Calibri" w:hAnsiTheme="minorHAnsi"/>
            <w:sz w:val="15"/>
            <w:szCs w:val="15"/>
            <w:lang w:eastAsia="en-US"/>
          </w:rPr>
          <w:t>http://www.pois.gov.pl/WstepDoFunduszyEuropejskich/Strony/Inicjatywa_JASPERS.aspx).-</w:t>
        </w:r>
      </w:hyperlink>
    </w:p>
    <w:p w14:paraId="53F26F21" w14:textId="21A10239" w:rsidR="007463B9" w:rsidRPr="009A6C17" w:rsidRDefault="007463B9" w:rsidP="009A6C17">
      <w:pPr>
        <w:jc w:val="both"/>
        <w:rPr>
          <w:rFonts w:asciiTheme="minorHAnsi" w:eastAsia="Calibri" w:hAnsiTheme="minorHAnsi" w:cs="Arial"/>
          <w:sz w:val="15"/>
          <w:szCs w:val="15"/>
          <w:lang w:val="en-GB" w:eastAsia="en-US"/>
        </w:rPr>
      </w:pPr>
      <w:r w:rsidRPr="00FF6918">
        <w:rPr>
          <w:rFonts w:asciiTheme="minorHAnsi" w:eastAsia="Calibri" w:hAnsiTheme="minorHAnsi" w:cs="Arial"/>
          <w:sz w:val="15"/>
          <w:szCs w:val="15"/>
          <w:lang w:eastAsia="en-US"/>
        </w:rPr>
        <w:t xml:space="preserve"> </w:t>
      </w:r>
      <w:r w:rsidRPr="00295C1F">
        <w:rPr>
          <w:rFonts w:asciiTheme="minorHAnsi" w:eastAsia="Calibri" w:hAnsiTheme="minorHAnsi" w:cs="Arial"/>
          <w:sz w:val="15"/>
          <w:szCs w:val="15"/>
          <w:lang w:val="en-GB" w:eastAsia="en-US"/>
        </w:rPr>
        <w:t>The 2008 series of the transport Blue Books was prepared by JASPERS (http://www.pois.gov.pl/WstepDoFunduszyEuropejskich/Strony/Inicjatywa_JASPERS.aspx).</w:t>
      </w:r>
    </w:p>
  </w:footnote>
  <w:footnote w:id="6">
    <w:p w14:paraId="6A28B913" w14:textId="77777777" w:rsidR="007463B9" w:rsidRPr="006E0836" w:rsidRDefault="007463B9" w:rsidP="009A6C17">
      <w:pPr>
        <w:pStyle w:val="TableBullet1a"/>
        <w:snapToGrid w:val="0"/>
        <w:spacing w:before="40" w:after="40"/>
        <w:rPr>
          <w:rFonts w:asciiTheme="minorHAnsi" w:hAnsiTheme="minorHAnsi" w:cs="Arial"/>
          <w:color w:val="4F81BD" w:themeColor="accent1"/>
          <w:sz w:val="15"/>
          <w:szCs w:val="15"/>
          <w:lang w:val="pl-PL"/>
        </w:rPr>
      </w:pPr>
      <w:r w:rsidRPr="00505091">
        <w:rPr>
          <w:rStyle w:val="Odwoanieprzypisudolnego"/>
          <w:rFonts w:asciiTheme="minorHAnsi" w:hAnsiTheme="minorHAnsi" w:cstheme="minorHAnsi"/>
          <w:sz w:val="20"/>
          <w:szCs w:val="16"/>
        </w:rPr>
        <w:footnoteRef/>
      </w:r>
      <w:r w:rsidRPr="00505091">
        <w:rPr>
          <w:rFonts w:asciiTheme="minorHAnsi" w:eastAsia="Calibri" w:hAnsiTheme="minorHAnsi" w:cstheme="minorHAnsi"/>
          <w:sz w:val="20"/>
          <w:szCs w:val="16"/>
          <w:lang w:val="pl-PL"/>
        </w:rPr>
        <w:t xml:space="preserve"> </w:t>
      </w:r>
      <w:r w:rsidRPr="00AE2DD8">
        <w:rPr>
          <w:rFonts w:asciiTheme="minorHAnsi" w:hAnsiTheme="minorHAnsi"/>
          <w:color w:val="000000"/>
          <w:sz w:val="15"/>
          <w:szCs w:val="15"/>
          <w:shd w:val="clear" w:color="auto" w:fill="FFFFFF"/>
          <w:lang w:val="pl-PL"/>
        </w:rPr>
        <w:t>Niebieska Księga dla projektów infrastruktury drogowej realizowanych w ramach perspektywy finansowej 2014-2020</w:t>
      </w:r>
      <w:r w:rsidRPr="006E0836">
        <w:rPr>
          <w:rFonts w:asciiTheme="minorHAnsi" w:eastAsia="Calibri" w:hAnsiTheme="minorHAnsi" w:cs="Arial"/>
          <w:sz w:val="15"/>
          <w:szCs w:val="15"/>
          <w:lang w:val="pl-PL" w:eastAsia="en-US"/>
        </w:rPr>
        <w:t xml:space="preserve"> (</w:t>
      </w:r>
      <w:hyperlink r:id="rId5" w:history="1">
        <w:r w:rsidRPr="006E0836">
          <w:rPr>
            <w:rStyle w:val="Hipercze"/>
            <w:rFonts w:asciiTheme="minorHAnsi" w:hAnsiTheme="minorHAnsi" w:cs="Tahoma"/>
            <w:sz w:val="15"/>
            <w:szCs w:val="15"/>
            <w:shd w:val="clear" w:color="auto" w:fill="FFFFFF"/>
            <w:lang w:val="pl-PL"/>
          </w:rPr>
          <w:t>http://www.pois.gov.pl/strony/wiadomosci/opublikowano-niebieska-ksiege-dla-projektow-infrastruktury-drogowej/</w:t>
        </w:r>
      </w:hyperlink>
      <w:r w:rsidRPr="006E0836">
        <w:rPr>
          <w:rStyle w:val="Hipercze"/>
          <w:rFonts w:asciiTheme="minorHAnsi" w:hAnsiTheme="minorHAnsi" w:cs="Tahoma"/>
          <w:sz w:val="15"/>
          <w:szCs w:val="15"/>
          <w:shd w:val="clear" w:color="auto" w:fill="FFFFFF"/>
          <w:lang w:val="pl-PL"/>
        </w:rPr>
        <w:t>)</w:t>
      </w:r>
    </w:p>
    <w:p w14:paraId="3750FB99" w14:textId="77777777" w:rsidR="007463B9" w:rsidRPr="006E0836" w:rsidRDefault="007463B9" w:rsidP="009A6C17">
      <w:pPr>
        <w:rPr>
          <w:rFonts w:asciiTheme="minorHAnsi" w:hAnsiTheme="minorHAnsi" w:cs="Tahoma"/>
          <w:color w:val="333333"/>
          <w:sz w:val="15"/>
          <w:szCs w:val="15"/>
          <w:shd w:val="clear" w:color="auto" w:fill="FFFFFF"/>
          <w:lang w:val="en-GB"/>
        </w:rPr>
      </w:pPr>
      <w:r w:rsidRPr="00BC75DE">
        <w:rPr>
          <w:rFonts w:asciiTheme="minorHAnsi" w:eastAsia="Calibri" w:hAnsiTheme="minorHAnsi" w:cs="Arial"/>
          <w:sz w:val="15"/>
          <w:szCs w:val="15"/>
          <w:lang w:eastAsia="en-US"/>
        </w:rPr>
        <w:t xml:space="preserve"> </w:t>
      </w:r>
      <w:r w:rsidRPr="00295C1F">
        <w:rPr>
          <w:rFonts w:asciiTheme="minorHAnsi" w:eastAsia="Calibri" w:hAnsiTheme="minorHAnsi" w:cs="Arial"/>
          <w:sz w:val="15"/>
          <w:szCs w:val="15"/>
          <w:lang w:val="en-GB" w:eastAsia="en-US"/>
        </w:rPr>
        <w:t xml:space="preserve">Blue Book </w:t>
      </w:r>
      <w:r>
        <w:rPr>
          <w:rFonts w:asciiTheme="minorHAnsi" w:eastAsia="Calibri" w:hAnsiTheme="minorHAnsi" w:cs="Arial"/>
          <w:sz w:val="15"/>
          <w:szCs w:val="15"/>
          <w:lang w:val="en-GB" w:eastAsia="en-US"/>
        </w:rPr>
        <w:t>for road transport projects prepared for 2014-2020 financial perspective</w:t>
      </w:r>
      <w:r w:rsidRPr="00295C1F">
        <w:rPr>
          <w:rFonts w:asciiTheme="minorHAnsi" w:eastAsia="Calibri" w:hAnsiTheme="minorHAnsi" w:cs="Arial"/>
          <w:sz w:val="15"/>
          <w:szCs w:val="15"/>
          <w:lang w:val="en-GB" w:eastAsia="en-US"/>
        </w:rPr>
        <w:t xml:space="preserve"> </w:t>
      </w:r>
      <w:r>
        <w:rPr>
          <w:rFonts w:asciiTheme="minorHAnsi" w:eastAsia="Calibri" w:hAnsiTheme="minorHAnsi" w:cs="Arial"/>
          <w:sz w:val="15"/>
          <w:szCs w:val="15"/>
          <w:lang w:val="en-GB" w:eastAsia="en-US"/>
        </w:rPr>
        <w:t>(</w:t>
      </w:r>
      <w:hyperlink r:id="rId6" w:history="1">
        <w:r w:rsidRPr="006E0836">
          <w:rPr>
            <w:rStyle w:val="Hipercze"/>
            <w:rFonts w:asciiTheme="minorHAnsi" w:hAnsiTheme="minorHAnsi" w:cs="Tahoma"/>
            <w:sz w:val="15"/>
            <w:szCs w:val="15"/>
            <w:shd w:val="clear" w:color="auto" w:fill="FFFFFF"/>
            <w:lang w:val="en-GB"/>
          </w:rPr>
          <w:t>http://www.pois.gov.pl/strony/wiadomosci/opublikowano-niebieska-ksiege-dla-projektow-infrastruktury-drogowej/</w:t>
        </w:r>
      </w:hyperlink>
      <w:r w:rsidRPr="006E0836">
        <w:rPr>
          <w:rStyle w:val="Hipercze"/>
          <w:rFonts w:asciiTheme="minorHAnsi" w:hAnsiTheme="minorHAnsi" w:cs="Tahoma"/>
          <w:sz w:val="15"/>
          <w:szCs w:val="15"/>
          <w:shd w:val="clear" w:color="auto" w:fill="FFFFFF"/>
          <w:lang w:val="en-GB"/>
        </w:rPr>
        <w:t>)</w:t>
      </w:r>
    </w:p>
    <w:p w14:paraId="520AEB33" w14:textId="2A1BDDCC" w:rsidR="007463B9" w:rsidRPr="0045151D" w:rsidRDefault="007463B9" w:rsidP="009A6C17">
      <w:pPr>
        <w:pBdr>
          <w:top w:val="nil"/>
          <w:left w:val="nil"/>
          <w:bottom w:val="nil"/>
          <w:right w:val="nil"/>
          <w:between w:val="nil"/>
        </w:pBdr>
        <w:spacing w:before="40" w:after="40"/>
        <w:rPr>
          <w:rFonts w:asciiTheme="minorHAnsi" w:eastAsia="Calibri" w:hAnsiTheme="minorHAnsi" w:cstheme="minorHAnsi"/>
          <w:sz w:val="16"/>
          <w:szCs w:val="16"/>
          <w:highlight w:val="white"/>
          <w:lang w:val="en-GB"/>
        </w:rPr>
      </w:pPr>
    </w:p>
    <w:p w14:paraId="07EDD2E1" w14:textId="77777777" w:rsidR="007463B9" w:rsidRPr="0045151D" w:rsidRDefault="007463B9">
      <w:pPr>
        <w:jc w:val="both"/>
        <w:rPr>
          <w:rFonts w:ascii="Calibri" w:eastAsia="Calibri" w:hAnsi="Calibri" w:cs="Calibri"/>
          <w:sz w:val="15"/>
          <w:szCs w:val="15"/>
          <w:lang w:val="en-GB"/>
        </w:rPr>
      </w:pPr>
    </w:p>
  </w:footnote>
  <w:footnote w:id="7">
    <w:p w14:paraId="1C1AE7A9" w14:textId="67F6B5A2" w:rsidR="007463B9" w:rsidRPr="00F6627D" w:rsidRDefault="007463B9">
      <w:pPr>
        <w:pStyle w:val="Tekstprzypisudolnego"/>
      </w:pPr>
      <w:r w:rsidRPr="00F6627D">
        <w:rPr>
          <w:rStyle w:val="Odwoanieprzypisudolnego"/>
          <w:rFonts w:asciiTheme="minorHAnsi" w:hAnsiTheme="minorHAnsi" w:cstheme="minorHAnsi"/>
        </w:rPr>
        <w:footnoteRef/>
      </w:r>
      <w:r w:rsidRPr="00F6627D">
        <w:rPr>
          <w:rFonts w:asciiTheme="minorHAnsi" w:hAnsiTheme="minorHAnsi" w:cstheme="minorHAnsi"/>
          <w:lang w:val="en-GB"/>
        </w:rPr>
        <w:t xml:space="preserve"> </w:t>
      </w:r>
      <w:r w:rsidRPr="00B6399E">
        <w:rPr>
          <w:rFonts w:asciiTheme="minorHAnsi" w:hAnsiTheme="minorHAnsi" w:cstheme="minorHAnsi"/>
          <w:sz w:val="16"/>
          <w:szCs w:val="16"/>
        </w:rPr>
        <w:t>Climate proofing is a term used to refer to the process of integrating climate change adaptation and mitigation considerations into the development of existing assets and/or planned investments./</w:t>
      </w:r>
      <w:bookmarkStart w:id="12" w:name="_Hlk69317438"/>
      <w:r w:rsidRPr="00B6399E">
        <w:rPr>
          <w:rFonts w:asciiTheme="minorHAnsi" w:hAnsiTheme="minorHAnsi" w:cstheme="minorHAnsi"/>
          <w:sz w:val="16"/>
          <w:szCs w:val="16"/>
        </w:rPr>
        <w:t>Uodpornianie na zmiany klimatu to termin odnoszący się do uwzględniania zagadnień adaptacji do zmian klimatu i ich łagodzenia podczas rozbudowy istniejących obiektów i/albo planowania inwestycji.</w:t>
      </w:r>
      <w:bookmarkEnd w:id="12"/>
      <w:r w:rsidRPr="00B6399E">
        <w:rPr>
          <w:rFonts w:asciiTheme="minorHAnsi" w:hAnsiTheme="minorHAnsi" w:cstheme="minorHAnsi"/>
          <w:sz w:val="16"/>
          <w:szCs w:val="16"/>
        </w:rPr>
        <w:t xml:space="preserve">  </w:t>
      </w:r>
      <w:r w:rsidRPr="00B6399E">
        <w:rPr>
          <w:rFonts w:asciiTheme="minorHAnsi" w:hAnsiTheme="minorHAnsi" w:cstheme="minorHAnsi"/>
          <w:sz w:val="16"/>
          <w:szCs w:val="16"/>
          <w:lang w:val="en-GB"/>
        </w:rPr>
        <w:t xml:space="preserve">See </w:t>
      </w:r>
      <w:hyperlink r:id="rId7" w:history="1">
        <w:r w:rsidRPr="00B6399E">
          <w:rPr>
            <w:rStyle w:val="Hipercze"/>
            <w:rFonts w:asciiTheme="minorHAnsi" w:hAnsiTheme="minorHAnsi" w:cstheme="minorHAnsi"/>
            <w:sz w:val="16"/>
            <w:szCs w:val="16"/>
            <w:lang w:val="en-GB"/>
          </w:rPr>
          <w:t>Technical guidance on the climate proofing of infrastructure in t</w:t>
        </w:r>
        <w:r w:rsidRPr="00B6399E">
          <w:rPr>
            <w:rStyle w:val="Hipercze"/>
            <w:rFonts w:asciiTheme="minorHAnsi" w:hAnsiTheme="minorHAnsi" w:cstheme="minorHAnsi"/>
            <w:sz w:val="16"/>
            <w:szCs w:val="16"/>
          </w:rPr>
          <w:t>he period 2021-2027</w:t>
        </w:r>
      </w:hyperlink>
      <w:r w:rsidRPr="00B6399E">
        <w:rPr>
          <w:rFonts w:asciiTheme="minorHAnsi" w:hAnsiTheme="minorHAnsi" w:cstheme="minorHAnsi"/>
          <w:sz w:val="16"/>
          <w:szCs w:val="16"/>
          <w:lang w:val="en-GB"/>
        </w:rPr>
        <w:t>, EC 2021</w:t>
      </w:r>
    </w:p>
  </w:footnote>
  <w:footnote w:id="8">
    <w:p w14:paraId="5D705E06" w14:textId="77777777" w:rsidR="007463B9" w:rsidRDefault="007463B9" w:rsidP="003E2A27">
      <w:pPr>
        <w:pStyle w:val="Tekstprzypisudolnego"/>
        <w:rPr>
          <w:rFonts w:asciiTheme="minorHAnsi" w:hAnsiTheme="minorHAnsi" w:cstheme="minorHAnsi"/>
          <w:sz w:val="16"/>
        </w:rPr>
      </w:pPr>
      <w:r w:rsidRPr="003E2A27">
        <w:rPr>
          <w:rStyle w:val="Odwoanieprzypisudolnego"/>
          <w:rFonts w:asciiTheme="minorHAnsi" w:hAnsiTheme="minorHAnsi" w:cstheme="minorHAnsi"/>
        </w:rPr>
        <w:footnoteRef/>
      </w:r>
      <w:r>
        <w:rPr>
          <w:rFonts w:ascii="Calibri" w:eastAsia="Calibri" w:hAnsi="Calibri" w:cs="Calibri"/>
          <w:color w:val="000000"/>
          <w:sz w:val="16"/>
          <w:szCs w:val="16"/>
        </w:rPr>
        <w:t xml:space="preserve"> </w:t>
      </w:r>
      <w:r w:rsidRPr="00257D85">
        <w:rPr>
          <w:rFonts w:asciiTheme="minorHAnsi" w:hAnsiTheme="minorHAnsi" w:cstheme="minorHAnsi"/>
          <w:sz w:val="16"/>
        </w:rPr>
        <w:t xml:space="preserve">The CPR for 2021–2027 no longer includes binding reference periods per sector, as was the case in the past regulation. The reference period should correspond to the project’s economic life to allow its likely long-term impacts to unfold. Therefore, it is considered that 25 years is generally the relevant one for road infrastructure projects. </w:t>
      </w:r>
    </w:p>
    <w:p w14:paraId="6182220C" w14:textId="3AD3F59B" w:rsidR="007463B9" w:rsidRPr="003E2A27" w:rsidRDefault="007463B9" w:rsidP="003E2A27">
      <w:pPr>
        <w:pBdr>
          <w:top w:val="nil"/>
          <w:left w:val="nil"/>
          <w:bottom w:val="nil"/>
          <w:right w:val="nil"/>
          <w:between w:val="nil"/>
        </w:pBdr>
        <w:spacing w:before="120"/>
        <w:rPr>
          <w:rFonts w:ascii="Calibri" w:eastAsia="Calibri" w:hAnsi="Calibri" w:cs="Calibri"/>
          <w:color w:val="000000"/>
          <w:sz w:val="16"/>
          <w:szCs w:val="16"/>
        </w:rPr>
      </w:pPr>
      <w:r w:rsidRPr="00257D85">
        <w:rPr>
          <w:rStyle w:val="jlqj4b"/>
          <w:rFonts w:asciiTheme="minorHAnsi" w:hAnsiTheme="minorHAnsi" w:cstheme="minorHAnsi"/>
          <w:color w:val="000000"/>
          <w:sz w:val="16"/>
          <w:szCs w:val="16"/>
        </w:rPr>
        <w:t>Rozporzą</w:t>
      </w:r>
      <w:r>
        <w:rPr>
          <w:rStyle w:val="jlqj4b"/>
          <w:rFonts w:asciiTheme="minorHAnsi" w:hAnsiTheme="minorHAnsi" w:cstheme="minorHAnsi"/>
          <w:color w:val="000000"/>
          <w:sz w:val="16"/>
          <w:szCs w:val="16"/>
        </w:rPr>
        <w:t>dzenie ramowe</w:t>
      </w:r>
      <w:r w:rsidRPr="00257D85">
        <w:rPr>
          <w:rStyle w:val="jlqj4b"/>
          <w:rFonts w:asciiTheme="minorHAnsi" w:hAnsiTheme="minorHAnsi" w:cstheme="minorHAnsi"/>
          <w:color w:val="000000"/>
          <w:sz w:val="16"/>
          <w:szCs w:val="16"/>
        </w:rPr>
        <w:t xml:space="preserve"> na lata 2021</w:t>
      </w:r>
      <w:r w:rsidRPr="00257D85">
        <w:rPr>
          <w:rStyle w:val="jlqj4b"/>
          <w:rFonts w:asciiTheme="minorHAnsi" w:hAnsiTheme="minorHAnsi" w:cstheme="minorHAnsi" w:hint="eastAsia"/>
          <w:color w:val="000000"/>
          <w:sz w:val="16"/>
          <w:szCs w:val="16"/>
        </w:rPr>
        <w:t>–</w:t>
      </w:r>
      <w:r w:rsidRPr="00257D85">
        <w:rPr>
          <w:rStyle w:val="jlqj4b"/>
          <w:rFonts w:asciiTheme="minorHAnsi" w:hAnsiTheme="minorHAnsi" w:cstheme="minorHAnsi"/>
          <w:color w:val="000000"/>
          <w:sz w:val="16"/>
          <w:szCs w:val="16"/>
        </w:rPr>
        <w:t>2027 nie zawiera ju</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 xml:space="preserve"> wi</w:t>
      </w:r>
      <w:r w:rsidRPr="00257D85">
        <w:rPr>
          <w:rStyle w:val="jlqj4b"/>
          <w:rFonts w:asciiTheme="minorHAnsi" w:hAnsiTheme="minorHAnsi" w:cstheme="minorHAnsi" w:hint="eastAsia"/>
          <w:color w:val="000000"/>
          <w:sz w:val="16"/>
          <w:szCs w:val="16"/>
        </w:rPr>
        <w:t>ążą</w:t>
      </w:r>
      <w:r w:rsidRPr="00257D85">
        <w:rPr>
          <w:rStyle w:val="jlqj4b"/>
          <w:rFonts w:asciiTheme="minorHAnsi" w:hAnsiTheme="minorHAnsi" w:cstheme="minorHAnsi"/>
          <w:color w:val="000000"/>
          <w:sz w:val="16"/>
          <w:szCs w:val="16"/>
        </w:rPr>
        <w:t>cych okres</w:t>
      </w:r>
      <w:r w:rsidRPr="00257D85">
        <w:rPr>
          <w:rStyle w:val="jlqj4b"/>
          <w:rFonts w:asciiTheme="minorHAnsi" w:hAnsiTheme="minorHAnsi" w:cstheme="minorHAnsi" w:hint="eastAsia"/>
          <w:color w:val="000000"/>
          <w:sz w:val="16"/>
          <w:szCs w:val="16"/>
        </w:rPr>
        <w:t>ó</w:t>
      </w:r>
      <w:r w:rsidRPr="00257D85">
        <w:rPr>
          <w:rStyle w:val="jlqj4b"/>
          <w:rFonts w:asciiTheme="minorHAnsi" w:hAnsiTheme="minorHAnsi" w:cstheme="minorHAnsi"/>
          <w:color w:val="000000"/>
          <w:sz w:val="16"/>
          <w:szCs w:val="16"/>
        </w:rPr>
        <w:t>w referencyjnych dla sektora, jak mia</w:t>
      </w:r>
      <w:r w:rsidRPr="00257D85">
        <w:rPr>
          <w:rStyle w:val="jlqj4b"/>
          <w:rFonts w:asciiTheme="minorHAnsi" w:hAnsiTheme="minorHAnsi" w:cstheme="minorHAnsi" w:hint="eastAsia"/>
          <w:color w:val="000000"/>
          <w:sz w:val="16"/>
          <w:szCs w:val="16"/>
        </w:rPr>
        <w:t>ł</w:t>
      </w:r>
      <w:r w:rsidRPr="00257D85">
        <w:rPr>
          <w:rStyle w:val="jlqj4b"/>
          <w:rFonts w:asciiTheme="minorHAnsi" w:hAnsiTheme="minorHAnsi" w:cstheme="minorHAnsi"/>
          <w:color w:val="000000"/>
          <w:sz w:val="16"/>
          <w:szCs w:val="16"/>
        </w:rPr>
        <w:t>o to miejsce w poprzednim rozporz</w:t>
      </w:r>
      <w:r w:rsidRPr="00257D85">
        <w:rPr>
          <w:rStyle w:val="jlqj4b"/>
          <w:rFonts w:asciiTheme="minorHAnsi" w:hAnsiTheme="minorHAnsi" w:cstheme="minorHAnsi" w:hint="eastAsia"/>
          <w:color w:val="000000"/>
          <w:sz w:val="16"/>
          <w:szCs w:val="16"/>
        </w:rPr>
        <w:t>ą</w:t>
      </w:r>
      <w:r w:rsidRPr="00257D85">
        <w:rPr>
          <w:rStyle w:val="jlqj4b"/>
          <w:rFonts w:asciiTheme="minorHAnsi" w:hAnsiTheme="minorHAnsi" w:cstheme="minorHAnsi"/>
          <w:color w:val="000000"/>
          <w:sz w:val="16"/>
          <w:szCs w:val="16"/>
        </w:rPr>
        <w:t>dzeniu.</w:t>
      </w:r>
      <w:r w:rsidRPr="00257D85">
        <w:rPr>
          <w:rStyle w:val="viiyi"/>
          <w:rFonts w:asciiTheme="minorHAnsi" w:hAnsiTheme="minorHAnsi" w:cstheme="minorHAnsi"/>
          <w:color w:val="000000"/>
          <w:sz w:val="16"/>
          <w:szCs w:val="16"/>
        </w:rPr>
        <w:t xml:space="preserve"> </w:t>
      </w:r>
      <w:r w:rsidRPr="00257D85">
        <w:rPr>
          <w:rStyle w:val="jlqj4b"/>
          <w:rFonts w:asciiTheme="minorHAnsi" w:hAnsiTheme="minorHAnsi" w:cstheme="minorHAnsi"/>
          <w:color w:val="000000"/>
          <w:sz w:val="16"/>
          <w:szCs w:val="16"/>
        </w:rPr>
        <w:t>Okres odniesienia powinien odpowiada</w:t>
      </w:r>
      <w:r w:rsidRPr="00257D85">
        <w:rPr>
          <w:rStyle w:val="jlqj4b"/>
          <w:rFonts w:asciiTheme="minorHAnsi" w:hAnsiTheme="minorHAnsi" w:cstheme="minorHAnsi" w:hint="eastAsia"/>
          <w:color w:val="000000"/>
          <w:sz w:val="16"/>
          <w:szCs w:val="16"/>
        </w:rPr>
        <w:t>ć</w:t>
      </w:r>
      <w:r w:rsidRPr="00257D85">
        <w:rPr>
          <w:rStyle w:val="jlqj4b"/>
          <w:rFonts w:asciiTheme="minorHAnsi" w:hAnsiTheme="minorHAnsi" w:cstheme="minorHAnsi"/>
          <w:color w:val="000000"/>
          <w:sz w:val="16"/>
          <w:szCs w:val="16"/>
        </w:rPr>
        <w:t xml:space="preserve"> ekonomicznemu okresowi </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 xml:space="preserve">ycia projektu, </w:t>
      </w:r>
      <w:r>
        <w:rPr>
          <w:rStyle w:val="jlqj4b"/>
          <w:rFonts w:asciiTheme="minorHAnsi" w:hAnsiTheme="minorHAnsi" w:cstheme="minorHAnsi"/>
          <w:color w:val="000000"/>
          <w:sz w:val="16"/>
          <w:szCs w:val="16"/>
        </w:rPr>
        <w:t xml:space="preserve">tak </w:t>
      </w:r>
      <w:r w:rsidRPr="00257D85">
        <w:rPr>
          <w:rStyle w:val="jlqj4b"/>
          <w:rFonts w:asciiTheme="minorHAnsi" w:hAnsiTheme="minorHAnsi" w:cstheme="minorHAnsi"/>
          <w:color w:val="000000"/>
          <w:sz w:val="16"/>
          <w:szCs w:val="16"/>
        </w:rPr>
        <w:t xml:space="preserve">aby </w:t>
      </w:r>
      <w:r>
        <w:rPr>
          <w:rStyle w:val="jlqj4b"/>
          <w:rFonts w:asciiTheme="minorHAnsi" w:hAnsiTheme="minorHAnsi" w:cstheme="minorHAnsi"/>
          <w:color w:val="000000"/>
          <w:sz w:val="16"/>
          <w:szCs w:val="16"/>
        </w:rPr>
        <w:t>uwzględnić</w:t>
      </w:r>
      <w:r w:rsidRPr="00257D85">
        <w:rPr>
          <w:rStyle w:val="jlqj4b"/>
          <w:rFonts w:asciiTheme="minorHAnsi" w:hAnsiTheme="minorHAnsi" w:cstheme="minorHAnsi"/>
          <w:color w:val="000000"/>
          <w:sz w:val="16"/>
          <w:szCs w:val="16"/>
        </w:rPr>
        <w:t xml:space="preserve"> jego d</w:t>
      </w:r>
      <w:r w:rsidRPr="00257D85">
        <w:rPr>
          <w:rStyle w:val="jlqj4b"/>
          <w:rFonts w:asciiTheme="minorHAnsi" w:hAnsiTheme="minorHAnsi" w:cstheme="minorHAnsi" w:hint="eastAsia"/>
          <w:color w:val="000000"/>
          <w:sz w:val="16"/>
          <w:szCs w:val="16"/>
        </w:rPr>
        <w:t>ł</w:t>
      </w:r>
      <w:r w:rsidRPr="00257D85">
        <w:rPr>
          <w:rStyle w:val="jlqj4b"/>
          <w:rFonts w:asciiTheme="minorHAnsi" w:hAnsiTheme="minorHAnsi" w:cstheme="minorHAnsi"/>
          <w:color w:val="000000"/>
          <w:sz w:val="16"/>
          <w:szCs w:val="16"/>
        </w:rPr>
        <w:t>ugoterminow</w:t>
      </w:r>
      <w:r>
        <w:rPr>
          <w:rStyle w:val="jlqj4b"/>
          <w:rFonts w:asciiTheme="minorHAnsi" w:hAnsiTheme="minorHAnsi" w:cstheme="minorHAnsi"/>
          <w:color w:val="000000"/>
          <w:sz w:val="16"/>
          <w:szCs w:val="16"/>
        </w:rPr>
        <w:t>e oddziaływania</w:t>
      </w:r>
      <w:r w:rsidRPr="00257D85">
        <w:rPr>
          <w:rStyle w:val="jlqj4b"/>
          <w:rFonts w:asciiTheme="minorHAnsi" w:hAnsiTheme="minorHAnsi" w:cstheme="minorHAnsi"/>
          <w:color w:val="000000"/>
          <w:sz w:val="16"/>
          <w:szCs w:val="16"/>
        </w:rPr>
        <w:t>.</w:t>
      </w:r>
      <w:r w:rsidRPr="00257D85">
        <w:rPr>
          <w:rStyle w:val="viiyi"/>
          <w:rFonts w:asciiTheme="minorHAnsi" w:hAnsiTheme="minorHAnsi" w:cstheme="minorHAnsi"/>
          <w:color w:val="000000"/>
          <w:sz w:val="16"/>
          <w:szCs w:val="16"/>
        </w:rPr>
        <w:t xml:space="preserve"> </w:t>
      </w:r>
      <w:r w:rsidRPr="00257D85">
        <w:rPr>
          <w:rStyle w:val="jlqj4b"/>
          <w:rFonts w:asciiTheme="minorHAnsi" w:hAnsiTheme="minorHAnsi" w:cstheme="minorHAnsi"/>
          <w:color w:val="000000"/>
          <w:sz w:val="16"/>
          <w:szCs w:val="16"/>
        </w:rPr>
        <w:t>W zwi</w:t>
      </w:r>
      <w:r w:rsidRPr="00257D85">
        <w:rPr>
          <w:rStyle w:val="jlqj4b"/>
          <w:rFonts w:asciiTheme="minorHAnsi" w:hAnsiTheme="minorHAnsi" w:cstheme="minorHAnsi" w:hint="eastAsia"/>
          <w:color w:val="000000"/>
          <w:sz w:val="16"/>
          <w:szCs w:val="16"/>
        </w:rPr>
        <w:t>ą</w:t>
      </w:r>
      <w:r w:rsidRPr="00257D85">
        <w:rPr>
          <w:rStyle w:val="jlqj4b"/>
          <w:rFonts w:asciiTheme="minorHAnsi" w:hAnsiTheme="minorHAnsi" w:cstheme="minorHAnsi"/>
          <w:color w:val="000000"/>
          <w:sz w:val="16"/>
          <w:szCs w:val="16"/>
        </w:rPr>
        <w:t>zku z tym uwa</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a si</w:t>
      </w:r>
      <w:r w:rsidRPr="00257D85">
        <w:rPr>
          <w:rStyle w:val="jlqj4b"/>
          <w:rFonts w:asciiTheme="minorHAnsi" w:hAnsiTheme="minorHAnsi" w:cstheme="minorHAnsi" w:hint="eastAsia"/>
          <w:color w:val="000000"/>
          <w:sz w:val="16"/>
          <w:szCs w:val="16"/>
        </w:rPr>
        <w:t>ę</w:t>
      </w:r>
      <w:r w:rsidRPr="00257D85">
        <w:rPr>
          <w:rStyle w:val="jlqj4b"/>
          <w:rFonts w:asciiTheme="minorHAnsi" w:hAnsiTheme="minorHAnsi" w:cstheme="minorHAnsi"/>
          <w:color w:val="000000"/>
          <w:sz w:val="16"/>
          <w:szCs w:val="16"/>
        </w:rPr>
        <w:t xml:space="preserve">, </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e w przypadku projekt</w:t>
      </w:r>
      <w:r w:rsidRPr="00257D85">
        <w:rPr>
          <w:rStyle w:val="jlqj4b"/>
          <w:rFonts w:asciiTheme="minorHAnsi" w:hAnsiTheme="minorHAnsi" w:cstheme="minorHAnsi" w:hint="eastAsia"/>
          <w:color w:val="000000"/>
          <w:sz w:val="16"/>
          <w:szCs w:val="16"/>
        </w:rPr>
        <w:t>ó</w:t>
      </w:r>
      <w:r w:rsidRPr="00257D85">
        <w:rPr>
          <w:rStyle w:val="jlqj4b"/>
          <w:rFonts w:asciiTheme="minorHAnsi" w:hAnsiTheme="minorHAnsi" w:cstheme="minorHAnsi"/>
          <w:color w:val="000000"/>
          <w:sz w:val="16"/>
          <w:szCs w:val="16"/>
        </w:rPr>
        <w:t>w infrastruktury drogowej zwykle wystarcza 25 lat.</w:t>
      </w:r>
    </w:p>
  </w:footnote>
  <w:footnote w:id="9">
    <w:p w14:paraId="10D1FF8C" w14:textId="23109EA9" w:rsidR="007463B9" w:rsidRDefault="007463B9" w:rsidP="00A24E90">
      <w:pPr>
        <w:pBdr>
          <w:top w:val="nil"/>
          <w:left w:val="nil"/>
          <w:bottom w:val="nil"/>
          <w:right w:val="nil"/>
          <w:between w:val="nil"/>
        </w:pBdr>
        <w:spacing w:before="120"/>
        <w:rPr>
          <w:color w:val="000000"/>
          <w:sz w:val="20"/>
          <w:szCs w:val="20"/>
        </w:rPr>
      </w:pPr>
      <w:r w:rsidRPr="00A24E90">
        <w:rPr>
          <w:rStyle w:val="Odwoanieprzypisudolnego"/>
          <w:rFonts w:asciiTheme="minorHAnsi" w:hAnsiTheme="minorHAnsi" w:cstheme="minorHAnsi"/>
          <w:sz w:val="20"/>
          <w:szCs w:val="20"/>
        </w:rPr>
        <w:footnoteRef/>
      </w:r>
      <w:r w:rsidRPr="00A24E90">
        <w:rPr>
          <w:rFonts w:asciiTheme="minorHAnsi" w:eastAsia="Calibri" w:hAnsiTheme="minorHAnsi" w:cstheme="minorHAnsi"/>
          <w:color w:val="000000"/>
          <w:sz w:val="20"/>
          <w:szCs w:val="20"/>
          <w:lang w:val="en-GB"/>
        </w:rPr>
        <w:t xml:space="preserve"> </w:t>
      </w:r>
      <w:r w:rsidRPr="00371A33">
        <w:rPr>
          <w:rFonts w:asciiTheme="minorHAnsi" w:hAnsiTheme="minorHAnsi" w:cstheme="minorHAnsi"/>
          <w:sz w:val="16"/>
          <w:lang w:val="en-GB"/>
        </w:rPr>
        <w:t xml:space="preserve">This survey was part of a comissioned work for determination of Generalised Cost Function for the CUPT National Transport Model. </w:t>
      </w:r>
      <w:r w:rsidRPr="007B1768">
        <w:rPr>
          <w:rStyle w:val="jlqj4b"/>
          <w:rFonts w:asciiTheme="minorHAnsi" w:hAnsiTheme="minorHAnsi"/>
          <w:color w:val="000000"/>
          <w:sz w:val="16"/>
          <w:szCs w:val="16"/>
        </w:rPr>
        <w:t>Niniejsze badanie by</w:t>
      </w:r>
      <w:r w:rsidRPr="007B1768">
        <w:rPr>
          <w:rStyle w:val="jlqj4b"/>
          <w:rFonts w:asciiTheme="minorHAnsi" w:hAnsiTheme="minorHAnsi" w:hint="eastAsia"/>
          <w:color w:val="000000"/>
          <w:sz w:val="16"/>
          <w:szCs w:val="16"/>
        </w:rPr>
        <w:t>ł</w:t>
      </w:r>
      <w:r w:rsidRPr="007B1768">
        <w:rPr>
          <w:rStyle w:val="jlqj4b"/>
          <w:rFonts w:asciiTheme="minorHAnsi" w:hAnsiTheme="minorHAnsi"/>
          <w:color w:val="000000"/>
          <w:sz w:val="16"/>
          <w:szCs w:val="16"/>
        </w:rPr>
        <w:t>o cz</w:t>
      </w:r>
      <w:r w:rsidRPr="007B1768">
        <w:rPr>
          <w:rStyle w:val="jlqj4b"/>
          <w:rFonts w:asciiTheme="minorHAnsi" w:hAnsiTheme="minorHAnsi" w:hint="eastAsia"/>
          <w:color w:val="000000"/>
          <w:sz w:val="16"/>
          <w:szCs w:val="16"/>
        </w:rPr>
        <w:t>ęś</w:t>
      </w:r>
      <w:r w:rsidRPr="007B1768">
        <w:rPr>
          <w:rStyle w:val="jlqj4b"/>
          <w:rFonts w:asciiTheme="minorHAnsi" w:hAnsiTheme="minorHAnsi"/>
          <w:color w:val="000000"/>
          <w:sz w:val="16"/>
          <w:szCs w:val="16"/>
        </w:rPr>
        <w:t>ci</w:t>
      </w:r>
      <w:r w:rsidRPr="007B1768">
        <w:rPr>
          <w:rStyle w:val="jlqj4b"/>
          <w:rFonts w:asciiTheme="minorHAnsi" w:hAnsiTheme="minorHAnsi" w:hint="eastAsia"/>
          <w:color w:val="000000"/>
          <w:sz w:val="16"/>
          <w:szCs w:val="16"/>
        </w:rPr>
        <w:t>ą</w:t>
      </w:r>
      <w:r w:rsidRPr="007B1768">
        <w:rPr>
          <w:rStyle w:val="jlqj4b"/>
          <w:rFonts w:asciiTheme="minorHAnsi" w:hAnsiTheme="minorHAnsi"/>
          <w:color w:val="000000"/>
          <w:sz w:val="16"/>
          <w:szCs w:val="16"/>
        </w:rPr>
        <w:t xml:space="preserve"> pracy zleco</w:t>
      </w:r>
      <w:r w:rsidRPr="00A24E90">
        <w:rPr>
          <w:rStyle w:val="jlqj4b"/>
          <w:rFonts w:asciiTheme="minorHAnsi" w:hAnsiTheme="minorHAnsi"/>
          <w:color w:val="000000"/>
          <w:sz w:val="16"/>
          <w:szCs w:val="16"/>
        </w:rPr>
        <w:t>nej przez CUPT</w:t>
      </w:r>
      <w:r w:rsidRPr="007B1768">
        <w:rPr>
          <w:rStyle w:val="jlqj4b"/>
          <w:rFonts w:asciiTheme="minorHAnsi" w:hAnsiTheme="minorHAnsi"/>
          <w:color w:val="000000"/>
          <w:sz w:val="16"/>
          <w:szCs w:val="16"/>
        </w:rPr>
        <w:t xml:space="preserve"> dotycz</w:t>
      </w:r>
      <w:r w:rsidRPr="007B1768">
        <w:rPr>
          <w:rStyle w:val="jlqj4b"/>
          <w:rFonts w:asciiTheme="minorHAnsi" w:hAnsiTheme="minorHAnsi" w:hint="eastAsia"/>
          <w:color w:val="000000"/>
          <w:sz w:val="16"/>
          <w:szCs w:val="16"/>
        </w:rPr>
        <w:t>ą</w:t>
      </w:r>
      <w:r w:rsidRPr="007B1768">
        <w:rPr>
          <w:rStyle w:val="jlqj4b"/>
          <w:rFonts w:asciiTheme="minorHAnsi" w:hAnsiTheme="minorHAnsi"/>
          <w:color w:val="000000"/>
          <w:sz w:val="16"/>
          <w:szCs w:val="16"/>
        </w:rPr>
        <w:t>cej okre</w:t>
      </w:r>
      <w:r w:rsidRPr="007B1768">
        <w:rPr>
          <w:rStyle w:val="jlqj4b"/>
          <w:rFonts w:asciiTheme="minorHAnsi" w:hAnsiTheme="minorHAnsi" w:hint="eastAsia"/>
          <w:color w:val="000000"/>
          <w:sz w:val="16"/>
          <w:szCs w:val="16"/>
        </w:rPr>
        <w:t>ś</w:t>
      </w:r>
      <w:r w:rsidRPr="007B1768">
        <w:rPr>
          <w:rStyle w:val="jlqj4b"/>
          <w:rFonts w:asciiTheme="minorHAnsi" w:hAnsiTheme="minorHAnsi"/>
          <w:color w:val="000000"/>
          <w:sz w:val="16"/>
          <w:szCs w:val="16"/>
        </w:rPr>
        <w:t>lenia Funkcji Koszt</w:t>
      </w:r>
      <w:r w:rsidRPr="007B1768">
        <w:rPr>
          <w:rStyle w:val="jlqj4b"/>
          <w:rFonts w:asciiTheme="minorHAnsi" w:hAnsiTheme="minorHAnsi" w:hint="eastAsia"/>
          <w:color w:val="000000"/>
          <w:sz w:val="16"/>
          <w:szCs w:val="16"/>
        </w:rPr>
        <w:t>ó</w:t>
      </w:r>
      <w:r w:rsidRPr="007B1768">
        <w:rPr>
          <w:rStyle w:val="jlqj4b"/>
          <w:rFonts w:asciiTheme="minorHAnsi" w:hAnsiTheme="minorHAnsi"/>
          <w:color w:val="000000"/>
          <w:sz w:val="16"/>
          <w:szCs w:val="16"/>
        </w:rPr>
        <w:t>w Uog</w:t>
      </w:r>
      <w:r w:rsidRPr="007B1768">
        <w:rPr>
          <w:rStyle w:val="jlqj4b"/>
          <w:rFonts w:asciiTheme="minorHAnsi" w:hAnsiTheme="minorHAnsi" w:hint="eastAsia"/>
          <w:color w:val="000000"/>
          <w:sz w:val="16"/>
          <w:szCs w:val="16"/>
        </w:rPr>
        <w:t>ó</w:t>
      </w:r>
      <w:r w:rsidRPr="007B1768">
        <w:rPr>
          <w:rStyle w:val="jlqj4b"/>
          <w:rFonts w:asciiTheme="minorHAnsi" w:hAnsiTheme="minorHAnsi"/>
          <w:color w:val="000000"/>
          <w:sz w:val="16"/>
          <w:szCs w:val="16"/>
        </w:rPr>
        <w:t>lnionych dla Krajowego Modelu Transportowego</w:t>
      </w:r>
      <w:r>
        <w:rPr>
          <w:rStyle w:val="jlqj4b"/>
          <w:rFonts w:asciiTheme="minorHAnsi" w:hAnsiTheme="minorHAnsi"/>
          <w:color w:val="000000"/>
          <w:sz w:val="16"/>
          <w:szCs w:val="16"/>
        </w:rPr>
        <w:t>.</w:t>
      </w:r>
    </w:p>
    <w:p w14:paraId="586112C8" w14:textId="483E08E9" w:rsidR="007463B9" w:rsidRDefault="007463B9">
      <w:pPr>
        <w:pBdr>
          <w:top w:val="nil"/>
          <w:left w:val="nil"/>
          <w:bottom w:val="nil"/>
          <w:right w:val="nil"/>
          <w:between w:val="nil"/>
        </w:pBdr>
        <w:spacing w:before="120"/>
        <w:rPr>
          <w:color w:val="000000"/>
          <w:sz w:val="20"/>
          <w:szCs w:val="20"/>
        </w:rPr>
      </w:pPr>
    </w:p>
  </w:footnote>
  <w:footnote w:id="10">
    <w:p w14:paraId="5181AD89" w14:textId="77777777" w:rsidR="007463B9" w:rsidRPr="00E8513F" w:rsidRDefault="007463B9" w:rsidP="00CB25CC">
      <w:pPr>
        <w:pStyle w:val="Tekstprzypisudolnego"/>
        <w:rPr>
          <w:rFonts w:asciiTheme="minorHAnsi" w:hAnsiTheme="minorHAnsi"/>
          <w:sz w:val="16"/>
          <w:szCs w:val="16"/>
          <w:lang w:val="pl-PL"/>
        </w:rPr>
      </w:pPr>
      <w:r>
        <w:rPr>
          <w:rStyle w:val="Odwoanieprzypisudolnego"/>
        </w:rPr>
        <w:footnoteRef/>
      </w:r>
      <w:r w:rsidRPr="00CB25CC">
        <w:rPr>
          <w:rFonts w:ascii="Calibri" w:eastAsia="Calibri" w:hAnsi="Calibri" w:cs="Calibri"/>
          <w:color w:val="000000"/>
          <w:sz w:val="16"/>
          <w:szCs w:val="16"/>
          <w:lang w:val="pl-PL"/>
        </w:rPr>
        <w:t xml:space="preserve"> </w:t>
      </w:r>
      <w:r w:rsidRPr="00E8513F">
        <w:rPr>
          <w:rFonts w:asciiTheme="minorHAnsi" w:hAnsiTheme="minorHAnsi"/>
          <w:sz w:val="16"/>
          <w:szCs w:val="16"/>
          <w:lang w:val="pl-PL"/>
        </w:rPr>
        <w:t>Jeżeli fragmenty inwestycji zamiejskiej lub odcinki modelu sieci/bufora znajdują się</w:t>
      </w:r>
      <w:r>
        <w:rPr>
          <w:rFonts w:asciiTheme="minorHAnsi" w:hAnsiTheme="minorHAnsi"/>
          <w:sz w:val="16"/>
          <w:szCs w:val="16"/>
          <w:lang w:val="pl-PL"/>
        </w:rPr>
        <w:t xml:space="preserve"> w </w:t>
      </w:r>
      <w:r w:rsidRPr="00E8513F">
        <w:rPr>
          <w:rFonts w:asciiTheme="minorHAnsi" w:hAnsiTheme="minorHAnsi"/>
          <w:sz w:val="16"/>
          <w:szCs w:val="16"/>
          <w:lang w:val="pl-PL"/>
        </w:rPr>
        <w:t>obszarze miejskim, to wskaźniki wypadkowości należy przyjmować jak dla obszaru zabudowanego.</w:t>
      </w:r>
    </w:p>
    <w:p w14:paraId="5066F0CD" w14:textId="76EB4AA4" w:rsidR="007463B9" w:rsidRPr="0045151D" w:rsidRDefault="007463B9" w:rsidP="00CB25CC">
      <w:pPr>
        <w:pBdr>
          <w:top w:val="nil"/>
          <w:left w:val="nil"/>
          <w:bottom w:val="nil"/>
          <w:right w:val="nil"/>
          <w:between w:val="nil"/>
        </w:pBdr>
        <w:spacing w:before="120"/>
        <w:rPr>
          <w:rFonts w:ascii="Calibri" w:eastAsia="Calibri" w:hAnsi="Calibri" w:cs="Calibri"/>
          <w:color w:val="000000"/>
          <w:sz w:val="16"/>
          <w:szCs w:val="16"/>
          <w:lang w:val="en-GB"/>
        </w:rPr>
      </w:pPr>
      <w:r w:rsidRPr="00ED063F">
        <w:rPr>
          <w:rFonts w:asciiTheme="minorHAnsi" w:hAnsiTheme="minorHAnsi"/>
          <w:sz w:val="16"/>
          <w:szCs w:val="16"/>
          <w:vertAlign w:val="superscript"/>
        </w:rPr>
        <w:t xml:space="preserve"> </w:t>
      </w:r>
      <w:r w:rsidRPr="00E8513F">
        <w:rPr>
          <w:rFonts w:asciiTheme="minorHAnsi" w:hAnsiTheme="minorHAnsi"/>
          <w:sz w:val="16"/>
          <w:szCs w:val="16"/>
          <w:lang w:val="en-GB"/>
        </w:rPr>
        <w:t>If any sections of the non-urban investment or the model/ buffer network is located in the urban areas, the accident factors should be taken as for the built-up area.</w:t>
      </w:r>
    </w:p>
  </w:footnote>
  <w:footnote w:id="11">
    <w:p w14:paraId="1830C6E3" w14:textId="3CAC09A9" w:rsidR="007463B9" w:rsidRPr="007463B9" w:rsidRDefault="007463B9">
      <w:pPr>
        <w:pBdr>
          <w:top w:val="nil"/>
          <w:left w:val="nil"/>
          <w:bottom w:val="nil"/>
          <w:right w:val="nil"/>
          <w:between w:val="nil"/>
        </w:pBdr>
        <w:spacing w:before="120"/>
        <w:rPr>
          <w:color w:val="000000"/>
          <w:sz w:val="20"/>
          <w:szCs w:val="20"/>
        </w:rPr>
      </w:pPr>
      <w:r>
        <w:rPr>
          <w:rStyle w:val="Odwoanieprzypisudolnego"/>
        </w:rPr>
        <w:footnoteRef/>
      </w:r>
      <w:r w:rsidRPr="007463B9">
        <w:rPr>
          <w:color w:val="000000"/>
          <w:sz w:val="20"/>
          <w:szCs w:val="20"/>
        </w:rPr>
        <w:t xml:space="preserve"> </w:t>
      </w:r>
      <w:r w:rsidRPr="007463B9">
        <w:rPr>
          <w:rFonts w:asciiTheme="minorHAnsi" w:hAnsiTheme="minorHAnsi" w:cstheme="minorHAnsi"/>
          <w:sz w:val="18"/>
        </w:rPr>
        <w:t>Based on Handbook on the External Costs of Transport, European Commission, version January 2019/</w:t>
      </w:r>
      <w:bookmarkStart w:id="74" w:name="_Hlk69464699"/>
      <w:r w:rsidRPr="007463B9">
        <w:rPr>
          <w:rFonts w:asciiTheme="minorHAnsi" w:hAnsiTheme="minorHAnsi" w:cstheme="minorHAnsi"/>
          <w:sz w:val="18"/>
        </w:rPr>
        <w:t xml:space="preserve"> Na podstawie Podręcznika Zewnętrznych Kosztów Transportu, Komisja Europejska, wersja styczeń 2019</w:t>
      </w:r>
      <w:bookmarkEnd w:id="74"/>
      <w:r w:rsidRPr="007463B9">
        <w:rPr>
          <w:rFonts w:asciiTheme="minorHAnsi" w:hAnsiTheme="minorHAnsi" w:cstheme="minorHAnsi"/>
          <w:sz w:val="18"/>
        </w:rPr>
        <w:t>.</w:t>
      </w:r>
    </w:p>
  </w:footnote>
  <w:footnote w:id="12">
    <w:p w14:paraId="224AA0D9" w14:textId="25581353" w:rsidR="007463B9" w:rsidRDefault="007463B9">
      <w:pPr>
        <w:pBdr>
          <w:top w:val="nil"/>
          <w:left w:val="nil"/>
          <w:bottom w:val="nil"/>
          <w:right w:val="nil"/>
          <w:between w:val="nil"/>
        </w:pBdr>
        <w:spacing w:before="120"/>
        <w:rPr>
          <w:color w:val="000000"/>
          <w:sz w:val="20"/>
          <w:szCs w:val="20"/>
        </w:rPr>
      </w:pPr>
      <w:r>
        <w:rPr>
          <w:rStyle w:val="Odwoanieprzypisudolnego"/>
        </w:rPr>
        <w:footnoteRef/>
      </w:r>
      <w:r w:rsidRPr="0045151D">
        <w:rPr>
          <w:color w:val="000000"/>
          <w:sz w:val="20"/>
          <w:szCs w:val="20"/>
          <w:lang w:val="en-GB"/>
        </w:rPr>
        <w:t xml:space="preserve"> </w:t>
      </w:r>
      <w:r w:rsidRPr="00BC75DE">
        <w:rPr>
          <w:rFonts w:asciiTheme="minorHAnsi" w:hAnsiTheme="minorHAnsi" w:cstheme="minorHAnsi"/>
          <w:sz w:val="18"/>
          <w:lang w:val="en-GB"/>
        </w:rPr>
        <w:t xml:space="preserve">Other costs related to lower-atmosphere emissions from electricity generation </w:t>
      </w:r>
      <w:r w:rsidRPr="007F12E6">
        <w:rPr>
          <w:rFonts w:asciiTheme="minorHAnsi" w:hAnsiTheme="minorHAnsi" w:cstheme="minorHAnsi"/>
          <w:sz w:val="18"/>
          <w:lang w:val="en-GB"/>
        </w:rPr>
        <w:t xml:space="preserve">from </w:t>
      </w:r>
      <w:r w:rsidRPr="00BC75DE">
        <w:rPr>
          <w:rFonts w:asciiTheme="minorHAnsi" w:hAnsiTheme="minorHAnsi" w:cstheme="minorHAnsi"/>
          <w:sz w:val="18"/>
          <w:lang w:val="en-GB"/>
        </w:rPr>
        <w:t>power plants</w:t>
      </w:r>
      <w:r w:rsidRPr="007F12E6">
        <w:rPr>
          <w:rFonts w:asciiTheme="minorHAnsi" w:hAnsiTheme="minorHAnsi" w:cstheme="minorHAnsi"/>
          <w:sz w:val="18"/>
          <w:lang w:val="en-GB"/>
        </w:rPr>
        <w:t xml:space="preserve"> are not included. </w:t>
      </w:r>
      <w:r w:rsidRPr="00BC75DE">
        <w:rPr>
          <w:rStyle w:val="jlqj4b"/>
          <w:rFonts w:asciiTheme="minorHAnsi" w:hAnsiTheme="minorHAnsi" w:cstheme="minorHAnsi"/>
          <w:color w:val="000000"/>
          <w:sz w:val="18"/>
          <w:szCs w:val="18"/>
        </w:rPr>
        <w:t xml:space="preserve">Nie uwzględniono innych kosztów związanych z emisją do niższych warstw atmosfery z </w:t>
      </w:r>
      <w:r w:rsidRPr="007F12E6">
        <w:rPr>
          <w:rStyle w:val="jlqj4b"/>
          <w:rFonts w:asciiTheme="minorHAnsi" w:hAnsiTheme="minorHAnsi" w:cstheme="minorHAnsi"/>
          <w:color w:val="000000"/>
          <w:sz w:val="18"/>
          <w:szCs w:val="18"/>
        </w:rPr>
        <w:t>elektrowni.</w:t>
      </w:r>
    </w:p>
  </w:footnote>
  <w:footnote w:id="13">
    <w:p w14:paraId="512EADA2" w14:textId="77777777" w:rsidR="007463B9" w:rsidRPr="00EA58CC" w:rsidRDefault="007463B9" w:rsidP="00784B01">
      <w:r w:rsidRPr="005C3677">
        <w:rPr>
          <w:rStyle w:val="Odwoanieprzypisudolnego"/>
          <w:sz w:val="22"/>
        </w:rPr>
        <w:footnoteRef/>
      </w:r>
      <w:r w:rsidRPr="00784B01">
        <w:rPr>
          <w:rFonts w:ascii="Calibri" w:eastAsia="Calibri" w:hAnsi="Calibri" w:cs="Calibri"/>
          <w:lang w:val="en-US"/>
        </w:rPr>
        <w:t xml:space="preserve"> </w:t>
      </w:r>
      <w:r w:rsidRPr="007B1768">
        <w:rPr>
          <w:rFonts w:asciiTheme="minorHAnsi" w:hAnsiTheme="minorHAnsi" w:cstheme="minorHAnsi"/>
          <w:sz w:val="18"/>
          <w:lang w:val="en-GB"/>
        </w:rPr>
        <w:t>Typical operating year refers to a representative project yearly GHG emisssions assessment; therefore, it might be considered to apply an average of the analysed period or, even more representative, to consider an average of first 15-20 years of operation</w:t>
      </w:r>
      <w:r w:rsidRPr="007B1768">
        <w:rPr>
          <w:rFonts w:asciiTheme="minorHAnsi" w:hAnsiTheme="minorHAnsi" w:cstheme="minorHAnsi"/>
          <w:sz w:val="16"/>
          <w:szCs w:val="16"/>
          <w:lang w:val="en-GB"/>
        </w:rPr>
        <w:t xml:space="preserve">. </w:t>
      </w:r>
      <w:r w:rsidRPr="007B1768">
        <w:rPr>
          <w:rStyle w:val="jlqj4b"/>
          <w:rFonts w:asciiTheme="minorHAnsi" w:hAnsiTheme="minorHAnsi" w:cstheme="minorHAnsi"/>
          <w:color w:val="000000"/>
          <w:sz w:val="18"/>
          <w:szCs w:val="18"/>
        </w:rPr>
        <w:t>Typowy rok operacyjny odnosi si</w:t>
      </w:r>
      <w:r w:rsidRPr="007B1768">
        <w:rPr>
          <w:rStyle w:val="jlqj4b"/>
          <w:rFonts w:asciiTheme="minorHAnsi" w:hAnsiTheme="minorHAnsi" w:cstheme="minorHAnsi" w:hint="eastAsia"/>
          <w:color w:val="000000"/>
          <w:sz w:val="18"/>
          <w:szCs w:val="18"/>
        </w:rPr>
        <w:t>ę</w:t>
      </w:r>
      <w:r w:rsidRPr="007B1768">
        <w:rPr>
          <w:rStyle w:val="jlqj4b"/>
          <w:rFonts w:asciiTheme="minorHAnsi" w:hAnsiTheme="minorHAnsi" w:cstheme="minorHAnsi"/>
          <w:color w:val="000000"/>
          <w:sz w:val="18"/>
          <w:szCs w:val="18"/>
        </w:rPr>
        <w:t xml:space="preserve"> do reprezentatywnej rocznej emisji gaz</w:t>
      </w:r>
      <w:r w:rsidRPr="007B1768">
        <w:rPr>
          <w:rStyle w:val="jlqj4b"/>
          <w:rFonts w:asciiTheme="minorHAnsi" w:hAnsiTheme="minorHAnsi" w:cstheme="minorHAnsi" w:hint="eastAsia"/>
          <w:color w:val="000000"/>
          <w:sz w:val="18"/>
          <w:szCs w:val="18"/>
        </w:rPr>
        <w:t>ó</w:t>
      </w:r>
      <w:r w:rsidRPr="007B1768">
        <w:rPr>
          <w:rStyle w:val="jlqj4b"/>
          <w:rFonts w:asciiTheme="minorHAnsi" w:hAnsiTheme="minorHAnsi" w:cstheme="minorHAnsi"/>
          <w:color w:val="000000"/>
          <w:sz w:val="18"/>
          <w:szCs w:val="18"/>
        </w:rPr>
        <w:t>w cieplarnianych projektu;</w:t>
      </w:r>
      <w:r w:rsidRPr="007B1768">
        <w:rPr>
          <w:rStyle w:val="viiyi"/>
          <w:rFonts w:asciiTheme="minorHAnsi" w:hAnsiTheme="minorHAnsi" w:cstheme="minorHAnsi"/>
          <w:color w:val="000000"/>
          <w:sz w:val="18"/>
          <w:szCs w:val="18"/>
        </w:rPr>
        <w:t xml:space="preserve"> </w:t>
      </w:r>
      <w:r w:rsidRPr="007B1768">
        <w:rPr>
          <w:rStyle w:val="jlqj4b"/>
          <w:rFonts w:asciiTheme="minorHAnsi" w:hAnsiTheme="minorHAnsi" w:cstheme="minorHAnsi"/>
          <w:color w:val="000000"/>
          <w:sz w:val="18"/>
          <w:szCs w:val="18"/>
        </w:rPr>
        <w:t>w zwi</w:t>
      </w:r>
      <w:r w:rsidRPr="007B1768">
        <w:rPr>
          <w:rStyle w:val="jlqj4b"/>
          <w:rFonts w:asciiTheme="minorHAnsi" w:hAnsiTheme="minorHAnsi" w:cstheme="minorHAnsi" w:hint="eastAsia"/>
          <w:color w:val="000000"/>
          <w:sz w:val="18"/>
          <w:szCs w:val="18"/>
        </w:rPr>
        <w:t>ą</w:t>
      </w:r>
      <w:r w:rsidRPr="007B1768">
        <w:rPr>
          <w:rStyle w:val="jlqj4b"/>
          <w:rFonts w:asciiTheme="minorHAnsi" w:hAnsiTheme="minorHAnsi" w:cstheme="minorHAnsi"/>
          <w:color w:val="000000"/>
          <w:sz w:val="18"/>
          <w:szCs w:val="18"/>
        </w:rPr>
        <w:t>zku z tym mo</w:t>
      </w:r>
      <w:r w:rsidRPr="007B1768">
        <w:rPr>
          <w:rStyle w:val="jlqj4b"/>
          <w:rFonts w:asciiTheme="minorHAnsi" w:hAnsiTheme="minorHAnsi" w:cstheme="minorHAnsi" w:hint="eastAsia"/>
          <w:color w:val="000000"/>
          <w:sz w:val="18"/>
          <w:szCs w:val="18"/>
        </w:rPr>
        <w:t>ż</w:t>
      </w:r>
      <w:r w:rsidRPr="007B1768">
        <w:rPr>
          <w:rStyle w:val="jlqj4b"/>
          <w:rFonts w:asciiTheme="minorHAnsi" w:hAnsiTheme="minorHAnsi" w:cstheme="minorHAnsi"/>
          <w:color w:val="000000"/>
          <w:sz w:val="18"/>
          <w:szCs w:val="18"/>
        </w:rPr>
        <w:t>na rozwa</w:t>
      </w:r>
      <w:r w:rsidRPr="007B1768">
        <w:rPr>
          <w:rStyle w:val="jlqj4b"/>
          <w:rFonts w:asciiTheme="minorHAnsi" w:hAnsiTheme="minorHAnsi" w:cstheme="minorHAnsi" w:hint="eastAsia"/>
          <w:color w:val="000000"/>
          <w:sz w:val="18"/>
          <w:szCs w:val="18"/>
        </w:rPr>
        <w:t>ż</w:t>
      </w:r>
      <w:r w:rsidRPr="007B1768">
        <w:rPr>
          <w:rStyle w:val="jlqj4b"/>
          <w:rFonts w:asciiTheme="minorHAnsi" w:hAnsiTheme="minorHAnsi" w:cstheme="minorHAnsi"/>
          <w:color w:val="000000"/>
          <w:sz w:val="18"/>
          <w:szCs w:val="18"/>
        </w:rPr>
        <w:t>y</w:t>
      </w:r>
      <w:r w:rsidRPr="007B1768">
        <w:rPr>
          <w:rStyle w:val="jlqj4b"/>
          <w:rFonts w:asciiTheme="minorHAnsi" w:hAnsiTheme="minorHAnsi" w:cstheme="minorHAnsi" w:hint="eastAsia"/>
          <w:color w:val="000000"/>
          <w:sz w:val="18"/>
          <w:szCs w:val="18"/>
        </w:rPr>
        <w:t>ć</w:t>
      </w:r>
      <w:r w:rsidRPr="007B1768">
        <w:rPr>
          <w:rStyle w:val="jlqj4b"/>
          <w:rFonts w:asciiTheme="minorHAnsi" w:hAnsiTheme="minorHAnsi" w:cstheme="minorHAnsi"/>
          <w:color w:val="000000"/>
          <w:sz w:val="18"/>
          <w:szCs w:val="18"/>
        </w:rPr>
        <w:t xml:space="preserve"> zastosowanie </w:t>
      </w:r>
      <w:r w:rsidRPr="007B1768">
        <w:rPr>
          <w:rStyle w:val="jlqj4b"/>
          <w:rFonts w:asciiTheme="minorHAnsi" w:hAnsiTheme="minorHAnsi" w:cstheme="minorHAnsi" w:hint="eastAsia"/>
          <w:color w:val="000000"/>
          <w:sz w:val="18"/>
          <w:szCs w:val="18"/>
        </w:rPr>
        <w:t>ś</w:t>
      </w:r>
      <w:r w:rsidRPr="007B1768">
        <w:rPr>
          <w:rStyle w:val="jlqj4b"/>
          <w:rFonts w:asciiTheme="minorHAnsi" w:hAnsiTheme="minorHAnsi" w:cstheme="minorHAnsi"/>
          <w:color w:val="000000"/>
          <w:sz w:val="18"/>
          <w:szCs w:val="18"/>
        </w:rPr>
        <w:t>redniej z analizowanego okresu lub, jeszcze bardziej reprezentatywnie, rozwa</w:t>
      </w:r>
      <w:r w:rsidRPr="007B1768">
        <w:rPr>
          <w:rStyle w:val="jlqj4b"/>
          <w:rFonts w:asciiTheme="minorHAnsi" w:hAnsiTheme="minorHAnsi" w:cstheme="minorHAnsi" w:hint="eastAsia"/>
          <w:color w:val="000000"/>
          <w:sz w:val="18"/>
          <w:szCs w:val="18"/>
        </w:rPr>
        <w:t>ż</w:t>
      </w:r>
      <w:r w:rsidRPr="007B1768">
        <w:rPr>
          <w:rStyle w:val="jlqj4b"/>
          <w:rFonts w:asciiTheme="minorHAnsi" w:hAnsiTheme="minorHAnsi" w:cstheme="minorHAnsi"/>
          <w:color w:val="000000"/>
          <w:sz w:val="18"/>
          <w:szCs w:val="18"/>
        </w:rPr>
        <w:t xml:space="preserve">enie </w:t>
      </w:r>
      <w:r w:rsidRPr="007B1768">
        <w:rPr>
          <w:rStyle w:val="jlqj4b"/>
          <w:rFonts w:asciiTheme="minorHAnsi" w:hAnsiTheme="minorHAnsi" w:cstheme="minorHAnsi" w:hint="eastAsia"/>
          <w:color w:val="000000"/>
          <w:sz w:val="18"/>
          <w:szCs w:val="18"/>
        </w:rPr>
        <w:t>ś</w:t>
      </w:r>
      <w:r w:rsidRPr="007B1768">
        <w:rPr>
          <w:rStyle w:val="jlqj4b"/>
          <w:rFonts w:asciiTheme="minorHAnsi" w:hAnsiTheme="minorHAnsi" w:cstheme="minorHAnsi"/>
          <w:color w:val="000000"/>
          <w:sz w:val="18"/>
          <w:szCs w:val="18"/>
        </w:rPr>
        <w:t>redniej z pierwszych 15-20 lat eksploatacji.</w:t>
      </w:r>
    </w:p>
    <w:p w14:paraId="180EA389" w14:textId="094257CB" w:rsidR="007463B9" w:rsidRPr="00784B01" w:rsidRDefault="007463B9" w:rsidP="00784B01">
      <w:pPr>
        <w:rPr>
          <w:color w:val="000000"/>
          <w:sz w:val="20"/>
          <w:szCs w:val="20"/>
        </w:rPr>
      </w:pPr>
    </w:p>
  </w:footnote>
  <w:footnote w:id="14">
    <w:p w14:paraId="104CCC3B" w14:textId="77777777" w:rsidR="007463B9" w:rsidRPr="00BC75DE" w:rsidRDefault="007463B9" w:rsidP="00FF6918">
      <w:pPr>
        <w:pStyle w:val="Tekstprzypisudolnego"/>
        <w:rPr>
          <w:lang w:val="pl-PL"/>
        </w:rPr>
      </w:pPr>
      <w:r>
        <w:rPr>
          <w:rStyle w:val="Odwoanieprzypisudolnego"/>
        </w:rPr>
        <w:footnoteRef/>
      </w:r>
      <w:r>
        <w:rPr>
          <w:color w:val="000000"/>
        </w:rPr>
        <w:t xml:space="preserve"> </w:t>
      </w:r>
      <w:r w:rsidRPr="00BC75DE">
        <w:rPr>
          <w:rFonts w:asciiTheme="minorHAnsi" w:hAnsiTheme="minorHAnsi" w:cstheme="minorHAnsi"/>
          <w:sz w:val="18"/>
          <w:szCs w:val="18"/>
        </w:rPr>
        <w:t xml:space="preserve">While it is recognized that </w:t>
      </w:r>
      <w:r w:rsidRPr="00685247">
        <w:rPr>
          <w:rFonts w:asciiTheme="minorHAnsi" w:hAnsiTheme="minorHAnsi" w:cstheme="minorHAnsi"/>
          <w:sz w:val="18"/>
          <w:szCs w:val="18"/>
        </w:rPr>
        <w:t>electri</w:t>
      </w:r>
      <w:r w:rsidRPr="00BC75DE">
        <w:rPr>
          <w:rFonts w:asciiTheme="minorHAnsi" w:hAnsiTheme="minorHAnsi" w:cstheme="minorHAnsi"/>
          <w:sz w:val="18"/>
          <w:szCs w:val="18"/>
        </w:rPr>
        <w:t xml:space="preserve">c vehicles </w:t>
      </w:r>
      <w:r w:rsidRPr="00685247">
        <w:rPr>
          <w:rFonts w:asciiTheme="minorHAnsi" w:hAnsiTheme="minorHAnsi" w:cstheme="minorHAnsi"/>
          <w:sz w:val="18"/>
          <w:szCs w:val="18"/>
        </w:rPr>
        <w:t>produce noise</w:t>
      </w:r>
      <w:r w:rsidRPr="00BC75DE">
        <w:rPr>
          <w:rFonts w:asciiTheme="minorHAnsi" w:hAnsiTheme="minorHAnsi" w:cstheme="minorHAnsi"/>
          <w:sz w:val="18"/>
          <w:szCs w:val="18"/>
        </w:rPr>
        <w:t xml:space="preserve"> </w:t>
      </w:r>
      <w:r w:rsidRPr="00685247">
        <w:rPr>
          <w:rFonts w:asciiTheme="minorHAnsi" w:hAnsiTheme="minorHAnsi" w:cstheme="minorHAnsi"/>
          <w:sz w:val="18"/>
          <w:szCs w:val="18"/>
        </w:rPr>
        <w:t xml:space="preserve">those are assumed to be omitted for the pruposes of the CBA assessment until relevant literature could become applicable (currently, ECT Handbook 2019 </w:t>
      </w:r>
      <w:r>
        <w:rPr>
          <w:rFonts w:asciiTheme="minorHAnsi" w:hAnsiTheme="minorHAnsi" w:cstheme="minorHAnsi"/>
          <w:sz w:val="18"/>
          <w:szCs w:val="18"/>
        </w:rPr>
        <w:t>does</w:t>
      </w:r>
      <w:r w:rsidRPr="00685247">
        <w:rPr>
          <w:rFonts w:asciiTheme="minorHAnsi" w:hAnsiTheme="minorHAnsi" w:cstheme="minorHAnsi"/>
          <w:sz w:val="18"/>
          <w:szCs w:val="18"/>
        </w:rPr>
        <w:t xml:space="preserve"> not provid</w:t>
      </w:r>
      <w:r>
        <w:rPr>
          <w:rFonts w:asciiTheme="minorHAnsi" w:hAnsiTheme="minorHAnsi" w:cstheme="minorHAnsi"/>
          <w:sz w:val="18"/>
          <w:szCs w:val="18"/>
        </w:rPr>
        <w:t>e</w:t>
      </w:r>
      <w:r w:rsidRPr="00685247">
        <w:rPr>
          <w:rFonts w:asciiTheme="minorHAnsi" w:hAnsiTheme="minorHAnsi" w:cstheme="minorHAnsi"/>
          <w:sz w:val="18"/>
          <w:szCs w:val="18"/>
        </w:rPr>
        <w:t xml:space="preserve"> related unit costs). </w:t>
      </w:r>
      <w:r w:rsidRPr="00BC75DE">
        <w:rPr>
          <w:rStyle w:val="jlqj4b"/>
          <w:rFonts w:asciiTheme="minorHAnsi" w:hAnsiTheme="minorHAnsi" w:cstheme="minorHAnsi"/>
          <w:color w:val="000000"/>
          <w:sz w:val="18"/>
          <w:szCs w:val="18"/>
          <w:lang w:val="pl-PL"/>
        </w:rPr>
        <w:t xml:space="preserve">Oczywiste jest, że pojazdy elektryczne są także źródłem </w:t>
      </w:r>
      <w:r w:rsidRPr="00FF6918">
        <w:rPr>
          <w:rStyle w:val="jlqj4b"/>
          <w:rFonts w:asciiTheme="minorHAnsi" w:hAnsiTheme="minorHAnsi" w:cstheme="minorHAnsi"/>
          <w:color w:val="000000"/>
          <w:sz w:val="18"/>
          <w:szCs w:val="18"/>
          <w:lang w:val="pl-PL"/>
        </w:rPr>
        <w:t>hałasu, ale dla</w:t>
      </w:r>
      <w:r w:rsidRPr="00BC75DE">
        <w:rPr>
          <w:rStyle w:val="jlqj4b"/>
          <w:rFonts w:asciiTheme="minorHAnsi" w:hAnsiTheme="minorHAnsi" w:cstheme="minorHAnsi"/>
          <w:color w:val="000000"/>
          <w:sz w:val="18"/>
          <w:szCs w:val="18"/>
          <w:lang w:val="pl-PL"/>
        </w:rPr>
        <w:t xml:space="preserve"> uproszczenia zakłada się, że zostanie to pominięte w AKK, do momentu pojawienia się odpowiednich danych w literaturze (obecnie Podręcznik ECT 2019 nie zawiera odpowiednich kosztów jednostkowych</w:t>
      </w:r>
      <w:r>
        <w:rPr>
          <w:rStyle w:val="jlqj4b"/>
          <w:rFonts w:asciiTheme="minorHAnsi" w:hAnsiTheme="minorHAnsi" w:cstheme="minorHAnsi"/>
          <w:color w:val="000000"/>
          <w:sz w:val="18"/>
          <w:szCs w:val="18"/>
          <w:lang w:val="pl-PL"/>
        </w:rPr>
        <w:t>)</w:t>
      </w:r>
      <w:r w:rsidRPr="00BC75DE">
        <w:rPr>
          <w:rStyle w:val="jlqj4b"/>
          <w:rFonts w:asciiTheme="minorHAnsi" w:hAnsiTheme="minorHAnsi" w:cstheme="minorHAnsi"/>
          <w:color w:val="000000"/>
          <w:sz w:val="18"/>
          <w:szCs w:val="18"/>
          <w:lang w:val="pl-PL"/>
        </w:rPr>
        <w:t>.</w:t>
      </w:r>
    </w:p>
    <w:p w14:paraId="04A47386" w14:textId="1B8D218D" w:rsidR="007463B9" w:rsidRPr="00FF6918" w:rsidRDefault="007463B9" w:rsidP="00FF6918">
      <w:pPr>
        <w:pBdr>
          <w:top w:val="nil"/>
          <w:left w:val="nil"/>
          <w:bottom w:val="nil"/>
          <w:right w:val="nil"/>
          <w:between w:val="nil"/>
        </w:pBdr>
        <w:spacing w:before="120"/>
        <w:rPr>
          <w:color w:val="000000"/>
          <w:sz w:val="20"/>
          <w:szCs w:val="20"/>
        </w:rPr>
      </w:pPr>
    </w:p>
  </w:footnote>
  <w:footnote w:id="15">
    <w:p w14:paraId="368BCF26" w14:textId="77777777" w:rsidR="007463B9" w:rsidRDefault="007463B9" w:rsidP="00ED6E07">
      <w:pPr>
        <w:rPr>
          <w:rFonts w:asciiTheme="minorHAnsi" w:hAnsiTheme="minorHAnsi" w:cstheme="minorHAnsi"/>
          <w:sz w:val="16"/>
          <w:szCs w:val="16"/>
          <w:lang w:val="en-GB"/>
        </w:rPr>
      </w:pPr>
      <w:r>
        <w:rPr>
          <w:rStyle w:val="Odwoanieprzypisudolnego"/>
        </w:rPr>
        <w:footnoteRef/>
      </w:r>
      <w:r w:rsidRPr="00ED6E07">
        <w:rPr>
          <w:rFonts w:ascii="Calibri" w:eastAsia="Calibri" w:hAnsi="Calibri" w:cs="Calibri"/>
          <w:sz w:val="16"/>
          <w:szCs w:val="16"/>
          <w:lang w:val="en-US"/>
        </w:rPr>
        <w:t xml:space="preserve"> </w:t>
      </w:r>
      <w:r w:rsidRPr="009D46C0">
        <w:rPr>
          <w:rFonts w:asciiTheme="minorHAnsi" w:hAnsiTheme="minorHAnsi" w:cstheme="minorHAnsi"/>
          <w:sz w:val="16"/>
          <w:szCs w:val="16"/>
          <w:lang w:val="en-GB"/>
        </w:rPr>
        <w:t>It is crucial to maintain coherence and convert all values to real values for the assumed reference year. Moreover, as a matter of principle, indexation is not applied to flows incurred before the reference year, unless domestic regulations provide for otherwise. This means that i.e. capital expenditure incurred before the reference year, for which real values are presented, will not be subject to indexation upwards and will be recognised in the nominal amount in the first year of the analysis</w:t>
      </w:r>
      <w:r w:rsidRPr="007B1768">
        <w:rPr>
          <w:rFonts w:asciiTheme="minorHAnsi" w:hAnsiTheme="minorHAnsi" w:cstheme="minorHAnsi"/>
          <w:sz w:val="16"/>
          <w:szCs w:val="16"/>
          <w:lang w:val="en-GB"/>
        </w:rPr>
        <w:t>.</w:t>
      </w:r>
      <w:r>
        <w:rPr>
          <w:rFonts w:asciiTheme="minorHAnsi" w:hAnsiTheme="minorHAnsi" w:cstheme="minorHAnsi"/>
          <w:sz w:val="16"/>
          <w:szCs w:val="16"/>
          <w:lang w:val="en-GB"/>
        </w:rPr>
        <w:t xml:space="preserve"> </w:t>
      </w:r>
    </w:p>
    <w:p w14:paraId="2C96A492" w14:textId="77777777" w:rsidR="007463B9" w:rsidRPr="00371A33" w:rsidRDefault="007463B9" w:rsidP="00ED6E07">
      <w:pPr>
        <w:rPr>
          <w:rStyle w:val="jlqj4b"/>
          <w:rFonts w:asciiTheme="minorHAnsi" w:hAnsiTheme="minorHAnsi" w:cstheme="minorHAnsi"/>
          <w:color w:val="000000"/>
          <w:sz w:val="16"/>
          <w:szCs w:val="16"/>
        </w:rPr>
      </w:pPr>
      <w:r w:rsidRPr="007B1768">
        <w:rPr>
          <w:rStyle w:val="jlqj4b"/>
          <w:rFonts w:asciiTheme="minorHAnsi" w:hAnsiTheme="minorHAnsi" w:cstheme="minorHAnsi"/>
          <w:color w:val="000000"/>
          <w:sz w:val="16"/>
          <w:szCs w:val="16"/>
        </w:rPr>
        <w:t>Kluczowe jest zachowanie sp</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jno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i przeliczenie wszystkich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na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rzeczywiste dla za</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o</w:t>
      </w:r>
      <w:r w:rsidRPr="007B1768">
        <w:rPr>
          <w:rStyle w:val="jlqj4b"/>
          <w:rFonts w:asciiTheme="minorHAnsi" w:hAnsiTheme="minorHAnsi" w:cstheme="minorHAnsi" w:hint="eastAsia"/>
          <w:color w:val="000000"/>
          <w:sz w:val="16"/>
          <w:szCs w:val="16"/>
        </w:rPr>
        <w:t>ż</w:t>
      </w:r>
      <w:r w:rsidRPr="007B1768">
        <w:rPr>
          <w:rStyle w:val="jlqj4b"/>
          <w:rFonts w:asciiTheme="minorHAnsi" w:hAnsiTheme="minorHAnsi" w:cstheme="minorHAnsi"/>
          <w:color w:val="000000"/>
          <w:sz w:val="16"/>
          <w:szCs w:val="16"/>
        </w:rPr>
        <w:t>onego roku</w:t>
      </w:r>
      <w:r>
        <w:rPr>
          <w:rStyle w:val="jlqj4b"/>
          <w:rFonts w:asciiTheme="minorHAnsi" w:hAnsiTheme="minorHAnsi" w:cstheme="minorHAnsi"/>
          <w:color w:val="000000"/>
          <w:sz w:val="16"/>
          <w:szCs w:val="16"/>
        </w:rPr>
        <w:t xml:space="preserve"> odniesienia</w:t>
      </w:r>
      <w:r w:rsidRPr="007B1768">
        <w:rPr>
          <w:rStyle w:val="jlqj4b"/>
          <w:rFonts w:asciiTheme="minorHAnsi" w:hAnsiTheme="minorHAnsi" w:cstheme="minorHAnsi"/>
          <w:color w:val="000000"/>
          <w:sz w:val="16"/>
          <w:szCs w:val="16"/>
        </w:rPr>
        <w:t>.</w:t>
      </w:r>
      <w:r w:rsidRPr="007B1768">
        <w:rPr>
          <w:rFonts w:asciiTheme="minorHAnsi" w:hAnsiTheme="minorHAnsi" w:cstheme="minorHAnsi"/>
          <w:color w:val="000000"/>
          <w:sz w:val="16"/>
          <w:szCs w:val="16"/>
        </w:rPr>
        <w:t xml:space="preserve"> </w:t>
      </w:r>
      <w:r w:rsidRPr="007B1768">
        <w:rPr>
          <w:rStyle w:val="jlqj4b"/>
          <w:rFonts w:asciiTheme="minorHAnsi" w:hAnsiTheme="minorHAnsi" w:cstheme="minorHAnsi"/>
          <w:color w:val="000000"/>
          <w:sz w:val="16"/>
          <w:szCs w:val="16"/>
        </w:rPr>
        <w:t>Ponadto, co do zasady, indeksacji nie stosuje si</w:t>
      </w:r>
      <w:r w:rsidRPr="007B1768">
        <w:rPr>
          <w:rStyle w:val="jlqj4b"/>
          <w:rFonts w:asciiTheme="minorHAnsi" w:hAnsiTheme="minorHAnsi" w:cstheme="minorHAnsi" w:hint="eastAsia"/>
          <w:color w:val="000000"/>
          <w:sz w:val="16"/>
          <w:szCs w:val="16"/>
        </w:rPr>
        <w:t>ę</w:t>
      </w:r>
      <w:r w:rsidRPr="007B1768">
        <w:rPr>
          <w:rStyle w:val="jlqj4b"/>
          <w:rFonts w:asciiTheme="minorHAnsi" w:hAnsiTheme="minorHAnsi" w:cstheme="minorHAnsi"/>
          <w:color w:val="000000"/>
          <w:sz w:val="16"/>
          <w:szCs w:val="16"/>
        </w:rPr>
        <w:t xml:space="preserve"> do przep</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yw</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w powsta</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 xml:space="preserve">ych przed rokiem referencyjnym, chyba </w:t>
      </w:r>
      <w:r w:rsidRPr="007B1768">
        <w:rPr>
          <w:rStyle w:val="jlqj4b"/>
          <w:rFonts w:asciiTheme="minorHAnsi" w:hAnsiTheme="minorHAnsi" w:cstheme="minorHAnsi" w:hint="eastAsia"/>
          <w:color w:val="000000"/>
          <w:sz w:val="16"/>
          <w:szCs w:val="16"/>
        </w:rPr>
        <w:t>ż</w:t>
      </w:r>
      <w:r w:rsidRPr="007B1768">
        <w:rPr>
          <w:rStyle w:val="jlqj4b"/>
          <w:rFonts w:asciiTheme="minorHAnsi" w:hAnsiTheme="minorHAnsi" w:cstheme="minorHAnsi"/>
          <w:color w:val="000000"/>
          <w:sz w:val="16"/>
          <w:szCs w:val="16"/>
        </w:rPr>
        <w:t>e przepisy krajowe stanowi</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inaczej.</w:t>
      </w:r>
      <w:r w:rsidRPr="007B1768">
        <w:rPr>
          <w:rFonts w:asciiTheme="minorHAnsi" w:hAnsiTheme="minorHAnsi" w:cstheme="minorHAnsi"/>
          <w:color w:val="000000"/>
          <w:sz w:val="16"/>
          <w:szCs w:val="16"/>
        </w:rPr>
        <w:t xml:space="preserve"> </w:t>
      </w:r>
      <w:r w:rsidRPr="007B1768">
        <w:rPr>
          <w:rStyle w:val="jlqj4b"/>
          <w:rFonts w:asciiTheme="minorHAnsi" w:hAnsiTheme="minorHAnsi" w:cstheme="minorHAnsi"/>
          <w:color w:val="000000"/>
          <w:sz w:val="16"/>
          <w:szCs w:val="16"/>
        </w:rPr>
        <w:t xml:space="preserve">Oznacza to, </w:t>
      </w:r>
      <w:r w:rsidRPr="007B1768">
        <w:rPr>
          <w:rStyle w:val="jlqj4b"/>
          <w:rFonts w:asciiTheme="minorHAnsi" w:hAnsiTheme="minorHAnsi" w:cstheme="minorHAnsi" w:hint="eastAsia"/>
          <w:color w:val="000000"/>
          <w:sz w:val="16"/>
          <w:szCs w:val="16"/>
        </w:rPr>
        <w:t>ż</w:t>
      </w:r>
      <w:r w:rsidRPr="007B1768">
        <w:rPr>
          <w:rStyle w:val="jlqj4b"/>
          <w:rFonts w:asciiTheme="minorHAnsi" w:hAnsiTheme="minorHAnsi" w:cstheme="minorHAnsi"/>
          <w:color w:val="000000"/>
          <w:sz w:val="16"/>
          <w:szCs w:val="16"/>
        </w:rPr>
        <w:t>e np. nak</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ady inwestycyjne poniesione przed rokiem</w:t>
      </w:r>
      <w:r>
        <w:rPr>
          <w:rStyle w:val="jlqj4b"/>
          <w:rFonts w:asciiTheme="minorHAnsi" w:hAnsiTheme="minorHAnsi" w:cstheme="minorHAnsi"/>
          <w:color w:val="000000"/>
          <w:sz w:val="16"/>
          <w:szCs w:val="16"/>
        </w:rPr>
        <w:t xml:space="preserve"> odniesienia</w:t>
      </w:r>
      <w:r w:rsidRPr="007B1768">
        <w:rPr>
          <w:rStyle w:val="jlqj4b"/>
          <w:rFonts w:asciiTheme="minorHAnsi" w:hAnsiTheme="minorHAnsi" w:cstheme="minorHAnsi"/>
          <w:color w:val="000000"/>
          <w:sz w:val="16"/>
          <w:szCs w:val="16"/>
        </w:rPr>
        <w:t>, dla kt</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rych prezentowane s</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rzeczywiste, nie b</w:t>
      </w:r>
      <w:r w:rsidRPr="007B1768">
        <w:rPr>
          <w:rStyle w:val="jlqj4b"/>
          <w:rFonts w:asciiTheme="minorHAnsi" w:hAnsiTheme="minorHAnsi" w:cstheme="minorHAnsi" w:hint="eastAsia"/>
          <w:color w:val="000000"/>
          <w:sz w:val="16"/>
          <w:szCs w:val="16"/>
        </w:rPr>
        <w:t>ę</w:t>
      </w:r>
      <w:r w:rsidRPr="007B1768">
        <w:rPr>
          <w:rStyle w:val="jlqj4b"/>
          <w:rFonts w:asciiTheme="minorHAnsi" w:hAnsiTheme="minorHAnsi" w:cstheme="minorHAnsi"/>
          <w:color w:val="000000"/>
          <w:sz w:val="16"/>
          <w:szCs w:val="16"/>
        </w:rPr>
        <w:t>d</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podlega</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y waloryzacji w g</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r</w:t>
      </w:r>
      <w:r w:rsidRPr="007B1768">
        <w:rPr>
          <w:rStyle w:val="jlqj4b"/>
          <w:rFonts w:asciiTheme="minorHAnsi" w:hAnsiTheme="minorHAnsi" w:cstheme="minorHAnsi" w:hint="eastAsia"/>
          <w:color w:val="000000"/>
          <w:sz w:val="16"/>
          <w:szCs w:val="16"/>
        </w:rPr>
        <w:t>ę</w:t>
      </w:r>
      <w:r w:rsidRPr="007B1768">
        <w:rPr>
          <w:rStyle w:val="jlqj4b"/>
          <w:rFonts w:asciiTheme="minorHAnsi" w:hAnsiTheme="minorHAnsi" w:cstheme="minorHAnsi"/>
          <w:color w:val="000000"/>
          <w:sz w:val="16"/>
          <w:szCs w:val="16"/>
        </w:rPr>
        <w:t xml:space="preserve"> i zostan</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w:t>
      </w:r>
      <w:r>
        <w:rPr>
          <w:rStyle w:val="jlqj4b"/>
          <w:rFonts w:asciiTheme="minorHAnsi" w:hAnsiTheme="minorHAnsi" w:cstheme="minorHAnsi"/>
          <w:color w:val="000000"/>
          <w:sz w:val="16"/>
          <w:szCs w:val="16"/>
        </w:rPr>
        <w:t>przedstawione</w:t>
      </w:r>
      <w:r w:rsidRPr="007B1768">
        <w:rPr>
          <w:rStyle w:val="jlqj4b"/>
          <w:rFonts w:asciiTheme="minorHAnsi" w:hAnsiTheme="minorHAnsi" w:cstheme="minorHAnsi"/>
          <w:color w:val="000000"/>
          <w:sz w:val="16"/>
          <w:szCs w:val="16"/>
        </w:rPr>
        <w:t xml:space="preserve"> w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nominalnej w pierwszym roku analizy</w:t>
      </w:r>
      <w:r>
        <w:rPr>
          <w:rStyle w:val="jlqj4b"/>
          <w:rFonts w:asciiTheme="minorHAnsi" w:hAnsiTheme="minorHAnsi" w:cstheme="minorHAnsi"/>
          <w:color w:val="000000"/>
          <w:sz w:val="16"/>
          <w:szCs w:val="16"/>
        </w:rPr>
        <w:t>.</w:t>
      </w:r>
    </w:p>
    <w:p w14:paraId="2DF8CB7B" w14:textId="4D8D087F" w:rsidR="007463B9" w:rsidRPr="00ED6E07" w:rsidRDefault="007463B9" w:rsidP="00ED6E07">
      <w:pPr>
        <w:rPr>
          <w:rFonts w:ascii="Calibri" w:eastAsia="Calibri" w:hAnsi="Calibri" w:cs="Calibri"/>
          <w:color w:val="000000"/>
          <w:sz w:val="16"/>
          <w:szCs w:val="16"/>
        </w:rPr>
      </w:pPr>
    </w:p>
  </w:footnote>
  <w:footnote w:id="16">
    <w:p w14:paraId="61DB7DCD" w14:textId="77777777" w:rsidR="007463B9" w:rsidRPr="00371A33" w:rsidRDefault="007463B9" w:rsidP="00B250FD">
      <w:pPr>
        <w:spacing w:before="9" w:line="250" w:lineRule="auto"/>
        <w:ind w:right="1649"/>
        <w:rPr>
          <w:rFonts w:asciiTheme="minorHAnsi" w:hAnsiTheme="minorHAnsi"/>
          <w:color w:val="231F20"/>
          <w:sz w:val="16"/>
          <w:szCs w:val="16"/>
        </w:rPr>
      </w:pPr>
      <w:r w:rsidRPr="00B250FD">
        <w:rPr>
          <w:rStyle w:val="Odwoanieprzypisudolnego"/>
          <w:rFonts w:asciiTheme="minorHAnsi" w:hAnsiTheme="minorHAnsi" w:cstheme="minorHAnsi"/>
          <w:sz w:val="20"/>
        </w:rPr>
        <w:footnoteRef/>
      </w:r>
      <w:r w:rsidRPr="00B250FD">
        <w:t xml:space="preserve"> </w:t>
      </w:r>
      <w:r w:rsidRPr="00295C1F">
        <w:rPr>
          <w:rFonts w:asciiTheme="minorHAnsi" w:hAnsiTheme="minorHAnsi"/>
          <w:color w:val="231F20"/>
          <w:sz w:val="16"/>
          <w:szCs w:val="16"/>
        </w:rPr>
        <w:t>Je</w:t>
      </w:r>
      <w:r w:rsidRPr="00371A33">
        <w:rPr>
          <w:rFonts w:asciiTheme="minorHAnsi" w:hAnsiTheme="minorHAnsi"/>
          <w:color w:val="231F20"/>
          <w:sz w:val="16"/>
          <w:szCs w:val="16"/>
        </w:rPr>
        <w:t>ż</w:t>
      </w:r>
      <w:r w:rsidRPr="00295C1F">
        <w:rPr>
          <w:rFonts w:asciiTheme="minorHAnsi" w:hAnsiTheme="minorHAnsi"/>
          <w:color w:val="231F20"/>
          <w:sz w:val="16"/>
          <w:szCs w:val="16"/>
        </w:rPr>
        <w:t xml:space="preserve">eli </w:t>
      </w:r>
      <w:r>
        <w:rPr>
          <w:rFonts w:asciiTheme="minorHAnsi" w:hAnsiTheme="minorHAnsi"/>
          <w:color w:val="231F20"/>
          <w:sz w:val="16"/>
          <w:szCs w:val="16"/>
        </w:rPr>
        <w:t>B</w:t>
      </w:r>
      <w:r w:rsidRPr="00295C1F">
        <w:rPr>
          <w:rFonts w:asciiTheme="minorHAnsi" w:hAnsiTheme="minorHAnsi"/>
          <w:color w:val="231F20"/>
          <w:sz w:val="16"/>
          <w:szCs w:val="16"/>
        </w:rPr>
        <w:t>ene</w:t>
      </w:r>
      <w:r w:rsidRPr="00371A33">
        <w:rPr>
          <w:rFonts w:asciiTheme="minorHAnsi" w:hAnsiTheme="minorHAnsi"/>
          <w:color w:val="231F20"/>
          <w:sz w:val="16"/>
          <w:szCs w:val="16"/>
        </w:rPr>
        <w:t>f</w:t>
      </w:r>
      <w:r w:rsidRPr="00295C1F">
        <w:rPr>
          <w:rFonts w:asciiTheme="minorHAnsi" w:hAnsiTheme="minorHAnsi"/>
          <w:color w:val="231F20"/>
          <w:sz w:val="16"/>
          <w:szCs w:val="16"/>
        </w:rPr>
        <w:t>i</w:t>
      </w:r>
      <w:r w:rsidRPr="00371A33">
        <w:rPr>
          <w:rFonts w:asciiTheme="minorHAnsi" w:hAnsiTheme="minorHAnsi"/>
          <w:color w:val="231F20"/>
          <w:sz w:val="16"/>
          <w:szCs w:val="16"/>
        </w:rPr>
        <w:t>c</w:t>
      </w:r>
      <w:r w:rsidRPr="00295C1F">
        <w:rPr>
          <w:rFonts w:asciiTheme="minorHAnsi" w:hAnsiTheme="minorHAnsi"/>
          <w:color w:val="231F20"/>
          <w:sz w:val="16"/>
          <w:szCs w:val="16"/>
        </w:rPr>
        <w:t>jent</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jest</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płatnikiem</w:t>
      </w:r>
      <w:r w:rsidRPr="00371A33">
        <w:rPr>
          <w:rFonts w:asciiTheme="minorHAnsi" w:hAnsiTheme="minorHAnsi"/>
          <w:color w:val="231F20"/>
          <w:sz w:val="16"/>
          <w:szCs w:val="16"/>
        </w:rPr>
        <w:t xml:space="preserve"> VAT- w </w:t>
      </w:r>
      <w:r w:rsidRPr="00295C1F">
        <w:rPr>
          <w:rFonts w:asciiTheme="minorHAnsi" w:hAnsiTheme="minorHAnsi"/>
          <w:color w:val="231F20"/>
          <w:sz w:val="16"/>
          <w:szCs w:val="16"/>
        </w:rPr>
        <w:t>analizie</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należy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uwzględnić ce</w:t>
      </w:r>
      <w:r w:rsidRPr="00371A33">
        <w:rPr>
          <w:rFonts w:asciiTheme="minorHAnsi" w:hAnsiTheme="minorHAnsi"/>
          <w:color w:val="231F20"/>
          <w:sz w:val="16"/>
          <w:szCs w:val="16"/>
        </w:rPr>
        <w:t>n</w:t>
      </w:r>
      <w:r w:rsidRPr="00295C1F">
        <w:rPr>
          <w:rFonts w:asciiTheme="minorHAnsi" w:hAnsiTheme="minorHAnsi"/>
          <w:color w:val="231F20"/>
          <w:sz w:val="16"/>
          <w:szCs w:val="16"/>
        </w:rPr>
        <w:t>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n</w:t>
      </w:r>
      <w:r w:rsidRPr="00371A33">
        <w:rPr>
          <w:rFonts w:asciiTheme="minorHAnsi" w:hAnsiTheme="minorHAnsi"/>
          <w:color w:val="231F20"/>
          <w:sz w:val="16"/>
          <w:szCs w:val="16"/>
        </w:rPr>
        <w:t>e</w:t>
      </w:r>
      <w:r w:rsidRPr="00295C1F">
        <w:rPr>
          <w:rFonts w:asciiTheme="minorHAnsi" w:hAnsiTheme="minorHAnsi"/>
          <w:color w:val="231F20"/>
          <w:sz w:val="16"/>
          <w:szCs w:val="16"/>
        </w:rPr>
        <w:t>t</w:t>
      </w:r>
      <w:r w:rsidRPr="00371A33">
        <w:rPr>
          <w:rFonts w:asciiTheme="minorHAnsi" w:hAnsiTheme="minorHAnsi"/>
          <w:color w:val="231F20"/>
          <w:sz w:val="16"/>
          <w:szCs w:val="16"/>
        </w:rPr>
        <w:t>t</w:t>
      </w:r>
      <w:r w:rsidRPr="00295C1F">
        <w:rPr>
          <w:rFonts w:asciiTheme="minorHAnsi" w:hAnsiTheme="minorHAnsi"/>
          <w:color w:val="231F20"/>
          <w:sz w:val="16"/>
          <w:szCs w:val="16"/>
        </w:rPr>
        <w:t>o,</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je</w:t>
      </w:r>
      <w:r w:rsidRPr="00371A33">
        <w:rPr>
          <w:rFonts w:asciiTheme="minorHAnsi" w:hAnsiTheme="minorHAnsi"/>
          <w:color w:val="231F20"/>
          <w:sz w:val="16"/>
          <w:szCs w:val="16"/>
        </w:rPr>
        <w:t>ż</w:t>
      </w:r>
      <w:r w:rsidRPr="00295C1F">
        <w:rPr>
          <w:rFonts w:asciiTheme="minorHAnsi" w:hAnsiTheme="minorHAnsi"/>
          <w:color w:val="231F20"/>
          <w:sz w:val="16"/>
          <w:szCs w:val="16"/>
        </w:rPr>
        <w:t xml:space="preserve">eli </w:t>
      </w:r>
      <w:r>
        <w:rPr>
          <w:rFonts w:asciiTheme="minorHAnsi" w:hAnsiTheme="minorHAnsi"/>
          <w:color w:val="231F20"/>
          <w:sz w:val="16"/>
          <w:szCs w:val="16"/>
        </w:rPr>
        <w:t>B</w:t>
      </w:r>
      <w:r w:rsidRPr="00295C1F">
        <w:rPr>
          <w:rFonts w:asciiTheme="minorHAnsi" w:hAnsiTheme="minorHAnsi"/>
          <w:color w:val="231F20"/>
          <w:sz w:val="16"/>
          <w:szCs w:val="16"/>
        </w:rPr>
        <w:t>ene</w:t>
      </w:r>
      <w:r w:rsidRPr="00371A33">
        <w:rPr>
          <w:rFonts w:asciiTheme="minorHAnsi" w:hAnsiTheme="minorHAnsi"/>
          <w:color w:val="231F20"/>
          <w:sz w:val="16"/>
          <w:szCs w:val="16"/>
        </w:rPr>
        <w:t>f</w:t>
      </w:r>
      <w:r w:rsidRPr="00295C1F">
        <w:rPr>
          <w:rFonts w:asciiTheme="minorHAnsi" w:hAnsiTheme="minorHAnsi"/>
          <w:color w:val="231F20"/>
          <w:sz w:val="16"/>
          <w:szCs w:val="16"/>
        </w:rPr>
        <w:t>i</w:t>
      </w:r>
      <w:r w:rsidRPr="00371A33">
        <w:rPr>
          <w:rFonts w:asciiTheme="minorHAnsi" w:hAnsiTheme="minorHAnsi"/>
          <w:color w:val="231F20"/>
          <w:sz w:val="16"/>
          <w:szCs w:val="16"/>
        </w:rPr>
        <w:t>c</w:t>
      </w:r>
      <w:r w:rsidRPr="00295C1F">
        <w:rPr>
          <w:rFonts w:asciiTheme="minorHAnsi" w:hAnsiTheme="minorHAnsi"/>
          <w:color w:val="231F20"/>
          <w:sz w:val="16"/>
          <w:szCs w:val="16"/>
        </w:rPr>
        <w:t>jent</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nie</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jest</w:t>
      </w:r>
      <w:r w:rsidRPr="00371A33">
        <w:rPr>
          <w:rFonts w:asciiTheme="minorHAnsi" w:hAnsiTheme="minorHAnsi"/>
          <w:color w:val="231F20"/>
          <w:sz w:val="16"/>
          <w:szCs w:val="16"/>
        </w:rPr>
        <w:t xml:space="preserve"> płatni</w:t>
      </w:r>
      <w:r w:rsidRPr="00295C1F">
        <w:rPr>
          <w:rFonts w:asciiTheme="minorHAnsi" w:hAnsiTheme="minorHAnsi"/>
          <w:color w:val="231F20"/>
          <w:sz w:val="16"/>
          <w:szCs w:val="16"/>
        </w:rPr>
        <w:t>kiem</w:t>
      </w:r>
      <w:r w:rsidRPr="00371A33">
        <w:rPr>
          <w:rFonts w:asciiTheme="minorHAnsi" w:hAnsiTheme="minorHAnsi"/>
          <w:color w:val="231F20"/>
          <w:sz w:val="16"/>
          <w:szCs w:val="16"/>
        </w:rPr>
        <w:t xml:space="preserve"> VAT- </w:t>
      </w:r>
      <w:r w:rsidRPr="00295C1F">
        <w:rPr>
          <w:rFonts w:asciiTheme="minorHAnsi" w:hAnsiTheme="minorHAnsi"/>
          <w:color w:val="231F20"/>
          <w:sz w:val="16"/>
          <w:szCs w:val="16"/>
        </w:rPr>
        <w:t>należy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zas</w:t>
      </w:r>
      <w:r w:rsidRPr="00371A33">
        <w:rPr>
          <w:rFonts w:asciiTheme="minorHAnsi" w:hAnsiTheme="minorHAnsi"/>
          <w:color w:val="231F20"/>
          <w:sz w:val="16"/>
          <w:szCs w:val="16"/>
        </w:rPr>
        <w:t>t</w:t>
      </w:r>
      <w:r w:rsidRPr="00295C1F">
        <w:rPr>
          <w:rFonts w:asciiTheme="minorHAnsi" w:hAnsiTheme="minorHAnsi"/>
          <w:color w:val="231F20"/>
          <w:sz w:val="16"/>
          <w:szCs w:val="16"/>
        </w:rPr>
        <w:t>os</w:t>
      </w:r>
      <w:r w:rsidRPr="00371A33">
        <w:rPr>
          <w:rFonts w:asciiTheme="minorHAnsi" w:hAnsiTheme="minorHAnsi"/>
          <w:color w:val="231F20"/>
          <w:sz w:val="16"/>
          <w:szCs w:val="16"/>
        </w:rPr>
        <w:t>o</w:t>
      </w:r>
      <w:r w:rsidRPr="00295C1F">
        <w:rPr>
          <w:rFonts w:asciiTheme="minorHAnsi" w:hAnsiTheme="minorHAnsi"/>
          <w:color w:val="231F20"/>
          <w:sz w:val="16"/>
          <w:szCs w:val="16"/>
        </w:rPr>
        <w:t>wać</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ce</w:t>
      </w:r>
      <w:r w:rsidRPr="00371A33">
        <w:rPr>
          <w:rFonts w:asciiTheme="minorHAnsi" w:hAnsiTheme="minorHAnsi"/>
          <w:color w:val="231F20"/>
          <w:sz w:val="16"/>
          <w:szCs w:val="16"/>
        </w:rPr>
        <w:t>n</w:t>
      </w:r>
      <w:r w:rsidRPr="00295C1F">
        <w:rPr>
          <w:rFonts w:asciiTheme="minorHAnsi" w:hAnsiTheme="minorHAnsi"/>
          <w:color w:val="231F20"/>
          <w:sz w:val="16"/>
          <w:szCs w:val="16"/>
        </w:rPr>
        <w:t>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b</w:t>
      </w:r>
      <w:r w:rsidRPr="00371A33">
        <w:rPr>
          <w:rFonts w:asciiTheme="minorHAnsi" w:hAnsiTheme="minorHAnsi"/>
          <w:color w:val="231F20"/>
          <w:sz w:val="16"/>
          <w:szCs w:val="16"/>
        </w:rPr>
        <w:t>rutto.</w:t>
      </w:r>
    </w:p>
    <w:p w14:paraId="3C761A8F" w14:textId="77777777" w:rsidR="007463B9" w:rsidRPr="00295C1F" w:rsidRDefault="007463B9" w:rsidP="00B250FD">
      <w:pPr>
        <w:spacing w:before="9" w:line="250" w:lineRule="auto"/>
        <w:ind w:right="1649"/>
        <w:rPr>
          <w:rFonts w:asciiTheme="minorHAnsi" w:hAnsiTheme="minorHAnsi"/>
          <w:sz w:val="16"/>
          <w:szCs w:val="16"/>
          <w:lang w:val="en-GB"/>
        </w:rPr>
      </w:pPr>
      <w:r w:rsidRPr="00295C1F">
        <w:rPr>
          <w:rFonts w:asciiTheme="minorHAnsi" w:hAnsiTheme="minorHAnsi" w:cs="Arial"/>
          <w:sz w:val="16"/>
          <w:szCs w:val="16"/>
        </w:rPr>
        <w:t xml:space="preserve">   </w:t>
      </w:r>
      <w:r w:rsidRPr="00295C1F">
        <w:rPr>
          <w:rFonts w:asciiTheme="minorHAnsi" w:hAnsiTheme="minorHAnsi" w:cs="Arial"/>
          <w:sz w:val="16"/>
          <w:szCs w:val="16"/>
          <w:lang w:val="en-GB"/>
        </w:rPr>
        <w:t>If the Beneficiary is</w:t>
      </w:r>
      <w:r>
        <w:rPr>
          <w:rFonts w:asciiTheme="minorHAnsi" w:hAnsiTheme="minorHAnsi" w:cs="Arial"/>
          <w:sz w:val="16"/>
          <w:szCs w:val="16"/>
          <w:lang w:val="en-GB"/>
        </w:rPr>
        <w:t xml:space="preserve"> a </w:t>
      </w:r>
      <w:r w:rsidRPr="00295C1F">
        <w:rPr>
          <w:rFonts w:asciiTheme="minorHAnsi" w:hAnsiTheme="minorHAnsi" w:cs="Arial"/>
          <w:sz w:val="16"/>
          <w:szCs w:val="16"/>
          <w:lang w:val="en-GB"/>
        </w:rPr>
        <w:t>VAT payer, then one should include net prices in the analysis. If the Beneficiary is not</w:t>
      </w:r>
      <w:r>
        <w:rPr>
          <w:rFonts w:asciiTheme="minorHAnsi" w:hAnsiTheme="minorHAnsi" w:cs="Arial"/>
          <w:sz w:val="16"/>
          <w:szCs w:val="16"/>
          <w:lang w:val="en-GB"/>
        </w:rPr>
        <w:t xml:space="preserve"> a </w:t>
      </w:r>
      <w:r w:rsidRPr="00295C1F">
        <w:rPr>
          <w:rFonts w:asciiTheme="minorHAnsi" w:hAnsiTheme="minorHAnsi" w:cs="Arial"/>
          <w:sz w:val="16"/>
          <w:szCs w:val="16"/>
          <w:lang w:val="en-GB"/>
        </w:rPr>
        <w:t>VAT payer, then one should include gross prices in the analysis.</w:t>
      </w:r>
    </w:p>
    <w:p w14:paraId="4F407FE6" w14:textId="1A8AEEED" w:rsidR="007463B9" w:rsidRPr="00B250FD" w:rsidRDefault="007463B9">
      <w:pPr>
        <w:pStyle w:val="Tekstprzypisudolnego"/>
        <w:rPr>
          <w:lang w:val="en-GB"/>
        </w:rPr>
      </w:pPr>
    </w:p>
  </w:footnote>
  <w:footnote w:id="17">
    <w:p w14:paraId="78174839" w14:textId="3DB069B6" w:rsidR="007463B9" w:rsidRPr="002D634C" w:rsidRDefault="007463B9" w:rsidP="00921721">
      <w:pPr>
        <w:pStyle w:val="Tekstprzypisudolnego"/>
        <w:rPr>
          <w:rFonts w:asciiTheme="minorHAnsi" w:hAnsiTheme="minorHAnsi"/>
          <w:sz w:val="15"/>
          <w:szCs w:val="15"/>
        </w:rPr>
      </w:pPr>
      <w:r w:rsidRPr="00295C1F">
        <w:rPr>
          <w:rStyle w:val="Odwoanieprzypisudolnego"/>
          <w:rFonts w:asciiTheme="minorHAnsi" w:hAnsiTheme="minorHAnsi"/>
        </w:rPr>
        <w:footnoteRef/>
      </w:r>
      <w:r w:rsidRPr="00546818">
        <w:rPr>
          <w:rFonts w:asciiTheme="minorHAnsi" w:hAnsiTheme="minorHAnsi"/>
          <w:lang w:val="pl-PL"/>
        </w:rPr>
        <w:t xml:space="preserve"> </w:t>
      </w:r>
      <w:r w:rsidRPr="00546818">
        <w:rPr>
          <w:rFonts w:asciiTheme="minorHAnsi" w:hAnsiTheme="minorHAnsi"/>
          <w:sz w:val="15"/>
          <w:szCs w:val="15"/>
          <w:lang w:val="pl-PL"/>
        </w:rPr>
        <w:t xml:space="preserve">Przyjęto w zgodzie z ‘’przewodnikiem do analizy kosztów i korzyści projektów inwestycyjnych - </w:t>
      </w:r>
      <w:r w:rsidRPr="00546818">
        <w:rPr>
          <w:rStyle w:val="hps"/>
          <w:rFonts w:asciiTheme="minorHAnsi" w:hAnsiTheme="minorHAnsi"/>
          <w:color w:val="222222"/>
          <w:sz w:val="15"/>
          <w:szCs w:val="15"/>
          <w:lang w:val="pl-PL"/>
        </w:rPr>
        <w:t>Narzędzie</w:t>
      </w:r>
      <w:r w:rsidRPr="00546818">
        <w:rPr>
          <w:rFonts w:asciiTheme="minorHAnsi" w:hAnsiTheme="minorHAnsi"/>
          <w:color w:val="222222"/>
          <w:sz w:val="15"/>
          <w:szCs w:val="15"/>
          <w:lang w:val="pl-PL"/>
        </w:rPr>
        <w:t xml:space="preserve"> </w:t>
      </w:r>
      <w:r w:rsidRPr="00546818">
        <w:rPr>
          <w:rStyle w:val="hps"/>
          <w:rFonts w:asciiTheme="minorHAnsi" w:hAnsiTheme="minorHAnsi"/>
          <w:color w:val="222222"/>
          <w:sz w:val="15"/>
          <w:szCs w:val="15"/>
          <w:lang w:val="pl-PL"/>
        </w:rPr>
        <w:t>oceny ekonomicznej</w:t>
      </w:r>
      <w:r w:rsidRPr="00546818">
        <w:rPr>
          <w:rFonts w:asciiTheme="minorHAnsi" w:hAnsiTheme="minorHAnsi"/>
          <w:color w:val="222222"/>
          <w:sz w:val="15"/>
          <w:szCs w:val="15"/>
          <w:lang w:val="pl-PL"/>
        </w:rPr>
        <w:t xml:space="preserve"> </w:t>
      </w:r>
      <w:r w:rsidRPr="00546818">
        <w:rPr>
          <w:rStyle w:val="hps"/>
          <w:rFonts w:asciiTheme="minorHAnsi" w:hAnsiTheme="minorHAnsi"/>
          <w:color w:val="222222"/>
          <w:sz w:val="15"/>
          <w:szCs w:val="15"/>
          <w:lang w:val="pl-PL"/>
        </w:rPr>
        <w:t>dla polityki spójności 2014-2020</w:t>
      </w:r>
      <w:r w:rsidRPr="00546818">
        <w:rPr>
          <w:rFonts w:asciiTheme="minorHAnsi" w:hAnsiTheme="minorHAnsi"/>
          <w:sz w:val="15"/>
          <w:szCs w:val="15"/>
          <w:lang w:val="pl-PL"/>
        </w:rPr>
        <w:t>”</w:t>
      </w:r>
      <w:r>
        <w:rPr>
          <w:rFonts w:asciiTheme="minorHAnsi" w:hAnsiTheme="minorHAnsi"/>
          <w:sz w:val="15"/>
          <w:szCs w:val="15"/>
          <w:lang w:val="pl-PL"/>
        </w:rPr>
        <w:t xml:space="preserve"> </w:t>
      </w:r>
      <w:r w:rsidRPr="00546818">
        <w:rPr>
          <w:rFonts w:asciiTheme="minorHAnsi" w:hAnsiTheme="minorHAnsi"/>
          <w:sz w:val="15"/>
          <w:szCs w:val="15"/>
          <w:lang w:val="pl-PL"/>
        </w:rPr>
        <w:t>rekomendującym elastyczność do PKB per capita na poziomie 0</w:t>
      </w:r>
      <w:r>
        <w:rPr>
          <w:rFonts w:asciiTheme="minorHAnsi" w:hAnsiTheme="minorHAnsi"/>
          <w:sz w:val="15"/>
          <w:szCs w:val="15"/>
          <w:lang w:val="pl-PL"/>
        </w:rPr>
        <w:t>,</w:t>
      </w:r>
      <w:r w:rsidRPr="00546818">
        <w:rPr>
          <w:rFonts w:asciiTheme="minorHAnsi" w:hAnsiTheme="minorHAnsi"/>
          <w:sz w:val="15"/>
          <w:szCs w:val="15"/>
          <w:lang w:val="pl-PL"/>
        </w:rPr>
        <w:t>7-1</w:t>
      </w:r>
      <w:r>
        <w:rPr>
          <w:rFonts w:asciiTheme="minorHAnsi" w:hAnsiTheme="minorHAnsi"/>
          <w:sz w:val="15"/>
          <w:szCs w:val="15"/>
          <w:lang w:val="pl-PL"/>
        </w:rPr>
        <w:t>,0.</w:t>
      </w:r>
      <w:r w:rsidRPr="00546818">
        <w:rPr>
          <w:rFonts w:asciiTheme="minorHAnsi" w:hAnsiTheme="minorHAnsi"/>
          <w:sz w:val="15"/>
          <w:szCs w:val="15"/>
          <w:lang w:val="pl-PL"/>
        </w:rPr>
        <w:t xml:space="preserve"> </w:t>
      </w:r>
      <w:r w:rsidRPr="00546818">
        <w:rPr>
          <w:rFonts w:asciiTheme="minorHAnsi" w:hAnsiTheme="minorHAnsi"/>
          <w:sz w:val="15"/>
          <w:szCs w:val="15"/>
          <w:lang w:val="en-GB"/>
        </w:rPr>
        <w:t>In</w:t>
      </w:r>
      <w:r>
        <w:rPr>
          <w:rFonts w:asciiTheme="minorHAnsi" w:hAnsiTheme="minorHAnsi"/>
          <w:sz w:val="15"/>
          <w:szCs w:val="15"/>
          <w:lang w:val="en-GB"/>
        </w:rPr>
        <w:t> </w:t>
      </w:r>
      <w:r w:rsidRPr="00546818">
        <w:rPr>
          <w:rFonts w:asciiTheme="minorHAnsi" w:hAnsiTheme="minorHAnsi"/>
          <w:sz w:val="15"/>
          <w:szCs w:val="15"/>
          <w:lang w:val="en-GB"/>
        </w:rPr>
        <w:t>accordance with “Guide to Cost-benefit Analysis of Investment Projects- Economic appraisal tool for Cohesion Policy 2014-2020” recommending inter-temporal elasticity to GDP per capita growth of 0.7 to 1.0.</w:t>
      </w:r>
    </w:p>
  </w:footnote>
  <w:footnote w:id="18">
    <w:p w14:paraId="53BE0B1E" w14:textId="60FD12A8" w:rsidR="007463B9" w:rsidRDefault="007463B9" w:rsidP="00921721">
      <w:pPr>
        <w:rPr>
          <w:rFonts w:asciiTheme="minorHAnsi" w:hAnsiTheme="minorHAnsi" w:cstheme="minorHAnsi"/>
          <w:sz w:val="18"/>
          <w:szCs w:val="18"/>
          <w:lang w:val="en-US"/>
        </w:rPr>
      </w:pPr>
      <w:r>
        <w:rPr>
          <w:rStyle w:val="Odwoanieprzypisudolnego"/>
        </w:rPr>
        <w:footnoteRef/>
      </w:r>
      <w:r w:rsidRPr="001162A3">
        <w:rPr>
          <w:lang w:val="en-US"/>
        </w:rPr>
        <w:t xml:space="preserve"> </w:t>
      </w:r>
      <w:r w:rsidRPr="00D04EFD">
        <w:rPr>
          <w:rFonts w:asciiTheme="minorHAnsi" w:hAnsiTheme="minorHAnsi" w:cstheme="minorHAnsi"/>
          <w:sz w:val="18"/>
          <w:szCs w:val="18"/>
          <w:lang w:val="en-US"/>
        </w:rPr>
        <w:t>Eurostat, Electricity prices components for non-household consumers - annual data (from 2007 onwards), It considers: cost of energy and supply (excluding taxes); for non-household consumers; weighted average fo</w:t>
      </w:r>
      <w:r w:rsidRPr="00506A2F">
        <w:rPr>
          <w:rFonts w:asciiTheme="minorHAnsi" w:hAnsiTheme="minorHAnsi" w:cstheme="minorHAnsi"/>
          <w:sz w:val="18"/>
          <w:szCs w:val="18"/>
          <w:lang w:val="en-US"/>
        </w:rPr>
        <w:t xml:space="preserve">r all bands of consumption; price 2019. </w:t>
      </w:r>
      <w:r w:rsidRPr="00506A2F">
        <w:rPr>
          <w:rFonts w:asciiTheme="minorHAnsi" w:hAnsiTheme="minorHAnsi" w:cstheme="minorHAnsi"/>
          <w:sz w:val="18"/>
          <w:szCs w:val="18"/>
        </w:rPr>
        <w:fldChar w:fldCharType="begin"/>
      </w:r>
      <w:r w:rsidRPr="00506A2F">
        <w:rPr>
          <w:rFonts w:asciiTheme="minorHAnsi" w:hAnsiTheme="minorHAnsi" w:cstheme="minorHAnsi"/>
          <w:sz w:val="18"/>
          <w:szCs w:val="18"/>
          <w:lang w:val="en-US"/>
        </w:rPr>
        <w:instrText xml:space="preserve"> https://ec.europa.eu/eurostat/databrowser/view/NRG_PC_205_C__custom_519166/default/table?lang=en" </w:instrText>
      </w:r>
      <w:r w:rsidRPr="00506A2F">
        <w:rPr>
          <w:rFonts w:asciiTheme="minorHAnsi" w:hAnsiTheme="minorHAnsi" w:cstheme="minorHAnsi"/>
          <w:sz w:val="18"/>
          <w:szCs w:val="18"/>
        </w:rPr>
        <w:fldChar w:fldCharType="separate"/>
      </w:r>
      <w:r w:rsidRPr="00506A2F">
        <w:rPr>
          <w:rFonts w:asciiTheme="minorHAnsi" w:hAnsiTheme="minorHAnsi" w:cstheme="minorHAnsi"/>
          <w:color w:val="0563C1"/>
          <w:sz w:val="18"/>
          <w:szCs w:val="18"/>
          <w:u w:val="single"/>
          <w:lang w:val="en-US" w:eastAsia="en-US"/>
        </w:rPr>
        <w:t>https://ec.europa.eu/eurostat/databrowser/view/NRG_PC_205_C__custom_519166/default/table?lang=en</w:t>
      </w:r>
      <w:r w:rsidRPr="00506A2F">
        <w:rPr>
          <w:rFonts w:asciiTheme="minorHAnsi" w:hAnsiTheme="minorHAnsi" w:cstheme="minorHAnsi"/>
          <w:color w:val="0563C1"/>
          <w:sz w:val="18"/>
          <w:szCs w:val="18"/>
          <w:u w:val="single"/>
          <w:lang w:eastAsia="en-US"/>
        </w:rPr>
        <w:fldChar w:fldCharType="end"/>
      </w:r>
      <w:r w:rsidRPr="00506A2F">
        <w:rPr>
          <w:rFonts w:asciiTheme="minorHAnsi" w:hAnsiTheme="minorHAnsi" w:cstheme="minorHAnsi"/>
          <w:sz w:val="18"/>
          <w:szCs w:val="18"/>
          <w:lang w:val="en-US"/>
        </w:rPr>
        <w:t xml:space="preserve">. </w:t>
      </w:r>
      <w:r w:rsidRPr="002E7D1B">
        <w:rPr>
          <w:rFonts w:asciiTheme="minorHAnsi" w:hAnsiTheme="minorHAnsi" w:cstheme="minorHAnsi"/>
          <w:sz w:val="18"/>
          <w:szCs w:val="18"/>
          <w:lang w:val="en-US"/>
        </w:rPr>
        <w:t xml:space="preserve">Electricity prices for non-household consumers were selected as more adequate for CBA purposes than electricity prices for household consumers. The latter are distorted through tariff regulation aimed at protection of household consumers. </w:t>
      </w:r>
    </w:p>
    <w:p w14:paraId="3CBD71BD" w14:textId="77777777" w:rsidR="007463B9" w:rsidRPr="00D04EFD" w:rsidRDefault="007463B9" w:rsidP="00921721">
      <w:pPr>
        <w:rPr>
          <w:rFonts w:asciiTheme="minorHAnsi" w:hAnsiTheme="minorHAnsi" w:cstheme="minorHAnsi"/>
          <w:sz w:val="18"/>
          <w:szCs w:val="18"/>
        </w:rPr>
      </w:pPr>
      <w:r w:rsidRPr="002E7D1B">
        <w:rPr>
          <w:rFonts w:asciiTheme="minorHAnsi" w:hAnsiTheme="minorHAnsi" w:cstheme="minorHAnsi"/>
          <w:sz w:val="18"/>
          <w:szCs w:val="18"/>
        </w:rPr>
        <w:t>Przyjęto ceny energii elektrycznej dla konsumentów nie będących gospodarstwami domowymi, jako bardziej stosowne do celów analiz kosztów i korzyści od cen dla gospodarstw domowych. Ceny energii elektrycznej dla gospodarstw domowych podlegają bowiem zniekształceniom powodowanym przez regulację taryf, która ma na celu ochronę tych konsumentów.</w:t>
      </w:r>
    </w:p>
    <w:p w14:paraId="4AC13275" w14:textId="77777777" w:rsidR="007463B9" w:rsidRPr="002C6855" w:rsidRDefault="007463B9" w:rsidP="00921721">
      <w:pPr>
        <w:pStyle w:val="Tekstprzypisudolnego"/>
        <w:rPr>
          <w:lang w:val="pl-PL"/>
        </w:rPr>
      </w:pPr>
    </w:p>
  </w:footnote>
  <w:footnote w:id="19">
    <w:p w14:paraId="70B98153" w14:textId="77777777" w:rsidR="007463B9" w:rsidRPr="005471C2" w:rsidRDefault="007463B9" w:rsidP="00921721">
      <w:pPr>
        <w:pStyle w:val="Tekstprzypisudolnego"/>
        <w:rPr>
          <w:rFonts w:asciiTheme="minorHAnsi" w:hAnsiTheme="minorHAnsi" w:cstheme="minorHAnsi"/>
          <w:sz w:val="18"/>
          <w:szCs w:val="18"/>
          <w:lang w:val="pl-PL"/>
        </w:rPr>
      </w:pPr>
      <w:r>
        <w:rPr>
          <w:rStyle w:val="Odwoanieprzypisudolnego"/>
        </w:rPr>
        <w:footnoteRef/>
      </w:r>
      <w:r w:rsidRPr="00596C6B">
        <w:rPr>
          <w:lang w:val="pl-PL"/>
        </w:rPr>
        <w:t xml:space="preserve"> </w:t>
      </w:r>
      <w:r w:rsidRPr="005471C2">
        <w:rPr>
          <w:rFonts w:asciiTheme="minorHAnsi" w:hAnsiTheme="minorHAnsi" w:cstheme="minorHAnsi"/>
          <w:sz w:val="18"/>
          <w:szCs w:val="18"/>
          <w:lang w:val="pl-PL"/>
        </w:rPr>
        <w:t xml:space="preserve">„Wskaźniki emisyjności CO2, SO2, NOx, CO i pyłu całkowitego dla energii elektrycznej na podstawie informacji zawartych w Krajowej bazie o emisjach gazów cieplarnianych i innych substancji za 2019 rok”, KOBiZE, grudzień 2020, rozdział 2, strona 4, tabela „Wskaźniki emisji w [kg/MWh] dla odbiorców końcowych energii elektrycznej”; </w:t>
      </w:r>
      <w:hyperlink r:id="rId8" w:history="1">
        <w:r w:rsidRPr="00921721">
          <w:rPr>
            <w:rStyle w:val="Hipercze"/>
            <w:rFonts w:asciiTheme="minorHAnsi" w:hAnsiTheme="minorHAnsi" w:cstheme="minorHAnsi"/>
            <w:sz w:val="18"/>
            <w:szCs w:val="18"/>
            <w:lang w:val="pl-PL"/>
          </w:rPr>
          <w:t>https://www.kobize.pl/uploads/materialy/materialy_do_pobrania/wskazniki_emisyjnosci/Wskazniki_emisyjnosci_grudzien_2020.pdf</w:t>
        </w:r>
      </w:hyperlink>
    </w:p>
  </w:footnote>
  <w:footnote w:id="20">
    <w:p w14:paraId="17A350A7" w14:textId="77777777" w:rsidR="007463B9" w:rsidRPr="005471C2" w:rsidRDefault="007463B9" w:rsidP="00921721">
      <w:pPr>
        <w:pStyle w:val="Tekstprzypisudolnego"/>
        <w:rPr>
          <w:rFonts w:asciiTheme="minorHAnsi" w:hAnsiTheme="minorHAnsi" w:cstheme="minorHAnsi"/>
          <w:sz w:val="18"/>
          <w:szCs w:val="18"/>
          <w:lang w:val="pl-PL"/>
        </w:rPr>
      </w:pPr>
      <w:r>
        <w:rPr>
          <w:rStyle w:val="Odwoanieprzypisudolnego"/>
        </w:rPr>
        <w:footnoteRef/>
      </w:r>
      <w:r w:rsidRPr="00A204D2">
        <w:rPr>
          <w:lang w:val="pl-PL"/>
        </w:rPr>
        <w:t xml:space="preserve"> </w:t>
      </w:r>
      <w:r w:rsidRPr="005471C2">
        <w:rPr>
          <w:rFonts w:asciiTheme="minorHAnsi" w:hAnsiTheme="minorHAnsi" w:cstheme="minorHAnsi"/>
          <w:sz w:val="18"/>
          <w:szCs w:val="18"/>
          <w:lang w:val="pl-PL"/>
        </w:rPr>
        <w:t>„</w:t>
      </w:r>
      <w:r>
        <w:rPr>
          <w:rFonts w:asciiTheme="minorHAnsi" w:hAnsiTheme="minorHAnsi" w:cstheme="minorHAnsi"/>
          <w:sz w:val="18"/>
          <w:szCs w:val="18"/>
          <w:lang w:val="pl-PL"/>
        </w:rPr>
        <w:t>R</w:t>
      </w:r>
      <w:r w:rsidRPr="005471C2">
        <w:rPr>
          <w:rFonts w:asciiTheme="minorHAnsi" w:hAnsiTheme="minorHAnsi" w:cstheme="minorHAnsi"/>
          <w:sz w:val="18"/>
          <w:szCs w:val="18"/>
          <w:lang w:val="pl-PL"/>
        </w:rPr>
        <w:t>aport roczny z funkcjonowania Krajowego Systemu Energetycznego - 2019 r.</w:t>
      </w:r>
      <w:r>
        <w:rPr>
          <w:rFonts w:asciiTheme="minorHAnsi" w:hAnsiTheme="minorHAnsi" w:cstheme="minorHAnsi"/>
          <w:sz w:val="18"/>
          <w:szCs w:val="18"/>
          <w:lang w:val="pl-PL"/>
        </w:rPr>
        <w:t>”</w:t>
      </w:r>
      <w:r w:rsidRPr="005471C2">
        <w:rPr>
          <w:rFonts w:asciiTheme="minorHAnsi" w:hAnsiTheme="minorHAnsi" w:cstheme="minorHAnsi"/>
          <w:sz w:val="18"/>
          <w:szCs w:val="18"/>
          <w:lang w:val="pl-PL"/>
        </w:rPr>
        <w:t>, PSE S.A.; https://www.pse.pl/dane-systemowe/funkcjonowanie-kse/raporty-roczne-z-funkcjonowania-kse-za-rok/raporty-za-rok-2019; Tabela 6.1. Struktura produkcji energii elektrycznej w elektrowniach krajowych, wielkości wymiany energii elektrycznej z zagranicą i krajowe zużycie energii elektrycznej w latach 2018÷2019 [GWh].</w:t>
      </w:r>
    </w:p>
  </w:footnote>
  <w:footnote w:id="21">
    <w:p w14:paraId="6F59E81D" w14:textId="77777777" w:rsidR="007463B9" w:rsidRPr="005471C2" w:rsidRDefault="007463B9" w:rsidP="00921721">
      <w:pPr>
        <w:pStyle w:val="Tekstprzypisudolnego"/>
        <w:rPr>
          <w:rFonts w:asciiTheme="minorHAnsi" w:hAnsiTheme="minorHAnsi" w:cstheme="minorHAnsi"/>
          <w:sz w:val="18"/>
          <w:szCs w:val="18"/>
          <w:lang w:val="pl-PL"/>
        </w:rPr>
      </w:pPr>
      <w:r>
        <w:rPr>
          <w:rStyle w:val="Odwoanieprzypisudolnego"/>
        </w:rPr>
        <w:footnoteRef/>
      </w:r>
      <w:r w:rsidRPr="00811CB5">
        <w:rPr>
          <w:lang w:val="pl-PL"/>
        </w:rPr>
        <w:t xml:space="preserve"> </w:t>
      </w:r>
      <w:r w:rsidRPr="005471C2">
        <w:rPr>
          <w:rFonts w:asciiTheme="minorHAnsi" w:hAnsiTheme="minorHAnsi" w:cstheme="minorHAnsi"/>
          <w:sz w:val="18"/>
          <w:szCs w:val="18"/>
          <w:lang w:val="pl-PL"/>
        </w:rPr>
        <w:t>„</w:t>
      </w:r>
      <w:r>
        <w:rPr>
          <w:rFonts w:asciiTheme="minorHAnsi" w:hAnsiTheme="minorHAnsi" w:cstheme="minorHAnsi"/>
          <w:sz w:val="18"/>
          <w:szCs w:val="18"/>
          <w:lang w:val="pl-PL"/>
        </w:rPr>
        <w:t>Polityka e</w:t>
      </w:r>
      <w:r w:rsidRPr="005471C2">
        <w:rPr>
          <w:rFonts w:asciiTheme="minorHAnsi" w:hAnsiTheme="minorHAnsi" w:cstheme="minorHAnsi"/>
          <w:sz w:val="18"/>
          <w:szCs w:val="18"/>
          <w:lang w:val="pl-PL"/>
        </w:rPr>
        <w:t>nergetyczna Polski do roku 2040</w:t>
      </w:r>
      <w:r>
        <w:rPr>
          <w:rFonts w:asciiTheme="minorHAnsi" w:hAnsiTheme="minorHAnsi" w:cstheme="minorHAnsi"/>
          <w:sz w:val="18"/>
          <w:szCs w:val="18"/>
          <w:lang w:val="pl-PL"/>
        </w:rPr>
        <w:t>”</w:t>
      </w:r>
      <w:r w:rsidRPr="005471C2">
        <w:rPr>
          <w:rFonts w:asciiTheme="minorHAnsi" w:hAnsiTheme="minorHAnsi" w:cstheme="minorHAnsi"/>
          <w:sz w:val="18"/>
          <w:szCs w:val="18"/>
          <w:lang w:val="pl-PL"/>
        </w:rPr>
        <w:t xml:space="preserve"> (uchwała Rady Ministrów z dnia 2 lutego 2021 r.), Załącznik 2: Wnioski z analiz prognostycznych dla sektora energetycznego, Tabela 22. Prognoza produkcji energii elektrycznej brutto wg paliw [TWh]; https://www.gov.pl/attachment/6dfde9ce-71df-43e2-95a2-5ea8863c52ee</w:t>
      </w:r>
    </w:p>
  </w:footnote>
  <w:footnote w:id="22">
    <w:p w14:paraId="672A8B61" w14:textId="77777777" w:rsidR="007463B9" w:rsidRPr="00295C1F" w:rsidRDefault="007463B9" w:rsidP="00921721">
      <w:pPr>
        <w:pStyle w:val="Tekstprzypisudolnego"/>
        <w:rPr>
          <w:rFonts w:asciiTheme="minorHAnsi" w:hAnsiTheme="minorHAnsi"/>
          <w:sz w:val="16"/>
          <w:szCs w:val="16"/>
          <w:lang w:val="en-GB"/>
        </w:rPr>
      </w:pPr>
      <w:r w:rsidRPr="00295C1F">
        <w:rPr>
          <w:rStyle w:val="Odwoanieprzypisudolnego"/>
          <w:rFonts w:asciiTheme="minorHAnsi" w:hAnsiTheme="minorHAnsi"/>
        </w:rPr>
        <w:footnoteRef/>
      </w:r>
      <w:r w:rsidRPr="00295C1F">
        <w:rPr>
          <w:rFonts w:asciiTheme="minorHAnsi" w:hAnsiTheme="minorHAnsi"/>
          <w:lang w:val="pl-PL"/>
        </w:rPr>
        <w:t xml:space="preserve"> </w:t>
      </w:r>
      <w:r w:rsidRPr="00295C1F">
        <w:rPr>
          <w:rFonts w:asciiTheme="minorHAnsi" w:hAnsiTheme="minorHAnsi"/>
          <w:sz w:val="16"/>
          <w:szCs w:val="16"/>
          <w:lang w:val="pl-PL"/>
        </w:rPr>
        <w:t xml:space="preserve">Klasyfikacja krajowa stanu nawierzchni drogowych na podstawie standaryzowanej metodologii badań.  </w:t>
      </w:r>
      <w:r w:rsidRPr="00295C1F">
        <w:rPr>
          <w:rFonts w:asciiTheme="minorHAnsi" w:hAnsiTheme="minorHAnsi"/>
          <w:sz w:val="16"/>
          <w:szCs w:val="16"/>
        </w:rPr>
        <w:t>National classification for the road pavement condition based on standardised survey methodology.</w:t>
      </w:r>
    </w:p>
    <w:p w14:paraId="66320956" w14:textId="77777777" w:rsidR="007463B9" w:rsidRPr="00295C1F" w:rsidRDefault="007463B9" w:rsidP="00921721">
      <w:pPr>
        <w:pStyle w:val="Tekstprzypisudolnego"/>
        <w:rPr>
          <w:rFonts w:asciiTheme="minorHAnsi" w:hAnsiTheme="minorHAnsi"/>
        </w:rPr>
      </w:pPr>
    </w:p>
  </w:footnote>
  <w:footnote w:id="23">
    <w:p w14:paraId="6AA9AA0B" w14:textId="77777777" w:rsidR="007463B9" w:rsidRPr="00295C1F" w:rsidRDefault="007463B9" w:rsidP="00B95FB9">
      <w:pPr>
        <w:tabs>
          <w:tab w:val="left" w:pos="1980"/>
        </w:tabs>
        <w:spacing w:line="250" w:lineRule="auto"/>
        <w:ind w:right="565"/>
        <w:rPr>
          <w:rFonts w:asciiTheme="minorHAnsi" w:hAnsiTheme="minorHAnsi"/>
          <w:color w:val="231F20"/>
          <w:spacing w:val="7"/>
          <w:sz w:val="16"/>
          <w:szCs w:val="16"/>
        </w:rPr>
      </w:pPr>
      <w:r w:rsidRPr="00DD0E5A">
        <w:rPr>
          <w:rStyle w:val="Odwoanieprzypisudolnego"/>
          <w:rFonts w:asciiTheme="minorHAnsi" w:hAnsiTheme="minorHAnsi" w:cstheme="minorHAnsi"/>
          <w:sz w:val="22"/>
          <w:szCs w:val="22"/>
        </w:rPr>
        <w:footnoteRef/>
      </w:r>
      <w:r w:rsidRPr="00B95FB9">
        <w:t xml:space="preserve"> </w:t>
      </w:r>
      <w:r w:rsidRPr="00295C1F">
        <w:rPr>
          <w:rFonts w:asciiTheme="minorHAnsi" w:hAnsiTheme="minorHAnsi"/>
          <w:color w:val="231F20"/>
          <w:spacing w:val="-5"/>
          <w:sz w:val="16"/>
          <w:szCs w:val="16"/>
        </w:rPr>
        <w:t>F</w:t>
      </w:r>
      <w:r w:rsidRPr="00295C1F">
        <w:rPr>
          <w:rFonts w:asciiTheme="minorHAnsi" w:hAnsiTheme="minorHAnsi"/>
          <w:color w:val="231F20"/>
          <w:sz w:val="16"/>
          <w:szCs w:val="16"/>
        </w:rPr>
        <w:t>un</w:t>
      </w:r>
      <w:r w:rsidRPr="00295C1F">
        <w:rPr>
          <w:rFonts w:asciiTheme="minorHAnsi" w:hAnsiTheme="minorHAnsi"/>
          <w:color w:val="231F20"/>
          <w:spacing w:val="-3"/>
          <w:sz w:val="16"/>
          <w:szCs w:val="16"/>
        </w:rPr>
        <w:t>k</w:t>
      </w:r>
      <w:r w:rsidRPr="00295C1F">
        <w:rPr>
          <w:rFonts w:asciiTheme="minorHAnsi" w:hAnsiTheme="minorHAnsi"/>
          <w:color w:val="231F20"/>
          <w:spacing w:val="-1"/>
          <w:sz w:val="16"/>
          <w:szCs w:val="16"/>
        </w:rPr>
        <w:t>c</w:t>
      </w:r>
      <w:r w:rsidRPr="00295C1F">
        <w:rPr>
          <w:rFonts w:asciiTheme="minorHAnsi" w:hAnsiTheme="minorHAnsi"/>
          <w:color w:val="231F20"/>
          <w:sz w:val="16"/>
          <w:szCs w:val="16"/>
        </w:rPr>
        <w:t>je</w:t>
      </w:r>
      <w:r w:rsidRPr="00295C1F">
        <w:rPr>
          <w:rFonts w:asciiTheme="minorHAnsi" w:hAnsiTheme="minorHAnsi"/>
          <w:color w:val="231F20"/>
          <w:spacing w:val="1"/>
          <w:sz w:val="16"/>
          <w:szCs w:val="16"/>
        </w:rPr>
        <w:t xml:space="preserve"> </w:t>
      </w:r>
      <w:r w:rsidRPr="00295C1F">
        <w:rPr>
          <w:rFonts w:asciiTheme="minorHAnsi" w:hAnsiTheme="minorHAnsi"/>
          <w:color w:val="231F20"/>
          <w:sz w:val="16"/>
          <w:szCs w:val="16"/>
        </w:rPr>
        <w:t>opo</w:t>
      </w:r>
      <w:r w:rsidRPr="00295C1F">
        <w:rPr>
          <w:rFonts w:asciiTheme="minorHAnsi" w:hAnsiTheme="minorHAnsi"/>
          <w:color w:val="231F20"/>
          <w:spacing w:val="2"/>
          <w:sz w:val="16"/>
          <w:szCs w:val="16"/>
        </w:rPr>
        <w:t>r</w:t>
      </w:r>
      <w:r w:rsidRPr="00295C1F">
        <w:rPr>
          <w:rFonts w:asciiTheme="minorHAnsi" w:hAnsiTheme="minorHAnsi"/>
          <w:color w:val="231F20"/>
          <w:sz w:val="16"/>
          <w:szCs w:val="16"/>
        </w:rPr>
        <w:t>u</w:t>
      </w:r>
      <w:r w:rsidRPr="00295C1F">
        <w:rPr>
          <w:rFonts w:asciiTheme="minorHAnsi" w:hAnsiTheme="minorHAnsi"/>
          <w:color w:val="231F20"/>
          <w:spacing w:val="8"/>
          <w:sz w:val="16"/>
          <w:szCs w:val="16"/>
        </w:rPr>
        <w:t xml:space="preserve"> </w:t>
      </w:r>
      <w:r w:rsidRPr="00295C1F">
        <w:rPr>
          <w:rFonts w:asciiTheme="minorHAnsi" w:hAnsiTheme="minorHAnsi"/>
          <w:color w:val="231F20"/>
          <w:sz w:val="16"/>
          <w:szCs w:val="16"/>
        </w:rPr>
        <w:t>odcin</w:t>
      </w:r>
      <w:r w:rsidRPr="00295C1F">
        <w:rPr>
          <w:rFonts w:asciiTheme="minorHAnsi" w:hAnsiTheme="minorHAnsi"/>
          <w:color w:val="231F20"/>
          <w:spacing w:val="2"/>
          <w:sz w:val="16"/>
          <w:szCs w:val="16"/>
        </w:rPr>
        <w:t>k</w:t>
      </w:r>
      <w:r w:rsidRPr="00295C1F">
        <w:rPr>
          <w:rFonts w:asciiTheme="minorHAnsi" w:hAnsiTheme="minorHAnsi"/>
          <w:color w:val="231F20"/>
          <w:sz w:val="16"/>
          <w:szCs w:val="16"/>
        </w:rPr>
        <w:t xml:space="preserve">a </w:t>
      </w:r>
      <w:r w:rsidRPr="00295C1F">
        <w:rPr>
          <w:rFonts w:asciiTheme="minorHAnsi" w:hAnsiTheme="minorHAnsi"/>
          <w:color w:val="231F20"/>
          <w:spacing w:val="-3"/>
          <w:sz w:val="16"/>
          <w:szCs w:val="16"/>
        </w:rPr>
        <w:t>t</w:t>
      </w:r>
      <w:r w:rsidRPr="00295C1F">
        <w:rPr>
          <w:rFonts w:asciiTheme="minorHAnsi" w:hAnsiTheme="minorHAnsi"/>
          <w:color w:val="231F20"/>
          <w:sz w:val="16"/>
          <w:szCs w:val="16"/>
        </w:rPr>
        <w:t>o fun</w:t>
      </w:r>
      <w:r w:rsidRPr="00295C1F">
        <w:rPr>
          <w:rFonts w:asciiTheme="minorHAnsi" w:hAnsiTheme="minorHAnsi"/>
          <w:color w:val="231F20"/>
          <w:spacing w:val="-3"/>
          <w:sz w:val="16"/>
          <w:szCs w:val="16"/>
        </w:rPr>
        <w:t>k</w:t>
      </w:r>
      <w:r w:rsidRPr="00295C1F">
        <w:rPr>
          <w:rFonts w:asciiTheme="minorHAnsi" w:hAnsiTheme="minorHAnsi"/>
          <w:color w:val="231F20"/>
          <w:spacing w:val="-1"/>
          <w:sz w:val="16"/>
          <w:szCs w:val="16"/>
        </w:rPr>
        <w:t>c</w:t>
      </w:r>
      <w:r w:rsidRPr="00295C1F">
        <w:rPr>
          <w:rFonts w:asciiTheme="minorHAnsi" w:hAnsiTheme="minorHAnsi"/>
          <w:color w:val="231F20"/>
          <w:sz w:val="16"/>
          <w:szCs w:val="16"/>
        </w:rPr>
        <w:t>je</w:t>
      </w:r>
      <w:r w:rsidRPr="00295C1F">
        <w:rPr>
          <w:rFonts w:asciiTheme="minorHAnsi" w:hAnsiTheme="minorHAnsi"/>
          <w:color w:val="231F20"/>
          <w:spacing w:val="-11"/>
          <w:sz w:val="16"/>
          <w:szCs w:val="16"/>
        </w:rPr>
        <w:t xml:space="preserve"> </w:t>
      </w:r>
      <w:r w:rsidRPr="00295C1F">
        <w:rPr>
          <w:rFonts w:asciiTheme="minorHAnsi" w:hAnsiTheme="minorHAnsi"/>
          <w:color w:val="231F20"/>
          <w:sz w:val="16"/>
          <w:szCs w:val="16"/>
        </w:rPr>
        <w:t>ma</w:t>
      </w:r>
      <w:r w:rsidRPr="00295C1F">
        <w:rPr>
          <w:rFonts w:asciiTheme="minorHAnsi" w:hAnsiTheme="minorHAnsi"/>
          <w:color w:val="231F20"/>
          <w:spacing w:val="-3"/>
          <w:sz w:val="16"/>
          <w:szCs w:val="16"/>
        </w:rPr>
        <w:t>t</w:t>
      </w:r>
      <w:r w:rsidRPr="00295C1F">
        <w:rPr>
          <w:rFonts w:asciiTheme="minorHAnsi" w:hAnsiTheme="minorHAnsi"/>
          <w:color w:val="231F20"/>
          <w:sz w:val="16"/>
          <w:szCs w:val="16"/>
        </w:rPr>
        <w:t>ema</w:t>
      </w:r>
      <w:r w:rsidRPr="00295C1F">
        <w:rPr>
          <w:rFonts w:asciiTheme="minorHAnsi" w:hAnsiTheme="minorHAnsi"/>
          <w:color w:val="231F20"/>
          <w:spacing w:val="6"/>
          <w:sz w:val="16"/>
          <w:szCs w:val="16"/>
        </w:rPr>
        <w:t>t</w:t>
      </w:r>
      <w:r w:rsidRPr="00295C1F">
        <w:rPr>
          <w:rFonts w:asciiTheme="minorHAnsi" w:hAnsiTheme="minorHAnsi"/>
          <w:color w:val="231F20"/>
          <w:spacing w:val="-2"/>
          <w:sz w:val="16"/>
          <w:szCs w:val="16"/>
        </w:rPr>
        <w:t>y</w:t>
      </w:r>
      <w:r w:rsidRPr="00295C1F">
        <w:rPr>
          <w:rFonts w:asciiTheme="minorHAnsi" w:hAnsiTheme="minorHAnsi"/>
          <w:color w:val="231F20"/>
          <w:sz w:val="16"/>
          <w:szCs w:val="16"/>
        </w:rPr>
        <w:t>czne</w:t>
      </w:r>
      <w:r w:rsidRPr="00295C1F">
        <w:rPr>
          <w:rFonts w:asciiTheme="minorHAnsi" w:hAnsiTheme="minorHAnsi"/>
          <w:color w:val="231F20"/>
          <w:spacing w:val="12"/>
          <w:sz w:val="16"/>
          <w:szCs w:val="16"/>
        </w:rPr>
        <w:t xml:space="preserve"> </w:t>
      </w:r>
      <w:r w:rsidRPr="00295C1F">
        <w:rPr>
          <w:rFonts w:asciiTheme="minorHAnsi" w:hAnsiTheme="minorHAnsi"/>
          <w:color w:val="231F20"/>
          <w:sz w:val="16"/>
          <w:szCs w:val="16"/>
        </w:rPr>
        <w:t>ok</w:t>
      </w:r>
      <w:r w:rsidRPr="00295C1F">
        <w:rPr>
          <w:rFonts w:asciiTheme="minorHAnsi" w:hAnsiTheme="minorHAnsi"/>
          <w:color w:val="231F20"/>
          <w:spacing w:val="-1"/>
          <w:sz w:val="16"/>
          <w:szCs w:val="16"/>
        </w:rPr>
        <w:t>r</w:t>
      </w:r>
      <w:r w:rsidRPr="00295C1F">
        <w:rPr>
          <w:rFonts w:asciiTheme="minorHAnsi" w:hAnsiTheme="minorHAnsi"/>
          <w:color w:val="231F20"/>
          <w:sz w:val="16"/>
          <w:szCs w:val="16"/>
        </w:rPr>
        <w:t>eślające,</w:t>
      </w:r>
      <w:r w:rsidRPr="00295C1F">
        <w:rPr>
          <w:rFonts w:asciiTheme="minorHAnsi" w:hAnsiTheme="minorHAnsi"/>
          <w:color w:val="231F20"/>
          <w:spacing w:val="32"/>
          <w:sz w:val="16"/>
          <w:szCs w:val="16"/>
        </w:rPr>
        <w:t xml:space="preserve"> </w:t>
      </w:r>
      <w:r w:rsidRPr="00295C1F">
        <w:rPr>
          <w:rFonts w:asciiTheme="minorHAnsi" w:hAnsiTheme="minorHAnsi"/>
          <w:color w:val="231F20"/>
          <w:sz w:val="16"/>
          <w:szCs w:val="16"/>
        </w:rPr>
        <w:t>jak</w:t>
      </w:r>
      <w:r w:rsidRPr="00295C1F">
        <w:rPr>
          <w:rFonts w:asciiTheme="minorHAnsi" w:hAnsiTheme="minorHAnsi"/>
          <w:color w:val="231F20"/>
          <w:spacing w:val="-17"/>
          <w:sz w:val="16"/>
          <w:szCs w:val="16"/>
        </w:rPr>
        <w:t xml:space="preserve"> </w:t>
      </w:r>
      <w:r w:rsidRPr="00295C1F">
        <w:rPr>
          <w:rFonts w:asciiTheme="minorHAnsi" w:hAnsiTheme="minorHAnsi"/>
          <w:color w:val="231F20"/>
          <w:w w:val="97"/>
          <w:sz w:val="16"/>
          <w:szCs w:val="16"/>
        </w:rPr>
        <w:t xml:space="preserve">zmienia </w:t>
      </w:r>
      <w:r w:rsidRPr="00295C1F">
        <w:rPr>
          <w:rFonts w:asciiTheme="minorHAnsi" w:hAnsiTheme="minorHAnsi"/>
          <w:color w:val="231F20"/>
          <w:sz w:val="16"/>
          <w:szCs w:val="16"/>
        </w:rPr>
        <w:t>się</w:t>
      </w:r>
      <w:r w:rsidRPr="00295C1F">
        <w:rPr>
          <w:rFonts w:asciiTheme="minorHAnsi" w:hAnsiTheme="minorHAnsi"/>
          <w:color w:val="231F20"/>
          <w:spacing w:val="6"/>
          <w:sz w:val="16"/>
          <w:szCs w:val="16"/>
        </w:rPr>
        <w:t xml:space="preserve"> </w:t>
      </w:r>
      <w:r w:rsidRPr="00295C1F">
        <w:rPr>
          <w:rFonts w:asciiTheme="minorHAnsi" w:hAnsiTheme="minorHAnsi"/>
          <w:color w:val="231F20"/>
          <w:sz w:val="16"/>
          <w:szCs w:val="16"/>
        </w:rPr>
        <w:t>pręd</w:t>
      </w:r>
      <w:r w:rsidRPr="00295C1F">
        <w:rPr>
          <w:rFonts w:asciiTheme="minorHAnsi" w:hAnsiTheme="minorHAnsi"/>
          <w:color w:val="231F20"/>
          <w:spacing w:val="-3"/>
          <w:sz w:val="16"/>
          <w:szCs w:val="16"/>
        </w:rPr>
        <w:t>k</w:t>
      </w:r>
      <w:r w:rsidRPr="00295C1F">
        <w:rPr>
          <w:rFonts w:asciiTheme="minorHAnsi" w:hAnsiTheme="minorHAnsi"/>
          <w:color w:val="231F20"/>
          <w:sz w:val="16"/>
          <w:szCs w:val="16"/>
        </w:rPr>
        <w:t>ość</w:t>
      </w:r>
      <w:r w:rsidRPr="00295C1F">
        <w:rPr>
          <w:rFonts w:asciiTheme="minorHAnsi" w:hAnsiTheme="minorHAnsi"/>
          <w:color w:val="231F20"/>
          <w:spacing w:val="39"/>
          <w:sz w:val="16"/>
          <w:szCs w:val="16"/>
        </w:rPr>
        <w:t xml:space="preserve"> </w:t>
      </w:r>
      <w:r w:rsidRPr="00295C1F">
        <w:rPr>
          <w:rFonts w:asciiTheme="minorHAnsi" w:hAnsiTheme="minorHAnsi"/>
          <w:color w:val="231F20"/>
          <w:spacing w:val="2"/>
          <w:sz w:val="16"/>
          <w:szCs w:val="16"/>
        </w:rPr>
        <w:t>r</w:t>
      </w:r>
      <w:r w:rsidRPr="00295C1F">
        <w:rPr>
          <w:rFonts w:asciiTheme="minorHAnsi" w:hAnsiTheme="minorHAnsi"/>
          <w:color w:val="231F20"/>
          <w:sz w:val="16"/>
          <w:szCs w:val="16"/>
        </w:rPr>
        <w:t>uchu</w:t>
      </w:r>
      <w:r w:rsidRPr="00295C1F">
        <w:rPr>
          <w:rFonts w:asciiTheme="minorHAnsi" w:hAnsiTheme="minorHAnsi"/>
          <w:color w:val="231F20"/>
          <w:spacing w:val="7"/>
          <w:sz w:val="16"/>
          <w:szCs w:val="16"/>
        </w:rPr>
        <w:t xml:space="preserve"> </w:t>
      </w:r>
      <w:r w:rsidRPr="00295C1F">
        <w:rPr>
          <w:rFonts w:asciiTheme="minorHAnsi" w:hAnsiTheme="minorHAnsi"/>
          <w:color w:val="231F20"/>
          <w:sz w:val="16"/>
          <w:szCs w:val="16"/>
        </w:rPr>
        <w:t>p</w:t>
      </w:r>
      <w:r w:rsidRPr="00295C1F">
        <w:rPr>
          <w:rFonts w:asciiTheme="minorHAnsi" w:hAnsiTheme="minorHAnsi"/>
          <w:color w:val="231F20"/>
          <w:spacing w:val="-1"/>
          <w:sz w:val="16"/>
          <w:szCs w:val="16"/>
        </w:rPr>
        <w:t>o</w:t>
      </w:r>
      <w:r w:rsidRPr="00295C1F">
        <w:rPr>
          <w:rFonts w:asciiTheme="minorHAnsi" w:hAnsiTheme="minorHAnsi"/>
          <w:color w:val="231F20"/>
          <w:spacing w:val="-3"/>
          <w:sz w:val="16"/>
          <w:szCs w:val="16"/>
        </w:rPr>
        <w:t>t</w:t>
      </w:r>
      <w:r w:rsidRPr="00295C1F">
        <w:rPr>
          <w:rFonts w:asciiTheme="minorHAnsi" w:hAnsiTheme="minorHAnsi"/>
          <w:color w:val="231F20"/>
          <w:sz w:val="16"/>
          <w:szCs w:val="16"/>
        </w:rPr>
        <w:t>o</w:t>
      </w:r>
      <w:r w:rsidRPr="00295C1F">
        <w:rPr>
          <w:rFonts w:asciiTheme="minorHAnsi" w:hAnsiTheme="minorHAnsi"/>
          <w:color w:val="231F20"/>
          <w:spacing w:val="-1"/>
          <w:sz w:val="16"/>
          <w:szCs w:val="16"/>
        </w:rPr>
        <w:t>k</w:t>
      </w:r>
      <w:r w:rsidRPr="00295C1F">
        <w:rPr>
          <w:rFonts w:asciiTheme="minorHAnsi" w:hAnsiTheme="minorHAnsi"/>
          <w:color w:val="231F20"/>
          <w:sz w:val="16"/>
          <w:szCs w:val="16"/>
        </w:rPr>
        <w:t>u</w:t>
      </w:r>
      <w:r w:rsidRPr="00295C1F">
        <w:rPr>
          <w:rFonts w:asciiTheme="minorHAnsi" w:hAnsiTheme="minorHAnsi"/>
          <w:color w:val="231F20"/>
          <w:spacing w:val="2"/>
          <w:sz w:val="16"/>
          <w:szCs w:val="16"/>
        </w:rPr>
        <w:t xml:space="preserve"> </w:t>
      </w:r>
      <w:r w:rsidRPr="00295C1F">
        <w:rPr>
          <w:rFonts w:asciiTheme="minorHAnsi" w:hAnsiTheme="minorHAnsi"/>
          <w:color w:val="231F20"/>
          <w:sz w:val="16"/>
          <w:szCs w:val="16"/>
        </w:rPr>
        <w:t>p</w:t>
      </w:r>
      <w:r w:rsidRPr="00295C1F">
        <w:rPr>
          <w:rFonts w:asciiTheme="minorHAnsi" w:hAnsiTheme="minorHAnsi"/>
          <w:color w:val="231F20"/>
          <w:spacing w:val="-1"/>
          <w:sz w:val="16"/>
          <w:szCs w:val="16"/>
        </w:rPr>
        <w:t>o</w:t>
      </w:r>
      <w:r w:rsidRPr="00295C1F">
        <w:rPr>
          <w:rFonts w:asciiTheme="minorHAnsi" w:hAnsiTheme="minorHAnsi"/>
          <w:color w:val="231F20"/>
          <w:sz w:val="16"/>
          <w:szCs w:val="16"/>
        </w:rPr>
        <w:t>jazd</w:t>
      </w:r>
      <w:r w:rsidRPr="00295C1F">
        <w:rPr>
          <w:rFonts w:asciiTheme="minorHAnsi" w:hAnsiTheme="minorHAnsi"/>
          <w:color w:val="231F20"/>
          <w:spacing w:val="-1"/>
          <w:sz w:val="16"/>
          <w:szCs w:val="16"/>
        </w:rPr>
        <w:t>ó</w:t>
      </w:r>
      <w:r w:rsidRPr="00295C1F">
        <w:rPr>
          <w:rFonts w:asciiTheme="minorHAnsi" w:hAnsiTheme="minorHAnsi"/>
          <w:color w:val="231F20"/>
          <w:sz w:val="16"/>
          <w:szCs w:val="16"/>
        </w:rPr>
        <w:t>w</w:t>
      </w:r>
      <w:r>
        <w:rPr>
          <w:rFonts w:asciiTheme="minorHAnsi" w:hAnsiTheme="minorHAnsi"/>
          <w:color w:val="231F20"/>
          <w:sz w:val="16"/>
          <w:szCs w:val="16"/>
        </w:rPr>
        <w:t xml:space="preserve"> w </w:t>
      </w:r>
      <w:r w:rsidRPr="00295C1F">
        <w:rPr>
          <w:rFonts w:asciiTheme="minorHAnsi" w:hAnsiTheme="minorHAnsi"/>
          <w:color w:val="231F20"/>
          <w:sz w:val="16"/>
          <w:szCs w:val="16"/>
        </w:rPr>
        <w:t>miarę</w:t>
      </w:r>
      <w:r w:rsidRPr="00295C1F">
        <w:rPr>
          <w:rFonts w:asciiTheme="minorHAnsi" w:hAnsiTheme="minorHAnsi"/>
          <w:color w:val="231F20"/>
          <w:spacing w:val="-4"/>
          <w:sz w:val="16"/>
          <w:szCs w:val="16"/>
        </w:rPr>
        <w:t xml:space="preserve"> </w:t>
      </w:r>
      <w:r w:rsidRPr="00295C1F">
        <w:rPr>
          <w:rFonts w:asciiTheme="minorHAnsi" w:hAnsiTheme="minorHAnsi"/>
          <w:color w:val="231F20"/>
          <w:sz w:val="16"/>
          <w:szCs w:val="16"/>
        </w:rPr>
        <w:t>wz</w:t>
      </w:r>
      <w:r w:rsidRPr="00295C1F">
        <w:rPr>
          <w:rFonts w:asciiTheme="minorHAnsi" w:hAnsiTheme="minorHAnsi"/>
          <w:color w:val="231F20"/>
          <w:spacing w:val="-1"/>
          <w:sz w:val="16"/>
          <w:szCs w:val="16"/>
        </w:rPr>
        <w:t>r</w:t>
      </w:r>
      <w:r w:rsidRPr="00295C1F">
        <w:rPr>
          <w:rFonts w:asciiTheme="minorHAnsi" w:hAnsiTheme="minorHAnsi"/>
          <w:color w:val="231F20"/>
          <w:sz w:val="16"/>
          <w:szCs w:val="16"/>
        </w:rPr>
        <w:t>ostu</w:t>
      </w:r>
      <w:r w:rsidRPr="00295C1F">
        <w:rPr>
          <w:rFonts w:asciiTheme="minorHAnsi" w:hAnsiTheme="minorHAnsi"/>
          <w:color w:val="231F20"/>
          <w:spacing w:val="-7"/>
          <w:sz w:val="16"/>
          <w:szCs w:val="16"/>
        </w:rPr>
        <w:t xml:space="preserve"> </w:t>
      </w:r>
      <w:r w:rsidRPr="00295C1F">
        <w:rPr>
          <w:rFonts w:asciiTheme="minorHAnsi" w:hAnsiTheme="minorHAnsi"/>
          <w:color w:val="231F20"/>
          <w:sz w:val="16"/>
          <w:szCs w:val="16"/>
        </w:rPr>
        <w:t>na</w:t>
      </w:r>
      <w:r w:rsidRPr="00295C1F">
        <w:rPr>
          <w:rFonts w:asciiTheme="minorHAnsi" w:hAnsiTheme="minorHAnsi"/>
          <w:color w:val="231F20"/>
          <w:spacing w:val="-2"/>
          <w:sz w:val="16"/>
          <w:szCs w:val="16"/>
        </w:rPr>
        <w:t>tęż</w:t>
      </w:r>
      <w:r w:rsidRPr="00295C1F">
        <w:rPr>
          <w:rFonts w:asciiTheme="minorHAnsi" w:hAnsiTheme="minorHAnsi"/>
          <w:color w:val="231F20"/>
          <w:sz w:val="16"/>
          <w:szCs w:val="16"/>
        </w:rPr>
        <w:t xml:space="preserve">enia </w:t>
      </w:r>
      <w:r w:rsidRPr="00295C1F">
        <w:rPr>
          <w:rFonts w:asciiTheme="minorHAnsi" w:hAnsiTheme="minorHAnsi"/>
          <w:color w:val="231F20"/>
          <w:spacing w:val="2"/>
          <w:w w:val="92"/>
          <w:sz w:val="16"/>
          <w:szCs w:val="16"/>
        </w:rPr>
        <w:t>r</w:t>
      </w:r>
      <w:r w:rsidRPr="00295C1F">
        <w:rPr>
          <w:rFonts w:asciiTheme="minorHAnsi" w:hAnsiTheme="minorHAnsi"/>
          <w:color w:val="231F20"/>
          <w:w w:val="105"/>
          <w:sz w:val="16"/>
          <w:szCs w:val="16"/>
        </w:rPr>
        <w:t>uchu.</w:t>
      </w:r>
      <w:r w:rsidRPr="00295C1F">
        <w:rPr>
          <w:rFonts w:asciiTheme="minorHAnsi" w:hAnsiTheme="minorHAnsi" w:cs="Arial"/>
          <w:sz w:val="16"/>
          <w:szCs w:val="16"/>
        </w:rPr>
        <w:t xml:space="preserve"> </w:t>
      </w:r>
    </w:p>
    <w:p w14:paraId="1CEBBCFF" w14:textId="09ED45E3" w:rsidR="007463B9" w:rsidRPr="00B95FB9" w:rsidRDefault="007463B9" w:rsidP="00B95FB9">
      <w:pPr>
        <w:pStyle w:val="Tekstprzypisudolnego"/>
      </w:pPr>
      <w:r w:rsidRPr="00B95FB9">
        <w:rPr>
          <w:rFonts w:asciiTheme="minorHAnsi" w:hAnsiTheme="minorHAnsi" w:cs="Arial"/>
          <w:sz w:val="16"/>
          <w:szCs w:val="16"/>
          <w:lang w:val="pl-PL"/>
        </w:rPr>
        <w:t xml:space="preserve">   </w:t>
      </w:r>
      <w:r w:rsidRPr="00295C1F">
        <w:rPr>
          <w:rFonts w:asciiTheme="minorHAnsi" w:hAnsiTheme="minorHAnsi" w:cs="Arial"/>
          <w:sz w:val="16"/>
          <w:szCs w:val="16"/>
          <w:lang w:val="en-GB"/>
        </w:rPr>
        <w:t>The section resistance function is</w:t>
      </w:r>
      <w:r>
        <w:rPr>
          <w:rFonts w:asciiTheme="minorHAnsi" w:hAnsiTheme="minorHAnsi" w:cs="Arial"/>
          <w:sz w:val="16"/>
          <w:szCs w:val="16"/>
          <w:lang w:val="en-GB"/>
        </w:rPr>
        <w:t xml:space="preserve"> a </w:t>
      </w:r>
      <w:r w:rsidRPr="00295C1F">
        <w:rPr>
          <w:rFonts w:asciiTheme="minorHAnsi" w:hAnsiTheme="minorHAnsi" w:cs="Arial"/>
          <w:sz w:val="16"/>
          <w:szCs w:val="16"/>
          <w:lang w:val="en-GB"/>
        </w:rPr>
        <w:t xml:space="preserve">mathematical function that defines vehicles speed </w:t>
      </w:r>
      <w:r>
        <w:rPr>
          <w:rFonts w:asciiTheme="minorHAnsi" w:hAnsiTheme="minorHAnsi" w:cs="Arial"/>
          <w:sz w:val="16"/>
          <w:szCs w:val="16"/>
          <w:lang w:val="en-GB"/>
        </w:rPr>
        <w:t xml:space="preserve">fluctuations </w:t>
      </w:r>
      <w:r w:rsidRPr="00295C1F">
        <w:rPr>
          <w:rFonts w:asciiTheme="minorHAnsi" w:hAnsiTheme="minorHAnsi" w:cs="Arial"/>
          <w:sz w:val="16"/>
          <w:szCs w:val="16"/>
          <w:lang w:val="en-GB"/>
        </w:rPr>
        <w:t>depending on traffic volume growth changes.</w:t>
      </w:r>
    </w:p>
  </w:footnote>
  <w:footnote w:id="24">
    <w:p w14:paraId="6DAEE97F" w14:textId="77777777" w:rsidR="007463B9" w:rsidRPr="00295C1F" w:rsidRDefault="007463B9" w:rsidP="003A38F9">
      <w:pPr>
        <w:pStyle w:val="Tekstprzypisudolnego"/>
        <w:rPr>
          <w:rFonts w:asciiTheme="minorHAnsi" w:hAnsiTheme="minorHAnsi" w:cs="Arial"/>
          <w:sz w:val="16"/>
          <w:szCs w:val="16"/>
          <w:lang w:val="pl-PL"/>
        </w:rPr>
      </w:pPr>
      <w:r>
        <w:rPr>
          <w:rStyle w:val="Odwoanieprzypisudolnego"/>
        </w:rPr>
        <w:footnoteRef/>
      </w:r>
      <w:r w:rsidRPr="003A38F9">
        <w:rPr>
          <w:lang w:val="pl-PL"/>
        </w:rPr>
        <w:t xml:space="preserve"> </w:t>
      </w:r>
      <w:r w:rsidRPr="00295C1F">
        <w:rPr>
          <w:rFonts w:asciiTheme="minorHAnsi" w:hAnsiTheme="minorHAnsi" w:cs="Arial"/>
          <w:sz w:val="16"/>
          <w:szCs w:val="16"/>
          <w:lang w:val="pl-PL"/>
        </w:rPr>
        <w:t>Dla inwestycji zamiejskich nie opracowuje się macierzy ruchu autobusów.  Udział ruchu  autobusowego  należy dodać do ruchu samochodów ciężarowych – S.C.</w:t>
      </w:r>
    </w:p>
    <w:p w14:paraId="22D1A9A0" w14:textId="6A40A64B" w:rsidR="007463B9" w:rsidRPr="003A38F9" w:rsidRDefault="007463B9" w:rsidP="003A38F9">
      <w:pPr>
        <w:pStyle w:val="Tekstprzypisudolnego"/>
      </w:pPr>
      <w:r w:rsidRPr="003A38F9">
        <w:rPr>
          <w:rFonts w:asciiTheme="minorHAnsi" w:hAnsiTheme="minorHAnsi" w:cs="Arial"/>
          <w:sz w:val="16"/>
          <w:szCs w:val="16"/>
          <w:lang w:val="pl-PL"/>
        </w:rPr>
        <w:t xml:space="preserve">  </w:t>
      </w:r>
      <w:r w:rsidRPr="00295C1F">
        <w:rPr>
          <w:rFonts w:asciiTheme="minorHAnsi" w:hAnsiTheme="minorHAnsi" w:cs="Arial"/>
          <w:sz w:val="16"/>
          <w:szCs w:val="16"/>
        </w:rPr>
        <w:t>Traffic matrix for buses is not developed. The share of bus traffic should be included within truck traffic.</w:t>
      </w:r>
    </w:p>
  </w:footnote>
  <w:footnote w:id="25">
    <w:p w14:paraId="44A0AC32" w14:textId="77777777" w:rsidR="007463B9" w:rsidRDefault="007463B9" w:rsidP="00A85726">
      <w:pPr>
        <w:autoSpaceDE w:val="0"/>
        <w:autoSpaceDN w:val="0"/>
        <w:adjustRightInd w:val="0"/>
        <w:rPr>
          <w:rFonts w:asciiTheme="minorHAnsi" w:hAnsiTheme="minorHAnsi"/>
          <w:sz w:val="16"/>
          <w:szCs w:val="16"/>
        </w:rPr>
      </w:pPr>
      <w:r>
        <w:rPr>
          <w:rStyle w:val="Odwoanieprzypisudolnego"/>
        </w:rPr>
        <w:footnoteRef/>
      </w:r>
      <w:r>
        <w:t xml:space="preserve"> </w:t>
      </w:r>
      <w:r w:rsidRPr="00295C1F">
        <w:rPr>
          <w:rFonts w:asciiTheme="minorHAnsi" w:hAnsiTheme="minorHAnsi"/>
          <w:sz w:val="16"/>
          <w:szCs w:val="16"/>
        </w:rPr>
        <w:t xml:space="preserve">*) </w:t>
      </w:r>
      <w:r w:rsidRPr="00295C1F">
        <w:rPr>
          <w:rFonts w:asciiTheme="minorHAnsi" w:hAnsiTheme="minorHAnsi"/>
          <w:i/>
          <w:iCs/>
          <w:sz w:val="16"/>
          <w:szCs w:val="16"/>
        </w:rPr>
        <w:t>„Stadia</w:t>
      </w:r>
      <w:r>
        <w:rPr>
          <w:rFonts w:asciiTheme="minorHAnsi" w:hAnsiTheme="minorHAnsi"/>
          <w:i/>
          <w:iCs/>
          <w:sz w:val="16"/>
          <w:szCs w:val="16"/>
        </w:rPr>
        <w:t xml:space="preserve"> i </w:t>
      </w:r>
      <w:r w:rsidRPr="00295C1F">
        <w:rPr>
          <w:rFonts w:asciiTheme="minorHAnsi" w:hAnsiTheme="minorHAnsi"/>
          <w:i/>
          <w:iCs/>
          <w:sz w:val="16"/>
          <w:szCs w:val="16"/>
        </w:rPr>
        <w:t>skład dokumentacji projektowej dla dróg</w:t>
      </w:r>
      <w:r>
        <w:rPr>
          <w:rFonts w:asciiTheme="minorHAnsi" w:hAnsiTheme="minorHAnsi"/>
          <w:i/>
          <w:iCs/>
          <w:sz w:val="16"/>
          <w:szCs w:val="16"/>
        </w:rPr>
        <w:t xml:space="preserve"> i </w:t>
      </w:r>
      <w:r w:rsidRPr="00295C1F">
        <w:rPr>
          <w:rFonts w:asciiTheme="minorHAnsi" w:hAnsiTheme="minorHAnsi"/>
          <w:i/>
          <w:iCs/>
          <w:sz w:val="16"/>
          <w:szCs w:val="16"/>
        </w:rPr>
        <w:t>mostów”</w:t>
      </w:r>
      <w:r w:rsidRPr="00295C1F">
        <w:rPr>
          <w:rFonts w:asciiTheme="minorHAnsi" w:hAnsiTheme="minorHAnsi"/>
          <w:sz w:val="16"/>
          <w:szCs w:val="16"/>
        </w:rPr>
        <w:t>, wprowadzonego do stosowania Zarz</w:t>
      </w:r>
      <w:r w:rsidRPr="00295C1F">
        <w:rPr>
          <w:rFonts w:asciiTheme="minorHAnsi" w:hAnsiTheme="minorHAnsi" w:cs="TTE18839A8t00"/>
          <w:sz w:val="16"/>
          <w:szCs w:val="16"/>
        </w:rPr>
        <w:t>ą</w:t>
      </w:r>
      <w:r w:rsidRPr="00295C1F">
        <w:rPr>
          <w:rFonts w:asciiTheme="minorHAnsi" w:hAnsiTheme="minorHAnsi"/>
          <w:sz w:val="16"/>
          <w:szCs w:val="16"/>
        </w:rPr>
        <w:t>dzeniem Nr 30</w:t>
      </w:r>
      <w:r>
        <w:rPr>
          <w:rFonts w:asciiTheme="minorHAnsi" w:hAnsiTheme="minorHAnsi"/>
          <w:sz w:val="16"/>
          <w:szCs w:val="16"/>
        </w:rPr>
        <w:t xml:space="preserve"> z </w:t>
      </w:r>
      <w:r w:rsidRPr="00295C1F">
        <w:rPr>
          <w:rFonts w:asciiTheme="minorHAnsi" w:hAnsiTheme="minorHAnsi"/>
          <w:sz w:val="16"/>
          <w:szCs w:val="16"/>
        </w:rPr>
        <w:t>2005 roku przez Generalnego Dyrektora Dróg Krajowych</w:t>
      </w:r>
      <w:r>
        <w:rPr>
          <w:rFonts w:asciiTheme="minorHAnsi" w:hAnsiTheme="minorHAnsi"/>
          <w:sz w:val="16"/>
          <w:szCs w:val="16"/>
        </w:rPr>
        <w:t xml:space="preserve"> i </w:t>
      </w:r>
      <w:r w:rsidRPr="00295C1F">
        <w:rPr>
          <w:rFonts w:asciiTheme="minorHAnsi" w:hAnsiTheme="minorHAnsi"/>
          <w:sz w:val="16"/>
          <w:szCs w:val="16"/>
        </w:rPr>
        <w:t>Autostrad (13).</w:t>
      </w:r>
    </w:p>
    <w:p w14:paraId="62FACDB5" w14:textId="77AA0937" w:rsidR="007463B9" w:rsidRPr="00277A80" w:rsidRDefault="007463B9" w:rsidP="00A85726">
      <w:pPr>
        <w:autoSpaceDE w:val="0"/>
        <w:autoSpaceDN w:val="0"/>
        <w:adjustRightInd w:val="0"/>
        <w:rPr>
          <w:rFonts w:asciiTheme="minorHAnsi" w:hAnsiTheme="minorHAnsi" w:cs="Arial"/>
          <w:sz w:val="16"/>
          <w:szCs w:val="16"/>
          <w:lang w:val="en-US"/>
        </w:rPr>
      </w:pPr>
      <w:r w:rsidRPr="00277A80">
        <w:rPr>
          <w:rFonts w:asciiTheme="minorHAnsi" w:hAnsiTheme="minorHAnsi"/>
          <w:sz w:val="16"/>
          <w:szCs w:val="16"/>
          <w:lang w:val="en-US"/>
        </w:rPr>
        <w:t xml:space="preserve">*) </w:t>
      </w:r>
      <w:r w:rsidRPr="00277A80">
        <w:rPr>
          <w:rFonts w:asciiTheme="minorHAnsi" w:hAnsiTheme="minorHAnsi"/>
          <w:i/>
          <w:iCs/>
          <w:sz w:val="16"/>
          <w:szCs w:val="16"/>
          <w:lang w:val="en-US"/>
        </w:rPr>
        <w:t>„Stadia i skład dokumentacji projektowej dla dróg i mostów”</w:t>
      </w:r>
      <w:r>
        <w:rPr>
          <w:rFonts w:asciiTheme="minorHAnsi" w:hAnsiTheme="minorHAnsi"/>
          <w:i/>
          <w:iCs/>
          <w:sz w:val="16"/>
          <w:szCs w:val="16"/>
          <w:lang w:val="en-US"/>
        </w:rPr>
        <w:t xml:space="preserve"> (Stages and Composition of Design Documentation for Roads and Bridges)</w:t>
      </w:r>
      <w:r w:rsidRPr="00277A80">
        <w:rPr>
          <w:rFonts w:asciiTheme="minorHAnsi" w:hAnsiTheme="minorHAnsi"/>
          <w:i/>
          <w:iCs/>
          <w:sz w:val="16"/>
          <w:szCs w:val="16"/>
          <w:lang w:val="en-US"/>
        </w:rPr>
        <w:t xml:space="preserve">, </w:t>
      </w:r>
      <w:r w:rsidRPr="00277A80">
        <w:rPr>
          <w:rFonts w:asciiTheme="minorHAnsi" w:hAnsiTheme="minorHAnsi"/>
          <w:sz w:val="16"/>
          <w:szCs w:val="16"/>
          <w:lang w:val="en-US"/>
        </w:rPr>
        <w:t xml:space="preserve">introduced into </w:t>
      </w:r>
      <w:r>
        <w:rPr>
          <w:rFonts w:asciiTheme="minorHAnsi" w:hAnsiTheme="minorHAnsi"/>
          <w:sz w:val="16"/>
          <w:szCs w:val="16"/>
          <w:lang w:val="en-US"/>
        </w:rPr>
        <w:t>use</w:t>
      </w:r>
      <w:r w:rsidRPr="00277A80">
        <w:rPr>
          <w:rFonts w:asciiTheme="minorHAnsi" w:hAnsiTheme="minorHAnsi"/>
          <w:sz w:val="16"/>
          <w:szCs w:val="16"/>
          <w:lang w:val="en-US"/>
        </w:rPr>
        <w:t xml:space="preserve"> by Order No. 30 of 2005 by the General Director for National Roads and Motorways (13).</w:t>
      </w:r>
    </w:p>
    <w:p w14:paraId="49659A6E" w14:textId="58B2B79A" w:rsidR="007463B9" w:rsidRDefault="007463B9">
      <w:pPr>
        <w:pStyle w:val="Tekstprzypisudolnego"/>
      </w:pPr>
    </w:p>
  </w:footnote>
  <w:footnote w:id="26">
    <w:p w14:paraId="4D433E7A" w14:textId="77777777" w:rsidR="007463B9" w:rsidRDefault="007463B9">
      <w:pPr>
        <w:rPr>
          <w:rFonts w:ascii="Calibri" w:eastAsia="Calibri" w:hAnsi="Calibri" w:cs="Calibri"/>
          <w:sz w:val="20"/>
          <w:szCs w:val="20"/>
        </w:rPr>
      </w:pPr>
      <w:r>
        <w:rPr>
          <w:rStyle w:val="Odwoanieprzypisudolnego"/>
        </w:rPr>
        <w:footnoteRef/>
      </w:r>
      <w:r w:rsidRPr="0045151D">
        <w:rPr>
          <w:rFonts w:ascii="Calibri" w:eastAsia="Calibri" w:hAnsi="Calibri" w:cs="Calibri"/>
          <w:lang w:val="en-GB"/>
        </w:rPr>
        <w:t xml:space="preserve"> </w:t>
      </w:r>
      <w:r w:rsidRPr="0045151D">
        <w:rPr>
          <w:rFonts w:ascii="Calibri" w:eastAsia="Calibri" w:hAnsi="Calibri" w:cs="Calibri"/>
          <w:sz w:val="16"/>
          <w:szCs w:val="16"/>
          <w:lang w:val="en-GB"/>
        </w:rPr>
        <w:t xml:space="preserve">Based on Table IV.1 of Annex IV to the EU CBA Guide, Poland is split between the QKU (quasi-Keynesian unemployment) area, with CF equal to 0.54 and the RLD (rural labour dualism) area, with CF equal to 0.62. The average of 0.58 has been assumed, for simplicity. </w:t>
      </w:r>
      <w:r w:rsidRPr="0045151D">
        <w:rPr>
          <w:rFonts w:ascii="Calibri" w:eastAsia="Calibri" w:hAnsi="Calibri" w:cs="Calibri"/>
          <w:color w:val="000000"/>
          <w:sz w:val="16"/>
          <w:szCs w:val="16"/>
          <w:lang w:val="en-GB"/>
        </w:rPr>
        <w:t xml:space="preserve">W oparciu o tabelę IV.1 Aneksu IV do Przewodnika UE CBA, Polska jest podzielona na obszar QKU (quasi-keynesowskie bezrobocie), z CF równym 0,54 i obszar RLD (wiejski dualizm pracy), z CF równym 0,62. </w:t>
      </w:r>
      <w:r>
        <w:rPr>
          <w:rFonts w:ascii="Calibri" w:eastAsia="Calibri" w:hAnsi="Calibri" w:cs="Calibri"/>
          <w:color w:val="000000"/>
          <w:sz w:val="16"/>
          <w:szCs w:val="16"/>
        </w:rPr>
        <w:t>Dla uproszczenia przyjęto średnią 0,58.</w:t>
      </w:r>
    </w:p>
    <w:p w14:paraId="27C0B3C6" w14:textId="77777777" w:rsidR="007463B9" w:rsidRDefault="007463B9">
      <w:pPr>
        <w:pBdr>
          <w:top w:val="nil"/>
          <w:left w:val="nil"/>
          <w:bottom w:val="nil"/>
          <w:right w:val="nil"/>
          <w:between w:val="nil"/>
        </w:pBdr>
        <w:spacing w:before="120"/>
        <w:rPr>
          <w:rFonts w:ascii="Calibri" w:eastAsia="Calibri" w:hAnsi="Calibri" w:cs="Calibri"/>
          <w:color w:val="000000"/>
          <w:sz w:val="20"/>
          <w:szCs w:val="20"/>
        </w:rPr>
      </w:pPr>
    </w:p>
  </w:footnote>
  <w:footnote w:id="27">
    <w:p w14:paraId="207E3F38" w14:textId="77777777" w:rsidR="007463B9" w:rsidRPr="00E8513F" w:rsidRDefault="007463B9" w:rsidP="00A85726">
      <w:pPr>
        <w:pStyle w:val="Tekstprzypisudolnego"/>
        <w:rPr>
          <w:rFonts w:asciiTheme="minorHAnsi" w:hAnsiTheme="minorHAnsi"/>
          <w:sz w:val="16"/>
          <w:szCs w:val="16"/>
          <w:lang w:val="pl-PL"/>
        </w:rPr>
      </w:pPr>
      <w:r>
        <w:rPr>
          <w:rStyle w:val="Odwoanieprzypisudolnego"/>
        </w:rPr>
        <w:footnoteRef/>
      </w:r>
      <w:r w:rsidRPr="00A85726">
        <w:rPr>
          <w:lang w:val="pl-PL"/>
        </w:rPr>
        <w:t xml:space="preserve"> </w:t>
      </w:r>
      <w:r w:rsidRPr="00E8513F">
        <w:rPr>
          <w:rFonts w:asciiTheme="minorHAnsi" w:hAnsiTheme="minorHAnsi"/>
          <w:sz w:val="16"/>
          <w:szCs w:val="16"/>
          <w:lang w:val="pl-PL"/>
        </w:rPr>
        <w:t>Jeżeli fragmenty inwestycji zamiejskiej lub odcinki modelu sieci/bufora znajdują się</w:t>
      </w:r>
      <w:r>
        <w:rPr>
          <w:rFonts w:asciiTheme="minorHAnsi" w:hAnsiTheme="minorHAnsi"/>
          <w:sz w:val="16"/>
          <w:szCs w:val="16"/>
          <w:lang w:val="pl-PL"/>
        </w:rPr>
        <w:t xml:space="preserve"> w </w:t>
      </w:r>
      <w:r w:rsidRPr="00E8513F">
        <w:rPr>
          <w:rFonts w:asciiTheme="minorHAnsi" w:hAnsiTheme="minorHAnsi"/>
          <w:sz w:val="16"/>
          <w:szCs w:val="16"/>
          <w:lang w:val="pl-PL"/>
        </w:rPr>
        <w:t>obszarze miejskim, to wskaźniki wypadkowości należy przyjmować jak dla obszaru zabudowanego (z).</w:t>
      </w:r>
    </w:p>
    <w:p w14:paraId="62C8D86F" w14:textId="77F539C9" w:rsidR="007463B9" w:rsidRPr="00A85726" w:rsidRDefault="007463B9" w:rsidP="00A85726">
      <w:pPr>
        <w:pStyle w:val="Tekstprzypisudolnego"/>
      </w:pPr>
      <w:r w:rsidRPr="00E8513F">
        <w:rPr>
          <w:rFonts w:asciiTheme="minorHAnsi" w:hAnsiTheme="minorHAnsi"/>
          <w:sz w:val="16"/>
          <w:szCs w:val="16"/>
          <w:lang w:val="en-GB"/>
        </w:rPr>
        <w:t xml:space="preserve">If any sections of the non-urban investment or the model/ buffer network </w:t>
      </w:r>
      <w:r>
        <w:rPr>
          <w:rFonts w:asciiTheme="minorHAnsi" w:hAnsiTheme="minorHAnsi"/>
          <w:sz w:val="16"/>
          <w:szCs w:val="16"/>
          <w:lang w:val="en-GB"/>
        </w:rPr>
        <w:t>are</w:t>
      </w:r>
      <w:r w:rsidRPr="00E8513F">
        <w:rPr>
          <w:rFonts w:asciiTheme="minorHAnsi" w:hAnsiTheme="minorHAnsi"/>
          <w:sz w:val="16"/>
          <w:szCs w:val="16"/>
          <w:lang w:val="en-GB"/>
        </w:rPr>
        <w:t xml:space="preserve"> located in the urban areas, the accident factors should be taken as for the built-up area (z).</w:t>
      </w:r>
    </w:p>
  </w:footnote>
  <w:footnote w:id="28">
    <w:p w14:paraId="14811CE8" w14:textId="77777777" w:rsidR="007463B9" w:rsidRDefault="007463B9">
      <w:pPr>
        <w:ind w:right="132"/>
        <w:jc w:val="both"/>
        <w:rPr>
          <w:rFonts w:ascii="Calibri" w:eastAsia="Calibri" w:hAnsi="Calibri" w:cs="Calibri"/>
          <w:i/>
          <w:sz w:val="16"/>
          <w:szCs w:val="16"/>
        </w:rPr>
      </w:pPr>
      <w:r w:rsidRPr="00A85726">
        <w:rPr>
          <w:rStyle w:val="Odwoanieprzypisudolnego"/>
          <w:rFonts w:asciiTheme="minorHAnsi" w:hAnsiTheme="minorHAnsi" w:cstheme="minorHAnsi"/>
          <w:sz w:val="20"/>
          <w:szCs w:val="20"/>
        </w:rPr>
        <w:footnoteRef/>
      </w:r>
      <w:r w:rsidRPr="00A85726">
        <w:rPr>
          <w:rFonts w:asciiTheme="minorHAnsi" w:eastAsia="Calibri" w:hAnsiTheme="minorHAnsi" w:cstheme="minorHAnsi"/>
          <w:sz w:val="20"/>
          <w:szCs w:val="20"/>
        </w:rPr>
        <w:t xml:space="preserve"> </w:t>
      </w:r>
      <w:r>
        <w:rPr>
          <w:rFonts w:ascii="Calibri" w:eastAsia="Calibri" w:hAnsi="Calibri" w:cs="Calibri"/>
          <w:i/>
          <w:sz w:val="16"/>
          <w:szCs w:val="16"/>
        </w:rPr>
        <w:t xml:space="preserve">Metoda dotyczy dróg zamiejskich w odszarach zabudowanych lub niezabudowanych. </w:t>
      </w:r>
    </w:p>
    <w:p w14:paraId="0D487D5E" w14:textId="3B38FE50" w:rsidR="007463B9" w:rsidRPr="0045151D" w:rsidRDefault="007463B9">
      <w:pPr>
        <w:ind w:right="132"/>
        <w:jc w:val="both"/>
        <w:rPr>
          <w:rFonts w:ascii="Calibri" w:eastAsia="Calibri" w:hAnsi="Calibri" w:cs="Calibri"/>
          <w:i/>
          <w:sz w:val="16"/>
          <w:szCs w:val="16"/>
          <w:lang w:val="en-GB"/>
        </w:rPr>
      </w:pPr>
      <w:r w:rsidRPr="0045151D">
        <w:rPr>
          <w:rFonts w:ascii="Calibri" w:eastAsia="Calibri" w:hAnsi="Calibri" w:cs="Calibri"/>
          <w:i/>
          <w:sz w:val="16"/>
          <w:szCs w:val="16"/>
          <w:lang w:val="en-GB"/>
        </w:rPr>
        <w:t>The method refers to non-urban roads in built-up or undeveloped areas.</w:t>
      </w:r>
      <w:r w:rsidRPr="0045151D">
        <w:rPr>
          <w:rFonts w:ascii="Calibri" w:eastAsia="Calibri" w:hAnsi="Calibri" w:cs="Calibri"/>
          <w:i/>
          <w:sz w:val="16"/>
          <w:szCs w:val="16"/>
          <w:lang w:val="en-GB"/>
        </w:rPr>
        <w:tab/>
      </w:r>
      <w:r w:rsidRPr="0045151D">
        <w:rPr>
          <w:rFonts w:ascii="Calibri" w:eastAsia="Calibri" w:hAnsi="Calibri" w:cs="Calibri"/>
          <w:i/>
          <w:sz w:val="16"/>
          <w:szCs w:val="16"/>
          <w:lang w:val="en-GB"/>
        </w:rPr>
        <w:tab/>
      </w:r>
      <w:r w:rsidRPr="0045151D">
        <w:rPr>
          <w:rFonts w:ascii="Calibri" w:eastAsia="Calibri" w:hAnsi="Calibri" w:cs="Calibri"/>
          <w:i/>
          <w:sz w:val="16"/>
          <w:szCs w:val="16"/>
          <w:lang w:val="en-GB"/>
        </w:rPr>
        <w:tab/>
      </w:r>
    </w:p>
    <w:p w14:paraId="30FE4176" w14:textId="77777777" w:rsidR="007463B9" w:rsidRPr="0045151D" w:rsidRDefault="007463B9">
      <w:pPr>
        <w:pBdr>
          <w:top w:val="nil"/>
          <w:left w:val="nil"/>
          <w:bottom w:val="nil"/>
          <w:right w:val="nil"/>
          <w:between w:val="nil"/>
        </w:pBdr>
        <w:spacing w:before="120"/>
        <w:rPr>
          <w:rFonts w:ascii="Calibri" w:eastAsia="Calibri" w:hAnsi="Calibri" w:cs="Calibri"/>
          <w:color w:val="000000"/>
          <w:sz w:val="20"/>
          <w:szCs w:val="20"/>
          <w:lang w:val="en-GB"/>
        </w:rPr>
      </w:pPr>
    </w:p>
  </w:footnote>
  <w:footnote w:id="29">
    <w:p w14:paraId="4D627C13" w14:textId="77777777" w:rsidR="007463B9" w:rsidRPr="00295C1F" w:rsidRDefault="007463B9" w:rsidP="003E14E4">
      <w:pPr>
        <w:ind w:right="132"/>
        <w:jc w:val="both"/>
        <w:rPr>
          <w:rFonts w:asciiTheme="minorHAnsi" w:hAnsiTheme="minorHAnsi" w:cs="Arial"/>
          <w:i/>
          <w:sz w:val="16"/>
          <w:szCs w:val="16"/>
        </w:rPr>
      </w:pPr>
      <w:r>
        <w:rPr>
          <w:rStyle w:val="Odwoanieprzypisudolnego"/>
        </w:rPr>
        <w:footnoteRef/>
      </w:r>
      <w:r>
        <w:t xml:space="preserve"> </w:t>
      </w:r>
      <w:r w:rsidRPr="00295C1F">
        <w:rPr>
          <w:rFonts w:asciiTheme="minorHAnsi" w:hAnsiTheme="minorHAnsi" w:cs="Arial"/>
          <w:i/>
          <w:sz w:val="16"/>
          <w:szCs w:val="16"/>
        </w:rPr>
        <w:t>Metoda dotyczy dróg zamiejskich</w:t>
      </w:r>
      <w:r>
        <w:rPr>
          <w:rFonts w:asciiTheme="minorHAnsi" w:hAnsiTheme="minorHAnsi" w:cs="Arial"/>
          <w:i/>
          <w:sz w:val="16"/>
          <w:szCs w:val="16"/>
        </w:rPr>
        <w:t xml:space="preserve"> w </w:t>
      </w:r>
      <w:r w:rsidRPr="00295C1F">
        <w:rPr>
          <w:rFonts w:asciiTheme="minorHAnsi" w:hAnsiTheme="minorHAnsi" w:cs="Arial"/>
          <w:i/>
          <w:sz w:val="16"/>
          <w:szCs w:val="16"/>
        </w:rPr>
        <w:t xml:space="preserve">odszarach zabudowanych lub niezabudowanych. </w:t>
      </w:r>
    </w:p>
    <w:p w14:paraId="5C5AE194" w14:textId="4D47D48E" w:rsidR="007463B9" w:rsidRDefault="007463B9" w:rsidP="003E14E4">
      <w:pPr>
        <w:pStyle w:val="Tekstprzypisudolnego"/>
      </w:pPr>
      <w:r w:rsidRPr="00295C1F">
        <w:rPr>
          <w:rFonts w:asciiTheme="minorHAnsi" w:hAnsiTheme="minorHAnsi" w:cs="Arial"/>
          <w:i/>
          <w:sz w:val="16"/>
          <w:szCs w:val="16"/>
          <w:lang w:val="en-GB"/>
        </w:rPr>
        <w:t xml:space="preserve">The method refers to non-urban roads on built-up or </w:t>
      </w:r>
      <w:r>
        <w:rPr>
          <w:rFonts w:asciiTheme="minorHAnsi" w:hAnsiTheme="minorHAnsi" w:cs="Arial"/>
          <w:i/>
          <w:sz w:val="16"/>
          <w:szCs w:val="16"/>
          <w:lang w:val="en-GB"/>
        </w:rPr>
        <w:t>undeveloped</w:t>
      </w:r>
      <w:r w:rsidRPr="00295C1F">
        <w:rPr>
          <w:rFonts w:asciiTheme="minorHAnsi" w:hAnsiTheme="minorHAnsi" w:cs="Arial"/>
          <w:i/>
          <w:sz w:val="16"/>
          <w:szCs w:val="16"/>
          <w:lang w:val="en-GB"/>
        </w:rPr>
        <w:t xml:space="preserve">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BF44" w14:textId="77777777" w:rsidR="007463B9" w:rsidRDefault="007463B9">
    <w:pPr>
      <w:pBdr>
        <w:top w:val="nil"/>
        <w:left w:val="nil"/>
        <w:bottom w:val="nil"/>
        <w:right w:val="nil"/>
        <w:between w:val="nil"/>
      </w:pBdr>
      <w:tabs>
        <w:tab w:val="center" w:pos="4536"/>
        <w:tab w:val="right" w:pos="9072"/>
      </w:tabs>
      <w:spacing w:before="12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0856" w14:textId="77777777" w:rsidR="007463B9" w:rsidRDefault="007463B9">
    <w:pPr>
      <w:pBdr>
        <w:top w:val="nil"/>
        <w:left w:val="nil"/>
        <w:bottom w:val="nil"/>
        <w:right w:val="nil"/>
        <w:between w:val="nil"/>
      </w:pBdr>
      <w:tabs>
        <w:tab w:val="center" w:pos="4536"/>
        <w:tab w:val="right" w:pos="9072"/>
      </w:tabs>
      <w:spacing w:before="120"/>
      <w:rPr>
        <w:color w:val="000000"/>
      </w:rPr>
    </w:pPr>
    <w:r>
      <w:rPr>
        <w:noProof/>
        <w:lang w:val="en-GB" w:eastAsia="en-GB"/>
      </w:rPr>
      <w:drawing>
        <wp:anchor distT="0" distB="0" distL="0" distR="0" simplePos="0" relativeHeight="251658240" behindDoc="1" locked="0" layoutInCell="1" hidden="0" allowOverlap="1" wp14:anchorId="271EFA3E" wp14:editId="6A72F636">
          <wp:simplePos x="0" y="0"/>
          <wp:positionH relativeFrom="column">
            <wp:posOffset>-339089</wp:posOffset>
          </wp:positionH>
          <wp:positionV relativeFrom="paragraph">
            <wp:posOffset>254636</wp:posOffset>
          </wp:positionV>
          <wp:extent cx="6799739" cy="9615598"/>
          <wp:effectExtent l="0" t="0" r="0" b="0"/>
          <wp:wrapNone/>
          <wp:docPr id="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
                  <a:srcRect/>
                  <a:stretch>
                    <a:fillRect/>
                  </a:stretch>
                </pic:blipFill>
                <pic:spPr>
                  <a:xfrm>
                    <a:off x="0" y="0"/>
                    <a:ext cx="6799739" cy="96155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DA7E" w14:textId="77777777" w:rsidR="007463B9" w:rsidRDefault="007463B9">
    <w:pPr>
      <w:pBdr>
        <w:top w:val="nil"/>
        <w:left w:val="nil"/>
        <w:bottom w:val="nil"/>
        <w:right w:val="nil"/>
        <w:between w:val="nil"/>
      </w:pBdr>
      <w:tabs>
        <w:tab w:val="center" w:pos="4536"/>
        <w:tab w:val="right" w:pos="9072"/>
        <w:tab w:val="left" w:pos="921"/>
      </w:tabs>
      <w:spacing w:before="120"/>
      <w:rPr>
        <w:color w:val="000000"/>
      </w:rPr>
    </w:pP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9A48" w14:textId="77777777" w:rsidR="007463B9" w:rsidRDefault="007463B9">
    <w:pPr>
      <w:pBdr>
        <w:top w:val="nil"/>
        <w:left w:val="nil"/>
        <w:bottom w:val="nil"/>
        <w:right w:val="nil"/>
        <w:between w:val="nil"/>
      </w:pBdr>
      <w:tabs>
        <w:tab w:val="center" w:pos="4536"/>
        <w:tab w:val="right" w:pos="9072"/>
      </w:tabs>
      <w:spacing w:before="12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DEB3" w14:textId="77777777" w:rsidR="007463B9" w:rsidRDefault="007463B9">
    <w:pPr>
      <w:pBdr>
        <w:top w:val="nil"/>
        <w:left w:val="nil"/>
        <w:bottom w:val="nil"/>
        <w:right w:val="nil"/>
        <w:between w:val="nil"/>
      </w:pBdr>
      <w:tabs>
        <w:tab w:val="center" w:pos="4536"/>
        <w:tab w:val="right" w:pos="9072"/>
      </w:tabs>
      <w:spacing w:before="120"/>
      <w:rPr>
        <w:color w:val="000000"/>
      </w:rPr>
    </w:pPr>
    <w:r>
      <w:rPr>
        <w:noProof/>
        <w:lang w:val="en-GB" w:eastAsia="en-GB"/>
      </w:rPr>
      <w:drawing>
        <wp:anchor distT="0" distB="0" distL="0" distR="0" simplePos="0" relativeHeight="251659264" behindDoc="1" locked="0" layoutInCell="1" hidden="0" allowOverlap="1" wp14:anchorId="575C5FB7" wp14:editId="0DD0D11E">
          <wp:simplePos x="0" y="0"/>
          <wp:positionH relativeFrom="column">
            <wp:posOffset>-186688</wp:posOffset>
          </wp:positionH>
          <wp:positionV relativeFrom="paragraph">
            <wp:posOffset>-69214</wp:posOffset>
          </wp:positionV>
          <wp:extent cx="9615598" cy="6799739"/>
          <wp:effectExtent l="0" t="0" r="0" b="0"/>
          <wp:wrapNone/>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9615598" cy="6799739"/>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1DD2" w14:textId="77777777" w:rsidR="007463B9" w:rsidRDefault="007463B9">
    <w:pPr>
      <w:pBdr>
        <w:top w:val="nil"/>
        <w:left w:val="nil"/>
        <w:bottom w:val="nil"/>
        <w:right w:val="nil"/>
        <w:between w:val="nil"/>
      </w:pBdr>
      <w:tabs>
        <w:tab w:val="center" w:pos="4536"/>
        <w:tab w:val="right" w:pos="9072"/>
      </w:tabs>
      <w:spacing w:before="120"/>
      <w:rPr>
        <w:color w:val="000000"/>
      </w:rPr>
    </w:pPr>
    <w:r>
      <w:rPr>
        <w:noProof/>
        <w:lang w:val="en-GB" w:eastAsia="en-GB"/>
      </w:rPr>
      <w:drawing>
        <wp:anchor distT="0" distB="0" distL="0" distR="0" simplePos="0" relativeHeight="251660288" behindDoc="1" locked="0" layoutInCell="1" hidden="0" allowOverlap="1" wp14:anchorId="1EF31303" wp14:editId="6E2D2CE2">
          <wp:simplePos x="0" y="0"/>
          <wp:positionH relativeFrom="column">
            <wp:posOffset>-184149</wp:posOffset>
          </wp:positionH>
          <wp:positionV relativeFrom="paragraph">
            <wp:posOffset>109854</wp:posOffset>
          </wp:positionV>
          <wp:extent cx="9615600" cy="6800400"/>
          <wp:effectExtent l="0" t="0" r="0" b="0"/>
          <wp:wrapNone/>
          <wp:docPr id="1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
                  <a:srcRect/>
                  <a:stretch>
                    <a:fillRect/>
                  </a:stretch>
                </pic:blipFill>
                <pic:spPr>
                  <a:xfrm>
                    <a:off x="0" y="0"/>
                    <a:ext cx="9615600" cy="6800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singleLevel"/>
    <w:tmpl w:val="0000000F"/>
    <w:name w:val="WW8Num31"/>
    <w:lvl w:ilvl="0">
      <w:start w:val="1"/>
      <w:numFmt w:val="bullet"/>
      <w:lvlText w:val=""/>
      <w:lvlJc w:val="left"/>
      <w:pPr>
        <w:tabs>
          <w:tab w:val="num" w:pos="1037"/>
        </w:tabs>
        <w:ind w:left="1037" w:hanging="360"/>
      </w:pPr>
      <w:rPr>
        <w:rFonts w:ascii="Symbol" w:hAnsi="Symbol"/>
      </w:rPr>
    </w:lvl>
  </w:abstractNum>
  <w:abstractNum w:abstractNumId="1" w15:restartNumberingAfterBreak="0">
    <w:nsid w:val="00000012"/>
    <w:multiLevelType w:val="singleLevel"/>
    <w:tmpl w:val="00000012"/>
    <w:name w:val="WW8Num36"/>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16676E"/>
    <w:multiLevelType w:val="multilevel"/>
    <w:tmpl w:val="6FD6EC7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5B4645"/>
    <w:multiLevelType w:val="hybridMultilevel"/>
    <w:tmpl w:val="22E6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69616F"/>
    <w:multiLevelType w:val="multilevel"/>
    <w:tmpl w:val="4EFA59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16F300D"/>
    <w:multiLevelType w:val="hybridMultilevel"/>
    <w:tmpl w:val="55725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014EA"/>
    <w:multiLevelType w:val="multilevel"/>
    <w:tmpl w:val="2B5005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8D513A5"/>
    <w:multiLevelType w:val="hybridMultilevel"/>
    <w:tmpl w:val="C50C1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DC0887"/>
    <w:multiLevelType w:val="multilevel"/>
    <w:tmpl w:val="BA9802C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CED1B3F"/>
    <w:multiLevelType w:val="multilevel"/>
    <w:tmpl w:val="0A768D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D760B75"/>
    <w:multiLevelType w:val="multilevel"/>
    <w:tmpl w:val="6CD0E6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D9E0EFF"/>
    <w:multiLevelType w:val="multilevel"/>
    <w:tmpl w:val="EB18799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421E69"/>
    <w:multiLevelType w:val="multilevel"/>
    <w:tmpl w:val="9A486986"/>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0F81E54"/>
    <w:multiLevelType w:val="multilevel"/>
    <w:tmpl w:val="4D3429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26B4ACB"/>
    <w:multiLevelType w:val="multilevel"/>
    <w:tmpl w:val="055E26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27B2CC5"/>
    <w:multiLevelType w:val="multilevel"/>
    <w:tmpl w:val="611247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2876B2C"/>
    <w:multiLevelType w:val="multilevel"/>
    <w:tmpl w:val="66C8A1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2AB5131"/>
    <w:multiLevelType w:val="multilevel"/>
    <w:tmpl w:val="369EABB4"/>
    <w:lvl w:ilvl="0">
      <w:start w:val="1"/>
      <w:numFmt w:val="lowerRoman"/>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37F27C3"/>
    <w:multiLevelType w:val="multilevel"/>
    <w:tmpl w:val="4156F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3C9392D"/>
    <w:multiLevelType w:val="multilevel"/>
    <w:tmpl w:val="57BC60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4147C19"/>
    <w:multiLevelType w:val="multilevel"/>
    <w:tmpl w:val="3FBA21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61E3EDC"/>
    <w:multiLevelType w:val="multilevel"/>
    <w:tmpl w:val="9FE6D08C"/>
    <w:lvl w:ilvl="0">
      <w:start w:val="1"/>
      <w:numFmt w:val="bullet"/>
      <w:lvlText w:val="●"/>
      <w:lvlJc w:val="left"/>
      <w:pPr>
        <w:ind w:left="1080" w:hanging="360"/>
      </w:pPr>
      <w:rPr>
        <w:rFonts w:ascii="Noto Sans Symbols" w:eastAsia="Noto Sans Symbols" w:hAnsi="Noto Sans Symbols" w:cs="Noto Sans Symbols"/>
      </w:rPr>
    </w:lvl>
    <w:lvl w:ilvl="1">
      <w:start w:val="1"/>
      <w:numFmt w:val="lowerRoman"/>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3585" w:hanging="705"/>
      </w:p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859540E"/>
    <w:multiLevelType w:val="multilevel"/>
    <w:tmpl w:val="D5BC27B6"/>
    <w:lvl w:ilvl="0">
      <w:start w:val="1"/>
      <w:numFmt w:val="decimal"/>
      <w:lvlText w:val="%1."/>
      <w:lvlJc w:val="left"/>
      <w:pPr>
        <w:ind w:left="720" w:hanging="360"/>
      </w:pPr>
      <w:rPr>
        <w:color w:val="4F81B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CD2DDF"/>
    <w:multiLevelType w:val="multilevel"/>
    <w:tmpl w:val="04965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DF00CD"/>
    <w:multiLevelType w:val="multilevel"/>
    <w:tmpl w:val="C07A80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1BDF68D8"/>
    <w:multiLevelType w:val="multilevel"/>
    <w:tmpl w:val="F95E186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ED57EEA"/>
    <w:multiLevelType w:val="multilevel"/>
    <w:tmpl w:val="7852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F8F7551"/>
    <w:multiLevelType w:val="hybridMultilevel"/>
    <w:tmpl w:val="FB128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1A269D2"/>
    <w:multiLevelType w:val="multilevel"/>
    <w:tmpl w:val="F1062B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7301309"/>
    <w:multiLevelType w:val="multilevel"/>
    <w:tmpl w:val="D58E3A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27CC078D"/>
    <w:multiLevelType w:val="multilevel"/>
    <w:tmpl w:val="A454AB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93636E9"/>
    <w:multiLevelType w:val="hybridMultilevel"/>
    <w:tmpl w:val="9AA89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F147AE"/>
    <w:multiLevelType w:val="multilevel"/>
    <w:tmpl w:val="36EA2A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30B13D70"/>
    <w:multiLevelType w:val="multilevel"/>
    <w:tmpl w:val="48461CE4"/>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
      <w:lvlJc w:val="left"/>
      <w:pPr>
        <w:ind w:left="1353" w:hanging="359"/>
      </w:pPr>
      <w:rPr>
        <w:rFonts w:ascii="Noto Sans Symbols" w:eastAsia="Noto Sans Symbols" w:hAnsi="Noto Sans Symbols" w:cs="Noto Sans Symbols"/>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34" w15:restartNumberingAfterBreak="0">
    <w:nsid w:val="33BA3563"/>
    <w:multiLevelType w:val="multilevel"/>
    <w:tmpl w:val="9EE2ABFC"/>
    <w:lvl w:ilvl="0">
      <w:start w:val="1"/>
      <w:numFmt w:val="bullet"/>
      <w:pStyle w:val="Nagwek1"/>
      <w:lvlText w:val="▪"/>
      <w:lvlJc w:val="left"/>
      <w:pPr>
        <w:ind w:left="720" w:hanging="360"/>
      </w:pPr>
      <w:rPr>
        <w:rFonts w:ascii="Noto Sans Symbols" w:eastAsia="Noto Sans Symbols" w:hAnsi="Noto Sans Symbols" w:cs="Noto Sans Symbols"/>
      </w:rPr>
    </w:lvl>
    <w:lvl w:ilvl="1">
      <w:start w:val="1"/>
      <w:numFmt w:val="bullet"/>
      <w:pStyle w:val="Nagwek2"/>
      <w:lvlText w:val=""/>
      <w:lvlJc w:val="left"/>
      <w:pPr>
        <w:ind w:left="0" w:firstLine="0"/>
      </w:pPr>
    </w:lvl>
    <w:lvl w:ilvl="2">
      <w:start w:val="1"/>
      <w:numFmt w:val="bullet"/>
      <w:pStyle w:val="Nagwek3"/>
      <w:lvlText w:val=""/>
      <w:lvlJc w:val="left"/>
      <w:pPr>
        <w:ind w:left="0" w:firstLine="0"/>
      </w:pPr>
    </w:lvl>
    <w:lvl w:ilvl="3">
      <w:start w:val="1"/>
      <w:numFmt w:val="bullet"/>
      <w:pStyle w:val="Nagwek4"/>
      <w:lvlText w:val=""/>
      <w:lvlJc w:val="left"/>
      <w:pPr>
        <w:ind w:left="0" w:firstLine="0"/>
      </w:pPr>
    </w:lvl>
    <w:lvl w:ilvl="4">
      <w:start w:val="1"/>
      <w:numFmt w:val="bullet"/>
      <w:pStyle w:val="Nagwek5"/>
      <w:lvlText w:val=""/>
      <w:lvlJc w:val="left"/>
      <w:pPr>
        <w:ind w:left="0" w:firstLine="0"/>
      </w:pPr>
    </w:lvl>
    <w:lvl w:ilvl="5">
      <w:start w:val="1"/>
      <w:numFmt w:val="bullet"/>
      <w:pStyle w:val="Nagwek6"/>
      <w:lvlText w:val=""/>
      <w:lvlJc w:val="left"/>
      <w:pPr>
        <w:ind w:left="0" w:firstLine="0"/>
      </w:pPr>
    </w:lvl>
    <w:lvl w:ilvl="6">
      <w:start w:val="1"/>
      <w:numFmt w:val="bullet"/>
      <w:pStyle w:val="Nagwek7"/>
      <w:lvlText w:val=""/>
      <w:lvlJc w:val="left"/>
      <w:pPr>
        <w:ind w:left="0" w:firstLine="0"/>
      </w:pPr>
    </w:lvl>
    <w:lvl w:ilvl="7">
      <w:start w:val="1"/>
      <w:numFmt w:val="bullet"/>
      <w:pStyle w:val="Nagwek8"/>
      <w:lvlText w:val=""/>
      <w:lvlJc w:val="left"/>
      <w:pPr>
        <w:ind w:left="0" w:firstLine="0"/>
      </w:pPr>
    </w:lvl>
    <w:lvl w:ilvl="8">
      <w:start w:val="1"/>
      <w:numFmt w:val="bullet"/>
      <w:pStyle w:val="Nagwek9"/>
      <w:lvlText w:val=""/>
      <w:lvlJc w:val="left"/>
      <w:pPr>
        <w:ind w:left="0" w:firstLine="0"/>
      </w:pPr>
    </w:lvl>
  </w:abstractNum>
  <w:abstractNum w:abstractNumId="35" w15:restartNumberingAfterBreak="0">
    <w:nsid w:val="36ED5402"/>
    <w:multiLevelType w:val="multilevel"/>
    <w:tmpl w:val="18DE45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7881F2E"/>
    <w:multiLevelType w:val="multilevel"/>
    <w:tmpl w:val="A6129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85C7069"/>
    <w:multiLevelType w:val="multilevel"/>
    <w:tmpl w:val="870EA24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8BE1075"/>
    <w:multiLevelType w:val="multilevel"/>
    <w:tmpl w:val="1514E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9292BDC"/>
    <w:multiLevelType w:val="multilevel"/>
    <w:tmpl w:val="AEB84C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96D36EF"/>
    <w:multiLevelType w:val="multilevel"/>
    <w:tmpl w:val="4DC05442"/>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AD12019"/>
    <w:multiLevelType w:val="multilevel"/>
    <w:tmpl w:val="07A6C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BEF1089"/>
    <w:multiLevelType w:val="multilevel"/>
    <w:tmpl w:val="17321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C6A7B79"/>
    <w:multiLevelType w:val="multilevel"/>
    <w:tmpl w:val="4B34669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CCC27CB"/>
    <w:multiLevelType w:val="multilevel"/>
    <w:tmpl w:val="7F0C5A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3CDE5688"/>
    <w:multiLevelType w:val="multilevel"/>
    <w:tmpl w:val="D6028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DC56F06"/>
    <w:multiLevelType w:val="multilevel"/>
    <w:tmpl w:val="F87071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DC74A5D"/>
    <w:multiLevelType w:val="multilevel"/>
    <w:tmpl w:val="1B2005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8C7FEA"/>
    <w:multiLevelType w:val="multilevel"/>
    <w:tmpl w:val="1940F2DC"/>
    <w:lvl w:ilvl="0">
      <w:start w:val="1"/>
      <w:numFmt w:val="decimal"/>
      <w:lvlText w:val="%1."/>
      <w:lvlJc w:val="left"/>
      <w:pPr>
        <w:ind w:left="14760" w:hanging="360"/>
      </w:pPr>
    </w:lvl>
    <w:lvl w:ilvl="1">
      <w:start w:val="1"/>
      <w:numFmt w:val="decimal"/>
      <w:lvlText w:val="%1.%2"/>
      <w:lvlJc w:val="left"/>
      <w:pPr>
        <w:ind w:left="717" w:hanging="576"/>
      </w:pPr>
      <w:rPr>
        <w:i w:val="0"/>
        <w:color w:val="4F81BD"/>
      </w:rPr>
    </w:lvl>
    <w:lvl w:ilvl="2">
      <w:start w:val="1"/>
      <w:numFmt w:val="decimal"/>
      <w:lvlText w:val="%1.%2.%3"/>
      <w:lvlJc w:val="left"/>
      <w:pPr>
        <w:ind w:left="15120" w:hanging="720"/>
      </w:pPr>
      <w:rPr>
        <w:b/>
        <w:i w:val="0"/>
        <w:smallCaps w:val="0"/>
        <w:strike w:val="0"/>
        <w:color w:val="4F81BD"/>
        <w:u w:val="none"/>
        <w:vertAlign w:val="baseline"/>
      </w:rPr>
    </w:lvl>
    <w:lvl w:ilvl="3">
      <w:start w:val="1"/>
      <w:numFmt w:val="decimal"/>
      <w:lvlText w:val="%1.%2.%3.%4"/>
      <w:lvlJc w:val="left"/>
      <w:pPr>
        <w:ind w:left="15264" w:hanging="864"/>
      </w:pPr>
    </w:lvl>
    <w:lvl w:ilvl="4">
      <w:start w:val="1"/>
      <w:numFmt w:val="decimal"/>
      <w:lvlText w:val="%1.%2.%3.%4.%5"/>
      <w:lvlJc w:val="left"/>
      <w:pPr>
        <w:ind w:left="15408" w:hanging="1008"/>
      </w:pPr>
    </w:lvl>
    <w:lvl w:ilvl="5">
      <w:start w:val="1"/>
      <w:numFmt w:val="decimal"/>
      <w:lvlText w:val="%1.%2.%3.%4.%5.%6"/>
      <w:lvlJc w:val="left"/>
      <w:pPr>
        <w:ind w:left="15552" w:hanging="1152"/>
      </w:pPr>
    </w:lvl>
    <w:lvl w:ilvl="6">
      <w:start w:val="1"/>
      <w:numFmt w:val="decimal"/>
      <w:lvlText w:val="%1.%2.%3.%4.%5.%6.%7"/>
      <w:lvlJc w:val="left"/>
      <w:pPr>
        <w:ind w:left="15696" w:hanging="1296"/>
      </w:pPr>
    </w:lvl>
    <w:lvl w:ilvl="7">
      <w:start w:val="1"/>
      <w:numFmt w:val="decimal"/>
      <w:lvlText w:val="%1.%2.%3.%4.%5.%6.%7.%8"/>
      <w:lvlJc w:val="left"/>
      <w:pPr>
        <w:ind w:left="15840" w:hanging="1440"/>
      </w:pPr>
    </w:lvl>
    <w:lvl w:ilvl="8">
      <w:start w:val="1"/>
      <w:numFmt w:val="decimal"/>
      <w:lvlText w:val="%1.%2.%3.%4.%5.%6.%7.%8.%9"/>
      <w:lvlJc w:val="left"/>
      <w:pPr>
        <w:ind w:left="15984" w:hanging="1584"/>
      </w:pPr>
    </w:lvl>
  </w:abstractNum>
  <w:abstractNum w:abstractNumId="49" w15:restartNumberingAfterBreak="0">
    <w:nsid w:val="40D277F8"/>
    <w:multiLevelType w:val="multilevel"/>
    <w:tmpl w:val="8D0C8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A57790"/>
    <w:multiLevelType w:val="multilevel"/>
    <w:tmpl w:val="5FE65A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43513F56"/>
    <w:multiLevelType w:val="multilevel"/>
    <w:tmpl w:val="FCB414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438807E8"/>
    <w:multiLevelType w:val="multilevel"/>
    <w:tmpl w:val="DC5A085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53" w15:restartNumberingAfterBreak="0">
    <w:nsid w:val="43C22DD3"/>
    <w:multiLevelType w:val="multilevel"/>
    <w:tmpl w:val="6144E0B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4" w15:restartNumberingAfterBreak="0">
    <w:nsid w:val="43D159FE"/>
    <w:multiLevelType w:val="multilevel"/>
    <w:tmpl w:val="5B1487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5F2257D"/>
    <w:multiLevelType w:val="multilevel"/>
    <w:tmpl w:val="CBE6CEB6"/>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47234585"/>
    <w:multiLevelType w:val="multilevel"/>
    <w:tmpl w:val="6BCE5F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959192F"/>
    <w:multiLevelType w:val="multilevel"/>
    <w:tmpl w:val="9DBA5E88"/>
    <w:lvl w:ilvl="0">
      <w:start w:val="1"/>
      <w:numFmt w:val="bullet"/>
      <w:lvlText w:val="●"/>
      <w:lvlJc w:val="left"/>
      <w:pPr>
        <w:ind w:left="720" w:hanging="360"/>
      </w:pPr>
      <w:rPr>
        <w:rFonts w:ascii="Noto Sans Symbols" w:eastAsia="Noto Sans Symbols" w:hAnsi="Noto Sans Symbols" w:cs="Noto Sans Symbols"/>
        <w:color w:val="4F81B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9760427"/>
    <w:multiLevelType w:val="multilevel"/>
    <w:tmpl w:val="EFB0D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1642C6"/>
    <w:multiLevelType w:val="multilevel"/>
    <w:tmpl w:val="F39C32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CAE6C21"/>
    <w:multiLevelType w:val="multilevel"/>
    <w:tmpl w:val="EF7028B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
      <w:lvlJc w:val="left"/>
      <w:pPr>
        <w:ind w:left="1789" w:hanging="360"/>
      </w:pPr>
      <w:rPr>
        <w:rFonts w:ascii="Noto Sans Symbols" w:eastAsia="Noto Sans Symbols" w:hAnsi="Noto Sans Symbols" w:cs="Noto Sans Symbols"/>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1" w15:restartNumberingAfterBreak="0">
    <w:nsid w:val="4F5B2A53"/>
    <w:multiLevelType w:val="multilevel"/>
    <w:tmpl w:val="DDE4F2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FC50785"/>
    <w:multiLevelType w:val="multilevel"/>
    <w:tmpl w:val="3DF2E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514874EE"/>
    <w:multiLevelType w:val="multilevel"/>
    <w:tmpl w:val="19CE6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317531C"/>
    <w:multiLevelType w:val="multilevel"/>
    <w:tmpl w:val="4AA4F4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556602D4"/>
    <w:multiLevelType w:val="multilevel"/>
    <w:tmpl w:val="6C2655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64C6EBB"/>
    <w:multiLevelType w:val="multilevel"/>
    <w:tmpl w:val="AD6A3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6FB159C"/>
    <w:multiLevelType w:val="multilevel"/>
    <w:tmpl w:val="5B6E1000"/>
    <w:lvl w:ilvl="0">
      <w:start w:val="1"/>
      <w:numFmt w:val="bullet"/>
      <w:lvlText w:val="·"/>
      <w:lvlJc w:val="left"/>
      <w:pPr>
        <w:ind w:left="1485" w:hanging="360"/>
      </w:pPr>
      <w:rPr>
        <w:rFonts w:ascii="Arial" w:eastAsia="Arial" w:hAnsi="Arial" w:cs="Arial"/>
      </w:rPr>
    </w:lvl>
    <w:lvl w:ilvl="1">
      <w:start w:val="1"/>
      <w:numFmt w:val="bullet"/>
      <w:lvlText w:val="·"/>
      <w:lvlJc w:val="left"/>
      <w:pPr>
        <w:ind w:left="2205" w:hanging="360"/>
      </w:pPr>
      <w:rPr>
        <w:rFonts w:ascii="Arial" w:eastAsia="Arial" w:hAnsi="Arial" w:cs="Arial"/>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68" w15:restartNumberingAfterBreak="0">
    <w:nsid w:val="59625D14"/>
    <w:multiLevelType w:val="multilevel"/>
    <w:tmpl w:val="2C18F5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C6F4D49"/>
    <w:multiLevelType w:val="multilevel"/>
    <w:tmpl w:val="53D8E0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63" w:hanging="360"/>
      </w:pPr>
      <w:rPr>
        <w:rFonts w:ascii="Courier New" w:eastAsia="Courier New" w:hAnsi="Courier New" w:cs="Courier New"/>
      </w:rPr>
    </w:lvl>
    <w:lvl w:ilvl="2">
      <w:start w:val="1"/>
      <w:numFmt w:val="bullet"/>
      <w:lvlText w:val="▪"/>
      <w:lvlJc w:val="left"/>
      <w:pPr>
        <w:ind w:left="1483" w:hanging="360"/>
      </w:pPr>
      <w:rPr>
        <w:rFonts w:ascii="Noto Sans Symbols" w:eastAsia="Noto Sans Symbols" w:hAnsi="Noto Sans Symbols" w:cs="Noto Sans Symbols"/>
      </w:rPr>
    </w:lvl>
    <w:lvl w:ilvl="3">
      <w:start w:val="1"/>
      <w:numFmt w:val="bullet"/>
      <w:lvlText w:val="●"/>
      <w:lvlJc w:val="left"/>
      <w:pPr>
        <w:ind w:left="2203" w:hanging="360"/>
      </w:pPr>
      <w:rPr>
        <w:rFonts w:ascii="Noto Sans Symbols" w:eastAsia="Noto Sans Symbols" w:hAnsi="Noto Sans Symbols" w:cs="Noto Sans Symbols"/>
      </w:rPr>
    </w:lvl>
    <w:lvl w:ilvl="4">
      <w:start w:val="1"/>
      <w:numFmt w:val="bullet"/>
      <w:lvlText w:val="o"/>
      <w:lvlJc w:val="left"/>
      <w:pPr>
        <w:ind w:left="2923" w:hanging="360"/>
      </w:pPr>
      <w:rPr>
        <w:rFonts w:ascii="Courier New" w:eastAsia="Courier New" w:hAnsi="Courier New" w:cs="Courier New"/>
      </w:rPr>
    </w:lvl>
    <w:lvl w:ilvl="5">
      <w:start w:val="1"/>
      <w:numFmt w:val="bullet"/>
      <w:lvlText w:val="▪"/>
      <w:lvlJc w:val="left"/>
      <w:pPr>
        <w:ind w:left="3643" w:hanging="360"/>
      </w:pPr>
      <w:rPr>
        <w:rFonts w:ascii="Noto Sans Symbols" w:eastAsia="Noto Sans Symbols" w:hAnsi="Noto Sans Symbols" w:cs="Noto Sans Symbols"/>
      </w:rPr>
    </w:lvl>
    <w:lvl w:ilvl="6">
      <w:start w:val="1"/>
      <w:numFmt w:val="bullet"/>
      <w:lvlText w:val="●"/>
      <w:lvlJc w:val="left"/>
      <w:pPr>
        <w:ind w:left="4363" w:hanging="360"/>
      </w:pPr>
      <w:rPr>
        <w:rFonts w:ascii="Noto Sans Symbols" w:eastAsia="Noto Sans Symbols" w:hAnsi="Noto Sans Symbols" w:cs="Noto Sans Symbols"/>
      </w:rPr>
    </w:lvl>
    <w:lvl w:ilvl="7">
      <w:start w:val="1"/>
      <w:numFmt w:val="bullet"/>
      <w:lvlText w:val="o"/>
      <w:lvlJc w:val="left"/>
      <w:pPr>
        <w:ind w:left="5083" w:hanging="360"/>
      </w:pPr>
      <w:rPr>
        <w:rFonts w:ascii="Courier New" w:eastAsia="Courier New" w:hAnsi="Courier New" w:cs="Courier New"/>
      </w:rPr>
    </w:lvl>
    <w:lvl w:ilvl="8">
      <w:start w:val="1"/>
      <w:numFmt w:val="bullet"/>
      <w:lvlText w:val="▪"/>
      <w:lvlJc w:val="left"/>
      <w:pPr>
        <w:ind w:left="5803" w:hanging="360"/>
      </w:pPr>
      <w:rPr>
        <w:rFonts w:ascii="Noto Sans Symbols" w:eastAsia="Noto Sans Symbols" w:hAnsi="Noto Sans Symbols" w:cs="Noto Sans Symbols"/>
      </w:rPr>
    </w:lvl>
  </w:abstractNum>
  <w:abstractNum w:abstractNumId="70" w15:restartNumberingAfterBreak="0">
    <w:nsid w:val="5CDD6604"/>
    <w:multiLevelType w:val="multilevel"/>
    <w:tmpl w:val="DE4A588C"/>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71" w15:restartNumberingAfterBreak="0">
    <w:nsid w:val="5D781CE2"/>
    <w:multiLevelType w:val="multilevel"/>
    <w:tmpl w:val="A5B810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5FC430C1"/>
    <w:multiLevelType w:val="multilevel"/>
    <w:tmpl w:val="1D30FCE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3" w15:restartNumberingAfterBreak="0">
    <w:nsid w:val="657874C0"/>
    <w:multiLevelType w:val="multilevel"/>
    <w:tmpl w:val="69DA702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62F6F44"/>
    <w:multiLevelType w:val="multilevel"/>
    <w:tmpl w:val="A48403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7185E98"/>
    <w:multiLevelType w:val="multilevel"/>
    <w:tmpl w:val="6E54EF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7556E78"/>
    <w:multiLevelType w:val="multilevel"/>
    <w:tmpl w:val="6132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7A312C8"/>
    <w:multiLevelType w:val="multilevel"/>
    <w:tmpl w:val="69E011E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8" w15:restartNumberingAfterBreak="0">
    <w:nsid w:val="6A4C2687"/>
    <w:multiLevelType w:val="multilevel"/>
    <w:tmpl w:val="96085EEA"/>
    <w:lvl w:ilvl="0">
      <w:start w:val="1"/>
      <w:numFmt w:val="lowerRoman"/>
      <w:pStyle w:val="Listapunktowana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A9473BC"/>
    <w:multiLevelType w:val="multilevel"/>
    <w:tmpl w:val="AC9E95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ACB2C0F"/>
    <w:multiLevelType w:val="hybridMultilevel"/>
    <w:tmpl w:val="F528A172"/>
    <w:styleLink w:val="Artykusekcja4"/>
    <w:lvl w:ilvl="0" w:tplc="DA24407C">
      <w:start w:val="1"/>
      <w:numFmt w:val="bullet"/>
      <w:lvlText w:val=""/>
      <w:lvlJc w:val="left"/>
      <w:pPr>
        <w:tabs>
          <w:tab w:val="num" w:pos="1070"/>
        </w:tabs>
        <w:ind w:left="1070" w:hanging="360"/>
      </w:pPr>
      <w:rPr>
        <w:rFonts w:ascii="Symbol" w:hAnsi="Symbol" w:hint="default"/>
      </w:rPr>
    </w:lvl>
    <w:lvl w:ilvl="1" w:tplc="9758AFA2">
      <w:start w:val="1"/>
      <w:numFmt w:val="bullet"/>
      <w:lvlText w:val=""/>
      <w:lvlJc w:val="left"/>
      <w:pPr>
        <w:tabs>
          <w:tab w:val="num" w:pos="1788"/>
        </w:tabs>
        <w:ind w:left="1788" w:hanging="360"/>
      </w:pPr>
      <w:rPr>
        <w:rFonts w:ascii="Wingdings" w:hAnsi="Wingdings" w:hint="default"/>
      </w:rPr>
    </w:lvl>
    <w:lvl w:ilvl="2" w:tplc="0415001B">
      <w:start w:val="1"/>
      <w:numFmt w:val="lowerRoman"/>
      <w:lvlText w:val="%3."/>
      <w:lvlJc w:val="right"/>
      <w:pPr>
        <w:tabs>
          <w:tab w:val="num" w:pos="2508"/>
        </w:tabs>
        <w:ind w:left="2508" w:hanging="180"/>
      </w:pPr>
      <w:rPr>
        <w:rFonts w:cs="Times New Roman"/>
      </w:rPr>
    </w:lvl>
    <w:lvl w:ilvl="3" w:tplc="0415000F">
      <w:start w:val="1"/>
      <w:numFmt w:val="decimal"/>
      <w:lvlText w:val="%4."/>
      <w:lvlJc w:val="left"/>
      <w:pPr>
        <w:tabs>
          <w:tab w:val="num" w:pos="3228"/>
        </w:tabs>
        <w:ind w:left="3228" w:hanging="360"/>
      </w:pPr>
      <w:rPr>
        <w:rFonts w:cs="Times New Roman"/>
      </w:rPr>
    </w:lvl>
    <w:lvl w:ilvl="4" w:tplc="04150019">
      <w:start w:val="1"/>
      <w:numFmt w:val="lowerLetter"/>
      <w:lvlText w:val="%5."/>
      <w:lvlJc w:val="left"/>
      <w:pPr>
        <w:tabs>
          <w:tab w:val="num" w:pos="3948"/>
        </w:tabs>
        <w:ind w:left="3948" w:hanging="360"/>
      </w:pPr>
      <w:rPr>
        <w:rFonts w:cs="Times New Roman"/>
      </w:rPr>
    </w:lvl>
    <w:lvl w:ilvl="5" w:tplc="0415001B">
      <w:start w:val="1"/>
      <w:numFmt w:val="lowerRoman"/>
      <w:lvlText w:val="%6."/>
      <w:lvlJc w:val="right"/>
      <w:pPr>
        <w:tabs>
          <w:tab w:val="num" w:pos="4668"/>
        </w:tabs>
        <w:ind w:left="4668" w:hanging="180"/>
      </w:pPr>
      <w:rPr>
        <w:rFonts w:cs="Times New Roman"/>
      </w:rPr>
    </w:lvl>
    <w:lvl w:ilvl="6" w:tplc="0415000F">
      <w:start w:val="1"/>
      <w:numFmt w:val="decimal"/>
      <w:lvlText w:val="%7."/>
      <w:lvlJc w:val="left"/>
      <w:pPr>
        <w:tabs>
          <w:tab w:val="num" w:pos="5388"/>
        </w:tabs>
        <w:ind w:left="5388" w:hanging="360"/>
      </w:pPr>
      <w:rPr>
        <w:rFonts w:cs="Times New Roman"/>
      </w:rPr>
    </w:lvl>
    <w:lvl w:ilvl="7" w:tplc="04150019">
      <w:start w:val="1"/>
      <w:numFmt w:val="lowerLetter"/>
      <w:lvlText w:val="%8."/>
      <w:lvlJc w:val="left"/>
      <w:pPr>
        <w:tabs>
          <w:tab w:val="num" w:pos="6108"/>
        </w:tabs>
        <w:ind w:left="6108" w:hanging="360"/>
      </w:pPr>
      <w:rPr>
        <w:rFonts w:cs="Times New Roman"/>
      </w:rPr>
    </w:lvl>
    <w:lvl w:ilvl="8" w:tplc="0415001B">
      <w:start w:val="1"/>
      <w:numFmt w:val="lowerRoman"/>
      <w:lvlText w:val="%9."/>
      <w:lvlJc w:val="right"/>
      <w:pPr>
        <w:tabs>
          <w:tab w:val="num" w:pos="6828"/>
        </w:tabs>
        <w:ind w:left="6828" w:hanging="180"/>
      </w:pPr>
      <w:rPr>
        <w:rFonts w:cs="Times New Roman"/>
      </w:rPr>
    </w:lvl>
  </w:abstractNum>
  <w:abstractNum w:abstractNumId="81" w15:restartNumberingAfterBreak="0">
    <w:nsid w:val="6C0A0B3E"/>
    <w:multiLevelType w:val="multilevel"/>
    <w:tmpl w:val="D6C4DC9A"/>
    <w:lvl w:ilvl="0">
      <w:start w:val="1"/>
      <w:numFmt w:val="lowerRoman"/>
      <w:lvlText w:val="(%1)"/>
      <w:lvlJc w:val="left"/>
      <w:pPr>
        <w:ind w:left="1440" w:hanging="720"/>
      </w:pPr>
    </w:lvl>
    <w:lvl w:ilvl="1">
      <w:start w:val="1"/>
      <w:numFmt w:val="decimal"/>
      <w:lvlText w:val="%2."/>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6CC168A5"/>
    <w:multiLevelType w:val="multilevel"/>
    <w:tmpl w:val="A2BEF8E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3" w15:restartNumberingAfterBreak="0">
    <w:nsid w:val="6DF402D1"/>
    <w:multiLevelType w:val="multilevel"/>
    <w:tmpl w:val="5E509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F212372"/>
    <w:multiLevelType w:val="multilevel"/>
    <w:tmpl w:val="E83AB6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1313209"/>
    <w:multiLevelType w:val="multilevel"/>
    <w:tmpl w:val="67E8BD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1906BDD"/>
    <w:multiLevelType w:val="multilevel"/>
    <w:tmpl w:val="B1FA74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7885CE7"/>
    <w:multiLevelType w:val="multilevel"/>
    <w:tmpl w:val="B55CFE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91729E7"/>
    <w:multiLevelType w:val="hybridMultilevel"/>
    <w:tmpl w:val="9FB2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267E52"/>
    <w:multiLevelType w:val="multilevel"/>
    <w:tmpl w:val="E54E63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9626CC1"/>
    <w:multiLevelType w:val="multilevel"/>
    <w:tmpl w:val="E29E62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D3C3F34"/>
    <w:multiLevelType w:val="multilevel"/>
    <w:tmpl w:val="008C5A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D5B55F3"/>
    <w:multiLevelType w:val="hybridMultilevel"/>
    <w:tmpl w:val="1C4E3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7D812407"/>
    <w:multiLevelType w:val="hybridMultilevel"/>
    <w:tmpl w:val="AC3C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5857BB"/>
    <w:multiLevelType w:val="multilevel"/>
    <w:tmpl w:val="EE28F65C"/>
    <w:lvl w:ilvl="0">
      <w:start w:val="1"/>
      <w:numFmt w:val="bullet"/>
      <w:pStyle w:val="Listapunktowana"/>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53"/>
  </w:num>
  <w:num w:numId="3">
    <w:abstractNumId w:val="57"/>
  </w:num>
  <w:num w:numId="4">
    <w:abstractNumId w:val="14"/>
  </w:num>
  <w:num w:numId="5">
    <w:abstractNumId w:val="25"/>
  </w:num>
  <w:num w:numId="6">
    <w:abstractNumId w:val="41"/>
  </w:num>
  <w:num w:numId="7">
    <w:abstractNumId w:val="51"/>
  </w:num>
  <w:num w:numId="8">
    <w:abstractNumId w:val="72"/>
  </w:num>
  <w:num w:numId="9">
    <w:abstractNumId w:val="38"/>
  </w:num>
  <w:num w:numId="10">
    <w:abstractNumId w:val="29"/>
  </w:num>
  <w:num w:numId="11">
    <w:abstractNumId w:val="33"/>
  </w:num>
  <w:num w:numId="12">
    <w:abstractNumId w:val="67"/>
  </w:num>
  <w:num w:numId="13">
    <w:abstractNumId w:val="9"/>
  </w:num>
  <w:num w:numId="14">
    <w:abstractNumId w:val="6"/>
  </w:num>
  <w:num w:numId="15">
    <w:abstractNumId w:val="40"/>
  </w:num>
  <w:num w:numId="16">
    <w:abstractNumId w:val="37"/>
  </w:num>
  <w:num w:numId="17">
    <w:abstractNumId w:val="48"/>
  </w:num>
  <w:num w:numId="18">
    <w:abstractNumId w:val="54"/>
  </w:num>
  <w:num w:numId="19">
    <w:abstractNumId w:val="56"/>
  </w:num>
  <w:num w:numId="20">
    <w:abstractNumId w:val="36"/>
  </w:num>
  <w:num w:numId="21">
    <w:abstractNumId w:val="12"/>
  </w:num>
  <w:num w:numId="22">
    <w:abstractNumId w:val="60"/>
  </w:num>
  <w:num w:numId="23">
    <w:abstractNumId w:val="76"/>
  </w:num>
  <w:num w:numId="24">
    <w:abstractNumId w:val="94"/>
  </w:num>
  <w:num w:numId="25">
    <w:abstractNumId w:val="78"/>
  </w:num>
  <w:num w:numId="26">
    <w:abstractNumId w:val="73"/>
  </w:num>
  <w:num w:numId="27">
    <w:abstractNumId w:val="43"/>
  </w:num>
  <w:num w:numId="28">
    <w:abstractNumId w:val="11"/>
  </w:num>
  <w:num w:numId="29">
    <w:abstractNumId w:val="47"/>
  </w:num>
  <w:num w:numId="30">
    <w:abstractNumId w:val="18"/>
  </w:num>
  <w:num w:numId="31">
    <w:abstractNumId w:val="68"/>
  </w:num>
  <w:num w:numId="32">
    <w:abstractNumId w:val="86"/>
  </w:num>
  <w:num w:numId="33">
    <w:abstractNumId w:val="81"/>
  </w:num>
  <w:num w:numId="34">
    <w:abstractNumId w:val="61"/>
  </w:num>
  <w:num w:numId="35">
    <w:abstractNumId w:val="77"/>
  </w:num>
  <w:num w:numId="36">
    <w:abstractNumId w:val="2"/>
  </w:num>
  <w:num w:numId="37">
    <w:abstractNumId w:val="8"/>
  </w:num>
  <w:num w:numId="38">
    <w:abstractNumId w:val="45"/>
  </w:num>
  <w:num w:numId="39">
    <w:abstractNumId w:val="55"/>
  </w:num>
  <w:num w:numId="40">
    <w:abstractNumId w:val="82"/>
  </w:num>
  <w:num w:numId="41">
    <w:abstractNumId w:val="26"/>
  </w:num>
  <w:num w:numId="42">
    <w:abstractNumId w:val="32"/>
  </w:num>
  <w:num w:numId="43">
    <w:abstractNumId w:val="70"/>
  </w:num>
  <w:num w:numId="44">
    <w:abstractNumId w:val="42"/>
  </w:num>
  <w:num w:numId="45">
    <w:abstractNumId w:val="16"/>
  </w:num>
  <w:num w:numId="46">
    <w:abstractNumId w:val="58"/>
  </w:num>
  <w:num w:numId="47">
    <w:abstractNumId w:val="50"/>
  </w:num>
  <w:num w:numId="48">
    <w:abstractNumId w:val="22"/>
  </w:num>
  <w:num w:numId="49">
    <w:abstractNumId w:val="69"/>
  </w:num>
  <w:num w:numId="50">
    <w:abstractNumId w:val="87"/>
  </w:num>
  <w:num w:numId="51">
    <w:abstractNumId w:val="83"/>
  </w:num>
  <w:num w:numId="52">
    <w:abstractNumId w:val="21"/>
  </w:num>
  <w:num w:numId="53">
    <w:abstractNumId w:val="10"/>
  </w:num>
  <w:num w:numId="54">
    <w:abstractNumId w:val="84"/>
  </w:num>
  <w:num w:numId="55">
    <w:abstractNumId w:val="79"/>
  </w:num>
  <w:num w:numId="56">
    <w:abstractNumId w:val="17"/>
  </w:num>
  <w:num w:numId="57">
    <w:abstractNumId w:val="71"/>
  </w:num>
  <w:num w:numId="58">
    <w:abstractNumId w:val="13"/>
  </w:num>
  <w:num w:numId="59">
    <w:abstractNumId w:val="66"/>
  </w:num>
  <w:num w:numId="60">
    <w:abstractNumId w:val="63"/>
  </w:num>
  <w:num w:numId="61">
    <w:abstractNumId w:val="65"/>
  </w:num>
  <w:num w:numId="62">
    <w:abstractNumId w:val="4"/>
  </w:num>
  <w:num w:numId="63">
    <w:abstractNumId w:val="64"/>
  </w:num>
  <w:num w:numId="64">
    <w:abstractNumId w:val="23"/>
  </w:num>
  <w:num w:numId="65">
    <w:abstractNumId w:val="85"/>
  </w:num>
  <w:num w:numId="66">
    <w:abstractNumId w:val="24"/>
  </w:num>
  <w:num w:numId="67">
    <w:abstractNumId w:val="59"/>
  </w:num>
  <w:num w:numId="68">
    <w:abstractNumId w:val="15"/>
  </w:num>
  <w:num w:numId="69">
    <w:abstractNumId w:val="62"/>
  </w:num>
  <w:num w:numId="70">
    <w:abstractNumId w:val="20"/>
  </w:num>
  <w:num w:numId="71">
    <w:abstractNumId w:val="74"/>
  </w:num>
  <w:num w:numId="72">
    <w:abstractNumId w:val="89"/>
  </w:num>
  <w:num w:numId="73">
    <w:abstractNumId w:val="19"/>
  </w:num>
  <w:num w:numId="74">
    <w:abstractNumId w:val="44"/>
  </w:num>
  <w:num w:numId="75">
    <w:abstractNumId w:val="75"/>
  </w:num>
  <w:num w:numId="76">
    <w:abstractNumId w:val="46"/>
  </w:num>
  <w:num w:numId="77">
    <w:abstractNumId w:val="90"/>
  </w:num>
  <w:num w:numId="78">
    <w:abstractNumId w:val="35"/>
  </w:num>
  <w:num w:numId="79">
    <w:abstractNumId w:val="39"/>
  </w:num>
  <w:num w:numId="80">
    <w:abstractNumId w:val="91"/>
  </w:num>
  <w:num w:numId="81">
    <w:abstractNumId w:val="52"/>
  </w:num>
  <w:num w:numId="82">
    <w:abstractNumId w:val="28"/>
  </w:num>
  <w:num w:numId="83">
    <w:abstractNumId w:val="30"/>
  </w:num>
  <w:num w:numId="84">
    <w:abstractNumId w:val="49"/>
  </w:num>
  <w:num w:numId="85">
    <w:abstractNumId w:val="31"/>
  </w:num>
  <w:num w:numId="86">
    <w:abstractNumId w:val="92"/>
  </w:num>
  <w:num w:numId="87">
    <w:abstractNumId w:val="80"/>
  </w:num>
  <w:num w:numId="88">
    <w:abstractNumId w:val="7"/>
  </w:num>
  <w:num w:numId="89">
    <w:abstractNumId w:val="3"/>
  </w:num>
  <w:num w:numId="90">
    <w:abstractNumId w:val="93"/>
  </w:num>
  <w:num w:numId="91">
    <w:abstractNumId w:val="88"/>
  </w:num>
  <w:num w:numId="92">
    <w:abstractNumId w:val="5"/>
  </w:num>
  <w:num w:numId="93">
    <w:abstractNumId w:val="27"/>
  </w:num>
  <w:num w:numId="94">
    <w:abstractNumId w:val="34"/>
  </w:num>
  <w:num w:numId="95">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defaultTabStop w:val="720"/>
  <w:hyphenationZone w:val="425"/>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DEE"/>
    <w:rsid w:val="000117E4"/>
    <w:rsid w:val="00016F7C"/>
    <w:rsid w:val="00023AC0"/>
    <w:rsid w:val="00073743"/>
    <w:rsid w:val="00075E15"/>
    <w:rsid w:val="000876A2"/>
    <w:rsid w:val="000927FA"/>
    <w:rsid w:val="000A249F"/>
    <w:rsid w:val="0010419F"/>
    <w:rsid w:val="00105C0A"/>
    <w:rsid w:val="001147E5"/>
    <w:rsid w:val="0012376F"/>
    <w:rsid w:val="00126CBA"/>
    <w:rsid w:val="00132C08"/>
    <w:rsid w:val="00151B63"/>
    <w:rsid w:val="0016169D"/>
    <w:rsid w:val="00173EC8"/>
    <w:rsid w:val="001740B4"/>
    <w:rsid w:val="0018582B"/>
    <w:rsid w:val="00193C5C"/>
    <w:rsid w:val="001B2F24"/>
    <w:rsid w:val="001D3DF3"/>
    <w:rsid w:val="001E05E4"/>
    <w:rsid w:val="001E28E8"/>
    <w:rsid w:val="001F6CAA"/>
    <w:rsid w:val="00203981"/>
    <w:rsid w:val="00214038"/>
    <w:rsid w:val="00243160"/>
    <w:rsid w:val="002C1CA0"/>
    <w:rsid w:val="002D4835"/>
    <w:rsid w:val="002D634C"/>
    <w:rsid w:val="002E5C0A"/>
    <w:rsid w:val="002E72AB"/>
    <w:rsid w:val="00307C29"/>
    <w:rsid w:val="0033563B"/>
    <w:rsid w:val="003365B1"/>
    <w:rsid w:val="00343533"/>
    <w:rsid w:val="003441F7"/>
    <w:rsid w:val="0035488D"/>
    <w:rsid w:val="00374F74"/>
    <w:rsid w:val="003900E8"/>
    <w:rsid w:val="0039454C"/>
    <w:rsid w:val="003A38F9"/>
    <w:rsid w:val="003B4C7E"/>
    <w:rsid w:val="003B6BDE"/>
    <w:rsid w:val="003D1D69"/>
    <w:rsid w:val="003D2AC3"/>
    <w:rsid w:val="003E14E4"/>
    <w:rsid w:val="003E2A27"/>
    <w:rsid w:val="003E6FD4"/>
    <w:rsid w:val="003E7F50"/>
    <w:rsid w:val="00416DAD"/>
    <w:rsid w:val="00427449"/>
    <w:rsid w:val="00436121"/>
    <w:rsid w:val="0045151D"/>
    <w:rsid w:val="00482C1E"/>
    <w:rsid w:val="00491878"/>
    <w:rsid w:val="00497CC7"/>
    <w:rsid w:val="004D5549"/>
    <w:rsid w:val="00505091"/>
    <w:rsid w:val="005319D5"/>
    <w:rsid w:val="00535A35"/>
    <w:rsid w:val="00542062"/>
    <w:rsid w:val="00573A14"/>
    <w:rsid w:val="005771F2"/>
    <w:rsid w:val="00596D75"/>
    <w:rsid w:val="005B1B5B"/>
    <w:rsid w:val="005B413F"/>
    <w:rsid w:val="005B78EB"/>
    <w:rsid w:val="005C3677"/>
    <w:rsid w:val="005C4AAD"/>
    <w:rsid w:val="00600DEE"/>
    <w:rsid w:val="006138AF"/>
    <w:rsid w:val="00615598"/>
    <w:rsid w:val="00620161"/>
    <w:rsid w:val="00621F49"/>
    <w:rsid w:val="00641FB5"/>
    <w:rsid w:val="0065009A"/>
    <w:rsid w:val="006518C3"/>
    <w:rsid w:val="006543EE"/>
    <w:rsid w:val="00661345"/>
    <w:rsid w:val="0067350B"/>
    <w:rsid w:val="00673661"/>
    <w:rsid w:val="006C2564"/>
    <w:rsid w:val="006C5DD9"/>
    <w:rsid w:val="006D0B72"/>
    <w:rsid w:val="006E3D76"/>
    <w:rsid w:val="006F4A2D"/>
    <w:rsid w:val="00701BA3"/>
    <w:rsid w:val="007022E3"/>
    <w:rsid w:val="00704E67"/>
    <w:rsid w:val="00716A93"/>
    <w:rsid w:val="007274C4"/>
    <w:rsid w:val="007308A9"/>
    <w:rsid w:val="0073146B"/>
    <w:rsid w:val="00737E3B"/>
    <w:rsid w:val="007463B9"/>
    <w:rsid w:val="00746969"/>
    <w:rsid w:val="00751A5A"/>
    <w:rsid w:val="007628DF"/>
    <w:rsid w:val="00773CE0"/>
    <w:rsid w:val="00784B01"/>
    <w:rsid w:val="0079382E"/>
    <w:rsid w:val="007B00D8"/>
    <w:rsid w:val="007C5777"/>
    <w:rsid w:val="007E2ECA"/>
    <w:rsid w:val="007F6986"/>
    <w:rsid w:val="0080071C"/>
    <w:rsid w:val="00806716"/>
    <w:rsid w:val="008107FB"/>
    <w:rsid w:val="008155F6"/>
    <w:rsid w:val="00837547"/>
    <w:rsid w:val="00841992"/>
    <w:rsid w:val="0084328D"/>
    <w:rsid w:val="00851559"/>
    <w:rsid w:val="008560D7"/>
    <w:rsid w:val="00880D09"/>
    <w:rsid w:val="0089490C"/>
    <w:rsid w:val="00897A74"/>
    <w:rsid w:val="008A523C"/>
    <w:rsid w:val="008B2B85"/>
    <w:rsid w:val="008C36AC"/>
    <w:rsid w:val="008C4407"/>
    <w:rsid w:val="008F06BF"/>
    <w:rsid w:val="008F79AD"/>
    <w:rsid w:val="0090055C"/>
    <w:rsid w:val="009038CF"/>
    <w:rsid w:val="009055EB"/>
    <w:rsid w:val="00921721"/>
    <w:rsid w:val="0093229F"/>
    <w:rsid w:val="00933C7D"/>
    <w:rsid w:val="0093514E"/>
    <w:rsid w:val="00967F6B"/>
    <w:rsid w:val="00997174"/>
    <w:rsid w:val="009A6C17"/>
    <w:rsid w:val="009A7A37"/>
    <w:rsid w:val="009C6422"/>
    <w:rsid w:val="00A128C4"/>
    <w:rsid w:val="00A24E90"/>
    <w:rsid w:val="00A27FD9"/>
    <w:rsid w:val="00A3175F"/>
    <w:rsid w:val="00A709B0"/>
    <w:rsid w:val="00A82CAE"/>
    <w:rsid w:val="00A85726"/>
    <w:rsid w:val="00AA0139"/>
    <w:rsid w:val="00AA29A0"/>
    <w:rsid w:val="00AA44B4"/>
    <w:rsid w:val="00AB1BC5"/>
    <w:rsid w:val="00AB61E5"/>
    <w:rsid w:val="00AE3591"/>
    <w:rsid w:val="00AE3652"/>
    <w:rsid w:val="00B070AD"/>
    <w:rsid w:val="00B10112"/>
    <w:rsid w:val="00B250FD"/>
    <w:rsid w:val="00B45FEE"/>
    <w:rsid w:val="00B57CEF"/>
    <w:rsid w:val="00B67038"/>
    <w:rsid w:val="00B802AC"/>
    <w:rsid w:val="00B95FB9"/>
    <w:rsid w:val="00BA1A82"/>
    <w:rsid w:val="00BB4617"/>
    <w:rsid w:val="00BD6864"/>
    <w:rsid w:val="00BE5902"/>
    <w:rsid w:val="00BF2FDE"/>
    <w:rsid w:val="00C25D65"/>
    <w:rsid w:val="00C26021"/>
    <w:rsid w:val="00C5339D"/>
    <w:rsid w:val="00C57C6B"/>
    <w:rsid w:val="00C65DA8"/>
    <w:rsid w:val="00C77DFC"/>
    <w:rsid w:val="00CB0FAE"/>
    <w:rsid w:val="00CB25CC"/>
    <w:rsid w:val="00CE2D79"/>
    <w:rsid w:val="00CE37CC"/>
    <w:rsid w:val="00CE57CF"/>
    <w:rsid w:val="00CE7FE6"/>
    <w:rsid w:val="00CF0818"/>
    <w:rsid w:val="00D00567"/>
    <w:rsid w:val="00D01E87"/>
    <w:rsid w:val="00D2339A"/>
    <w:rsid w:val="00D24D31"/>
    <w:rsid w:val="00D4323B"/>
    <w:rsid w:val="00D5736B"/>
    <w:rsid w:val="00D90BD4"/>
    <w:rsid w:val="00DA7241"/>
    <w:rsid w:val="00DC3FFD"/>
    <w:rsid w:val="00DD0E5A"/>
    <w:rsid w:val="00DD37A7"/>
    <w:rsid w:val="00DF06FA"/>
    <w:rsid w:val="00DF2F9E"/>
    <w:rsid w:val="00DF6B9D"/>
    <w:rsid w:val="00DF7214"/>
    <w:rsid w:val="00E008AE"/>
    <w:rsid w:val="00E12F72"/>
    <w:rsid w:val="00E2434E"/>
    <w:rsid w:val="00E301CF"/>
    <w:rsid w:val="00E45F4B"/>
    <w:rsid w:val="00E4699F"/>
    <w:rsid w:val="00E50D5E"/>
    <w:rsid w:val="00E7601A"/>
    <w:rsid w:val="00E91CFE"/>
    <w:rsid w:val="00E9546C"/>
    <w:rsid w:val="00EB64DC"/>
    <w:rsid w:val="00EB716F"/>
    <w:rsid w:val="00EB71BA"/>
    <w:rsid w:val="00EC4AF1"/>
    <w:rsid w:val="00ED6D74"/>
    <w:rsid w:val="00ED6E07"/>
    <w:rsid w:val="00EE29B5"/>
    <w:rsid w:val="00F102E8"/>
    <w:rsid w:val="00F132E9"/>
    <w:rsid w:val="00F15189"/>
    <w:rsid w:val="00F17649"/>
    <w:rsid w:val="00F44231"/>
    <w:rsid w:val="00F468E2"/>
    <w:rsid w:val="00F52572"/>
    <w:rsid w:val="00F6627D"/>
    <w:rsid w:val="00FC302D"/>
    <w:rsid w:val="00FD10CF"/>
    <w:rsid w:val="00FD2E0C"/>
    <w:rsid w:val="00FF1522"/>
    <w:rsid w:val="00FF69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7003A8"/>
  <w15:docId w15:val="{A61BCE37-68B7-4934-960E-2369D534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063F"/>
    <w:rPr>
      <w:lang w:eastAsia="ja-JP"/>
    </w:rPr>
  </w:style>
  <w:style w:type="paragraph" w:styleId="Nagwek1">
    <w:name w:val="heading 1"/>
    <w:basedOn w:val="Normalny"/>
    <w:next w:val="Normalny"/>
    <w:link w:val="Nagwek1Znak"/>
    <w:qFormat/>
    <w:rsid w:val="008D3F37"/>
    <w:pPr>
      <w:keepNext/>
      <w:pageBreakBefore/>
      <w:numPr>
        <w:numId w:val="1"/>
      </w:numPr>
      <w:suppressAutoHyphens/>
      <w:spacing w:before="240" w:after="360"/>
      <w:outlineLvl w:val="0"/>
    </w:pPr>
    <w:rPr>
      <w:rFonts w:ascii="Arial Narrow" w:hAnsi="Arial Narrow" w:cs="Arial"/>
      <w:b/>
      <w:bCs/>
      <w:snapToGrid w:val="0"/>
      <w:color w:val="4367C5"/>
      <w:sz w:val="48"/>
      <w:szCs w:val="32"/>
      <w:lang w:val="en-GB"/>
    </w:rPr>
  </w:style>
  <w:style w:type="paragraph" w:styleId="Nagwek2">
    <w:name w:val="heading 2"/>
    <w:basedOn w:val="Normalny"/>
    <w:next w:val="Normalny"/>
    <w:link w:val="Nagwek2Znak"/>
    <w:unhideWhenUsed/>
    <w:qFormat/>
    <w:rsid w:val="00D3054F"/>
    <w:pPr>
      <w:keepNext/>
      <w:numPr>
        <w:ilvl w:val="1"/>
        <w:numId w:val="1"/>
      </w:numPr>
      <w:suppressAutoHyphens/>
      <w:spacing w:before="240" w:after="360"/>
      <w:outlineLvl w:val="1"/>
    </w:pPr>
    <w:rPr>
      <w:rFonts w:ascii="Arial Narrow" w:hAnsi="Arial Narrow"/>
      <w:b/>
      <w:snapToGrid w:val="0"/>
      <w:color w:val="333399"/>
      <w:sz w:val="32"/>
      <w:lang w:val="en-GB"/>
    </w:rPr>
  </w:style>
  <w:style w:type="paragraph" w:styleId="Nagwek3">
    <w:name w:val="heading 3"/>
    <w:basedOn w:val="Normalny"/>
    <w:next w:val="Normalny"/>
    <w:link w:val="Nagwek3Znak"/>
    <w:unhideWhenUsed/>
    <w:qFormat/>
    <w:pPr>
      <w:keepNext/>
      <w:numPr>
        <w:ilvl w:val="2"/>
        <w:numId w:val="1"/>
      </w:numPr>
      <w:suppressAutoHyphens/>
      <w:spacing w:before="340" w:after="260"/>
      <w:outlineLvl w:val="2"/>
    </w:pPr>
    <w:rPr>
      <w:rFonts w:ascii="Arial Narrow" w:hAnsi="Arial Narrow" w:cs="Arial"/>
      <w:b/>
      <w:bCs/>
      <w:snapToGrid w:val="0"/>
      <w:color w:val="333399"/>
      <w:sz w:val="26"/>
      <w:szCs w:val="26"/>
    </w:rPr>
  </w:style>
  <w:style w:type="paragraph" w:styleId="Nagwek4">
    <w:name w:val="heading 4"/>
    <w:basedOn w:val="Normalny"/>
    <w:next w:val="Normalny"/>
    <w:link w:val="Nagwek4Znak"/>
    <w:unhideWhenUsed/>
    <w:qFormat/>
    <w:pPr>
      <w:keepNext/>
      <w:numPr>
        <w:ilvl w:val="3"/>
        <w:numId w:val="1"/>
      </w:numPr>
      <w:suppressAutoHyphens/>
      <w:spacing w:before="240" w:after="240"/>
      <w:outlineLvl w:val="3"/>
    </w:pPr>
    <w:rPr>
      <w:rFonts w:ascii="Arial Narrow" w:hAnsi="Arial Narrow"/>
      <w:bCs/>
      <w:snapToGrid w:val="0"/>
      <w:sz w:val="26"/>
      <w:szCs w:val="28"/>
    </w:rPr>
  </w:style>
  <w:style w:type="paragraph" w:styleId="Nagwek5">
    <w:name w:val="heading 5"/>
    <w:basedOn w:val="Normalny"/>
    <w:next w:val="Normalny"/>
    <w:link w:val="Nagwek5Znak"/>
    <w:unhideWhenUsed/>
    <w:qFormat/>
    <w:pPr>
      <w:keepNext/>
      <w:numPr>
        <w:ilvl w:val="4"/>
        <w:numId w:val="1"/>
      </w:numPr>
      <w:suppressAutoHyphens/>
      <w:spacing w:before="240" w:after="240"/>
      <w:jc w:val="both"/>
      <w:outlineLvl w:val="4"/>
    </w:pPr>
    <w:rPr>
      <w:b/>
      <w:bCs/>
      <w:iCs/>
      <w:snapToGrid w:val="0"/>
      <w:sz w:val="20"/>
      <w:szCs w:val="20"/>
    </w:rPr>
  </w:style>
  <w:style w:type="paragraph" w:styleId="Nagwek6">
    <w:name w:val="heading 6"/>
    <w:basedOn w:val="Normalny"/>
    <w:next w:val="Normalny"/>
    <w:link w:val="Nagwek6Znak"/>
    <w:unhideWhenUsed/>
    <w:qFormat/>
    <w:pPr>
      <w:keepNext/>
      <w:numPr>
        <w:ilvl w:val="5"/>
        <w:numId w:val="1"/>
      </w:numPr>
      <w:tabs>
        <w:tab w:val="left" w:pos="1208"/>
      </w:tabs>
      <w:suppressAutoHyphens/>
      <w:spacing w:before="120" w:after="120"/>
      <w:outlineLvl w:val="5"/>
    </w:pPr>
    <w:rPr>
      <w:bCs/>
      <w:snapToGrid w:val="0"/>
      <w:szCs w:val="22"/>
    </w:rPr>
  </w:style>
  <w:style w:type="paragraph" w:styleId="Nagwek7">
    <w:name w:val="heading 7"/>
    <w:basedOn w:val="Normalny"/>
    <w:next w:val="Normalny"/>
    <w:link w:val="Nagwek7Znak"/>
    <w:uiPriority w:val="99"/>
    <w:qFormat/>
    <w:pPr>
      <w:keepNext/>
      <w:numPr>
        <w:ilvl w:val="6"/>
        <w:numId w:val="1"/>
      </w:numPr>
      <w:suppressAutoHyphens/>
      <w:spacing w:before="60"/>
      <w:outlineLvl w:val="6"/>
    </w:pPr>
    <w:rPr>
      <w:i/>
      <w:snapToGrid w:val="0"/>
      <w:sz w:val="22"/>
    </w:rPr>
  </w:style>
  <w:style w:type="paragraph" w:styleId="Nagwek8">
    <w:name w:val="heading 8"/>
    <w:basedOn w:val="Normalny"/>
    <w:next w:val="Normalny"/>
    <w:link w:val="Nagwek8Znak"/>
    <w:uiPriority w:val="99"/>
    <w:qFormat/>
    <w:pPr>
      <w:keepNext/>
      <w:numPr>
        <w:ilvl w:val="7"/>
        <w:numId w:val="1"/>
      </w:numPr>
      <w:suppressAutoHyphens/>
      <w:spacing w:before="60"/>
      <w:jc w:val="both"/>
      <w:outlineLvl w:val="7"/>
    </w:pPr>
    <w:rPr>
      <w:b/>
      <w:iCs/>
      <w:snapToGrid w:val="0"/>
      <w:szCs w:val="22"/>
    </w:rPr>
  </w:style>
  <w:style w:type="paragraph" w:styleId="Nagwek9">
    <w:name w:val="heading 9"/>
    <w:basedOn w:val="Normalny"/>
    <w:next w:val="Normalny"/>
    <w:link w:val="Nagwek9Znak"/>
    <w:uiPriority w:val="99"/>
    <w:qFormat/>
    <w:pPr>
      <w:keepNext/>
      <w:numPr>
        <w:ilvl w:val="8"/>
        <w:numId w:val="1"/>
      </w:numPr>
      <w:suppressAutoHyphens/>
      <w:spacing w:before="60"/>
      <w:outlineLvl w:val="8"/>
    </w:pPr>
    <w:rPr>
      <w:rFonts w:cs="Arial"/>
      <w:i/>
      <w:snapToGrid w:val="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Nagwek1Znak">
    <w:name w:val="Nagłówek 1 Znak"/>
    <w:link w:val="Nagwek1"/>
    <w:rsid w:val="008D3F37"/>
    <w:rPr>
      <w:rFonts w:ascii="Arial Narrow" w:hAnsi="Arial Narrow" w:cs="Arial"/>
      <w:b/>
      <w:bCs/>
      <w:snapToGrid w:val="0"/>
      <w:color w:val="4367C5"/>
      <w:sz w:val="48"/>
      <w:szCs w:val="32"/>
      <w:lang w:val="en-GB" w:eastAsia="ja-JP"/>
    </w:rPr>
  </w:style>
  <w:style w:type="character" w:customStyle="1" w:styleId="Nagwek2Znak">
    <w:name w:val="Nagłówek 2 Znak"/>
    <w:link w:val="Nagwek2"/>
    <w:locked/>
    <w:rsid w:val="00D3054F"/>
    <w:rPr>
      <w:rFonts w:ascii="Arial Narrow" w:hAnsi="Arial Narrow"/>
      <w:b/>
      <w:snapToGrid w:val="0"/>
      <w:color w:val="333399"/>
      <w:sz w:val="32"/>
      <w:lang w:val="en-GB" w:eastAsia="ja-JP"/>
    </w:rPr>
  </w:style>
  <w:style w:type="character" w:customStyle="1" w:styleId="Nagwek3Znak">
    <w:name w:val="Nagłówek 3 Znak"/>
    <w:link w:val="Nagwek3"/>
    <w:rPr>
      <w:rFonts w:ascii="Arial Narrow" w:hAnsi="Arial Narrow" w:cs="Arial"/>
      <w:b/>
      <w:bCs/>
      <w:snapToGrid w:val="0"/>
      <w:color w:val="333399"/>
      <w:sz w:val="26"/>
      <w:szCs w:val="26"/>
      <w:lang w:eastAsia="ja-JP"/>
    </w:rPr>
  </w:style>
  <w:style w:type="character" w:customStyle="1" w:styleId="Nagwek4Znak">
    <w:name w:val="Nagłówek 4 Znak"/>
    <w:link w:val="Nagwek4"/>
    <w:rPr>
      <w:rFonts w:ascii="Arial Narrow" w:hAnsi="Arial Narrow"/>
      <w:bCs/>
      <w:snapToGrid w:val="0"/>
      <w:sz w:val="26"/>
      <w:szCs w:val="28"/>
      <w:lang w:eastAsia="ja-JP"/>
    </w:rPr>
  </w:style>
  <w:style w:type="character" w:customStyle="1" w:styleId="Nagwek5Znak">
    <w:name w:val="Nagłówek 5 Znak"/>
    <w:link w:val="Nagwek5"/>
    <w:rPr>
      <w:b/>
      <w:bCs/>
      <w:iCs/>
      <w:snapToGrid w:val="0"/>
      <w:sz w:val="20"/>
      <w:szCs w:val="20"/>
      <w:lang w:eastAsia="ja-JP"/>
    </w:rPr>
  </w:style>
  <w:style w:type="character" w:customStyle="1" w:styleId="Nagwek6Znak">
    <w:name w:val="Nagłówek 6 Znak"/>
    <w:link w:val="Nagwek6"/>
    <w:rPr>
      <w:bCs/>
      <w:snapToGrid w:val="0"/>
      <w:szCs w:val="22"/>
      <w:lang w:eastAsia="ja-JP"/>
    </w:rPr>
  </w:style>
  <w:style w:type="character" w:customStyle="1" w:styleId="Nagwek7Znak">
    <w:name w:val="Nagłówek 7 Znak"/>
    <w:link w:val="Nagwek7"/>
    <w:uiPriority w:val="99"/>
    <w:rPr>
      <w:i/>
      <w:snapToGrid w:val="0"/>
      <w:sz w:val="22"/>
      <w:lang w:eastAsia="ja-JP"/>
    </w:rPr>
  </w:style>
  <w:style w:type="character" w:customStyle="1" w:styleId="Nagwek8Znak">
    <w:name w:val="Nagłówek 8 Znak"/>
    <w:link w:val="Nagwek8"/>
    <w:uiPriority w:val="99"/>
    <w:rPr>
      <w:b/>
      <w:iCs/>
      <w:snapToGrid w:val="0"/>
      <w:szCs w:val="22"/>
      <w:lang w:eastAsia="ja-JP"/>
    </w:rPr>
  </w:style>
  <w:style w:type="character" w:customStyle="1" w:styleId="Nagwek9Znak">
    <w:name w:val="Nagłówek 9 Znak"/>
    <w:link w:val="Nagwek9"/>
    <w:uiPriority w:val="99"/>
    <w:rPr>
      <w:rFonts w:cs="Arial"/>
      <w:i/>
      <w:snapToGrid w:val="0"/>
      <w:sz w:val="22"/>
      <w:szCs w:val="22"/>
      <w:lang w:eastAsia="ja-JP"/>
    </w:rPr>
  </w:style>
  <w:style w:type="character" w:styleId="Numerstrony">
    <w:name w:val="page number"/>
    <w:basedOn w:val="Domylnaczcionkaakapitu"/>
  </w:style>
  <w:style w:type="character" w:styleId="Hipercze">
    <w:name w:val="Hyperlink"/>
    <w:uiPriority w:val="99"/>
    <w:rPr>
      <w:color w:val="0000FF"/>
      <w:u w:val="single"/>
    </w:rPr>
  </w:style>
  <w:style w:type="paragraph" w:styleId="Spistreci1">
    <w:name w:val="toc 1"/>
    <w:basedOn w:val="Normalny"/>
    <w:next w:val="Normalny"/>
    <w:uiPriority w:val="39"/>
    <w:pPr>
      <w:tabs>
        <w:tab w:val="left" w:pos="357"/>
        <w:tab w:val="right" w:leader="dot" w:pos="8222"/>
      </w:tabs>
      <w:suppressAutoHyphens/>
      <w:spacing w:before="120"/>
      <w:ind w:left="357" w:hanging="357"/>
    </w:pPr>
    <w:rPr>
      <w:rFonts w:ascii="Arial Narrow" w:hAnsi="Arial Narrow"/>
      <w:noProof/>
      <w:snapToGrid w:val="0"/>
      <w:color w:val="333399"/>
      <w:lang w:val="en-US"/>
    </w:rPr>
  </w:style>
  <w:style w:type="paragraph" w:styleId="Spistreci2">
    <w:name w:val="toc 2"/>
    <w:basedOn w:val="Normalny"/>
    <w:next w:val="Normalny"/>
    <w:uiPriority w:val="39"/>
    <w:pPr>
      <w:tabs>
        <w:tab w:val="left" w:pos="709"/>
        <w:tab w:val="right" w:leader="dot" w:pos="8222"/>
      </w:tabs>
      <w:suppressAutoHyphens/>
      <w:spacing w:before="80"/>
      <w:ind w:left="714" w:hanging="357"/>
    </w:pPr>
    <w:rPr>
      <w:rFonts w:ascii="Arial Narrow" w:hAnsi="Arial Narrow"/>
      <w:noProof/>
      <w:snapToGrid w:val="0"/>
      <w:color w:val="333399"/>
      <w:sz w:val="22"/>
      <w:lang w:val="en-US"/>
    </w:rPr>
  </w:style>
  <w:style w:type="paragraph" w:styleId="Spistreci3">
    <w:name w:val="toc 3"/>
    <w:basedOn w:val="Normalny"/>
    <w:next w:val="Normalny"/>
    <w:uiPriority w:val="39"/>
    <w:pPr>
      <w:tabs>
        <w:tab w:val="left" w:pos="1208"/>
        <w:tab w:val="right" w:leader="dot" w:pos="8222"/>
      </w:tabs>
      <w:suppressAutoHyphens/>
      <w:spacing w:before="60"/>
      <w:ind w:left="1208" w:hanging="499"/>
    </w:pPr>
    <w:rPr>
      <w:rFonts w:ascii="Arial Narrow" w:hAnsi="Arial Narrow"/>
      <w:noProof/>
      <w:snapToGrid w:val="0"/>
      <w:color w:val="333399"/>
      <w:sz w:val="20"/>
      <w:lang w:val="en-US"/>
    </w:rPr>
  </w:style>
  <w:style w:type="paragraph" w:styleId="Stopka">
    <w:name w:val="footer"/>
    <w:basedOn w:val="Normalny"/>
    <w:link w:val="StopkaZnak"/>
    <w:uiPriority w:val="99"/>
    <w:pPr>
      <w:tabs>
        <w:tab w:val="center" w:pos="4536"/>
        <w:tab w:val="right" w:pos="9072"/>
      </w:tabs>
      <w:suppressAutoHyphens/>
      <w:spacing w:before="120"/>
    </w:pPr>
    <w:rPr>
      <w:snapToGrid w:val="0"/>
    </w:rPr>
  </w:style>
  <w:style w:type="character" w:customStyle="1" w:styleId="StopkaZnak">
    <w:name w:val="Stopka Znak"/>
    <w:link w:val="Stopka"/>
    <w:uiPriority w:val="99"/>
    <w:locked/>
    <w:rPr>
      <w:sz w:val="24"/>
      <w:lang w:val="pl-PL"/>
    </w:rPr>
  </w:style>
  <w:style w:type="paragraph" w:styleId="Nagwek">
    <w:name w:val="header"/>
    <w:basedOn w:val="Normalny"/>
    <w:link w:val="NagwekZnak"/>
    <w:uiPriority w:val="99"/>
    <w:pPr>
      <w:tabs>
        <w:tab w:val="center" w:pos="4536"/>
        <w:tab w:val="right" w:pos="9072"/>
      </w:tabs>
      <w:suppressAutoHyphens/>
      <w:spacing w:before="120"/>
    </w:pPr>
    <w:rPr>
      <w:snapToGrid w:val="0"/>
    </w:rPr>
  </w:style>
  <w:style w:type="character" w:customStyle="1" w:styleId="NagwekZnak">
    <w:name w:val="Nagłówek Znak"/>
    <w:link w:val="Nagwek"/>
    <w:uiPriority w:val="99"/>
    <w:locked/>
    <w:rPr>
      <w:sz w:val="24"/>
      <w:lang w:val="pl-PL"/>
    </w:rPr>
  </w:style>
  <w:style w:type="paragraph" w:customStyle="1" w:styleId="anxnormalZnak">
    <w:name w:val="anx normal Znak"/>
    <w:basedOn w:val="Tekstpodstawowy"/>
    <w:uiPriority w:val="99"/>
    <w:pPr>
      <w:suppressAutoHyphens/>
      <w:spacing w:before="120" w:after="0"/>
      <w:ind w:left="900"/>
      <w:jc w:val="both"/>
    </w:pPr>
    <w:rPr>
      <w:rFonts w:ascii="Arial" w:hAnsi="Arial" w:cs="Arial"/>
      <w:snapToGrid w:val="0"/>
      <w:sz w:val="20"/>
      <w:szCs w:val="20"/>
    </w:rPr>
  </w:style>
  <w:style w:type="paragraph" w:styleId="Tekstpodstawowy">
    <w:name w:val="Body Text"/>
    <w:basedOn w:val="Normalny"/>
    <w:link w:val="TekstpodstawowyZnak"/>
    <w:uiPriority w:val="99"/>
    <w:pPr>
      <w:spacing w:after="120"/>
    </w:pPr>
  </w:style>
  <w:style w:type="character" w:customStyle="1" w:styleId="TekstpodstawowyZnak">
    <w:name w:val="Tekst podstawowy Znak"/>
    <w:link w:val="Tekstpodstawowy"/>
    <w:uiPriority w:val="99"/>
    <w:semiHidden/>
    <w:rPr>
      <w:rFonts w:ascii="Times New Roman" w:hAnsi="Times New Roman" w:cs="Times New Roman"/>
      <w:sz w:val="24"/>
      <w:szCs w:val="24"/>
      <w:lang w:val="pl-PL"/>
    </w:rPr>
  </w:style>
  <w:style w:type="character" w:customStyle="1" w:styleId="tw4winMark">
    <w:name w:val="tw4winMark"/>
    <w:rPr>
      <w:rFonts w:ascii="Courier New" w:hAnsi="Courier New"/>
      <w:vanish/>
      <w:color w:val="800080"/>
      <w:sz w:val="24"/>
      <w:vertAlign w:val="subscript"/>
    </w:rPr>
  </w:style>
  <w:style w:type="character" w:customStyle="1" w:styleId="WW8Num1z0">
    <w:name w:val="WW8Num1z0"/>
    <w:rPr>
      <w:rFonts w:ascii="Times New Roman" w:hAnsi="Times New Roman"/>
      <w:sz w:val="24"/>
    </w:rPr>
  </w:style>
  <w:style w:type="character" w:customStyle="1" w:styleId="WW8Num2z0">
    <w:name w:val="WW8Num2z0"/>
    <w:rPr>
      <w:rFonts w:ascii="Wingdings" w:hAnsi="Wingdings"/>
      <w:i/>
      <w:sz w:val="20"/>
    </w:rPr>
  </w:style>
  <w:style w:type="character" w:customStyle="1" w:styleId="WW8Num3z0">
    <w:name w:val="WW8Num3z0"/>
    <w:rPr>
      <w:rFonts w:ascii="Symbol" w:hAnsi="Symbol"/>
    </w:rPr>
  </w:style>
  <w:style w:type="character" w:customStyle="1" w:styleId="WW8Num3z2">
    <w:name w:val="WW8Num3z2"/>
    <w:rPr>
      <w:rFonts w:ascii="Wingdings" w:hAnsi="Wingdings"/>
    </w:rPr>
  </w:style>
  <w:style w:type="character" w:customStyle="1" w:styleId="WW8Num3z4">
    <w:name w:val="WW8Num3z4"/>
    <w:rPr>
      <w:rFonts w:ascii="Courier New" w:hAnsi="Courier New"/>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color w:val="333399"/>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Arial" w:hAnsi="Arial"/>
    </w:rPr>
  </w:style>
  <w:style w:type="character" w:customStyle="1" w:styleId="WW8Num6z2">
    <w:name w:val="WW8Num6z2"/>
    <w:rPr>
      <w:rFonts w:ascii="Wingdings" w:hAnsi="Wingdings"/>
    </w:rPr>
  </w:style>
  <w:style w:type="character" w:customStyle="1" w:styleId="WW8Num6z4">
    <w:name w:val="WW8Num6z4"/>
    <w:rPr>
      <w:rFonts w:ascii="Courier New" w:hAnsi="Courier New"/>
    </w:rPr>
  </w:style>
  <w:style w:type="character" w:customStyle="1" w:styleId="WW8Num7z0">
    <w:name w:val="WW8Num7z0"/>
    <w:rPr>
      <w:rFonts w:ascii="Arial" w:hAnsi="Aria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12z0">
    <w:name w:val="WW8Num12z0"/>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rPr>
  </w:style>
  <w:style w:type="character" w:customStyle="1" w:styleId="WW8Num13z0">
    <w:name w:val="WW8Num13z0"/>
    <w:rPr>
      <w:rFonts w:ascii="Arial" w:hAnsi="Arial"/>
      <w:b/>
      <w:color w:val="4367C5"/>
      <w:sz w:val="48"/>
    </w:rPr>
  </w:style>
  <w:style w:type="character" w:customStyle="1" w:styleId="WW8Num13z1">
    <w:name w:val="WW8Num13z1"/>
    <w:rPr>
      <w:b/>
    </w:rPr>
  </w:style>
  <w:style w:type="character" w:customStyle="1" w:styleId="WW8Num13z2">
    <w:name w:val="WW8Num13z2"/>
    <w:rPr>
      <w:b/>
      <w:color w:val="333399"/>
      <w:sz w:val="26"/>
      <w:lang w:val="x-none"/>
    </w:rPr>
  </w:style>
  <w:style w:type="character" w:customStyle="1" w:styleId="WW8Num13z5">
    <w:name w:val="WW8Num13z5"/>
    <w:rPr>
      <w:b/>
      <w:color w:val="4367C5"/>
      <w:sz w:val="24"/>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6z0">
    <w:name w:val="WW8Num26z0"/>
    <w:rPr>
      <w:rFonts w:ascii="Arial" w:hAnsi="Aria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color w:val="333399"/>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b/>
      <w:color w:val="4367C5"/>
      <w:sz w:val="48"/>
    </w:rPr>
  </w:style>
  <w:style w:type="character" w:customStyle="1" w:styleId="WW8Num28z1">
    <w:name w:val="WW8Num28z1"/>
    <w:rPr>
      <w:b/>
    </w:rPr>
  </w:style>
  <w:style w:type="character" w:customStyle="1" w:styleId="WW8Num28z4">
    <w:name w:val="WW8Num28z4"/>
    <w:rPr>
      <w:b/>
      <w:sz w:val="24"/>
    </w:rPr>
  </w:style>
  <w:style w:type="character" w:customStyle="1" w:styleId="WW8Num28z6">
    <w:name w:val="WW8Num28z6"/>
    <w:rPr>
      <w:sz w:val="14"/>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Arial" w:hAnsi="Arial"/>
    </w:rPr>
  </w:style>
  <w:style w:type="character" w:customStyle="1" w:styleId="WW8Num34z2">
    <w:name w:val="WW8Num34z2"/>
    <w:rPr>
      <w:rFonts w:ascii="Wingdings" w:hAnsi="Wingdings"/>
    </w:rPr>
  </w:style>
  <w:style w:type="character" w:customStyle="1" w:styleId="WW8Num34z4">
    <w:name w:val="WW8Num34z4"/>
    <w:rPr>
      <w:rFonts w:ascii="Courier New" w:hAnsi="Courier New"/>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Wingdings" w:hAnsi="Wingdings"/>
    </w:rPr>
  </w:style>
  <w:style w:type="character" w:customStyle="1" w:styleId="WW8Num36z1">
    <w:name w:val="WW8Num36z1"/>
    <w:rPr>
      <w:rFonts w:ascii="Times New Roman" w:hAnsi="Times New Roman"/>
    </w:rPr>
  </w:style>
  <w:style w:type="character" w:customStyle="1" w:styleId="WW8Num36z3">
    <w:name w:val="WW8Num36z3"/>
    <w:rPr>
      <w:rFonts w:ascii="Symbol" w:hAnsi="Symbol"/>
    </w:rPr>
  </w:style>
  <w:style w:type="character" w:customStyle="1" w:styleId="WW8Num36z4">
    <w:name w:val="WW8Num36z4"/>
    <w:rPr>
      <w:rFonts w:ascii="Courier New" w:hAnsi="Courier New"/>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Wingdings" w:hAnsi="Wingdings"/>
      <w:color w:val="333399"/>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4">
    <w:name w:val="WW8Num39z4"/>
    <w:rPr>
      <w:rFonts w:ascii="Arial Narrow" w:hAnsi="Arial Narrow"/>
    </w:rPr>
  </w:style>
  <w:style w:type="character" w:customStyle="1" w:styleId="WW8Num39z5">
    <w:name w:val="WW8Num39z5"/>
    <w:rPr>
      <w:b/>
    </w:rPr>
  </w:style>
  <w:style w:type="character" w:customStyle="1" w:styleId="WW8Num40z0">
    <w:name w:val="WW8Num40z0"/>
    <w:rPr>
      <w:rFonts w:ascii="Wingdings" w:hAnsi="Wingdings"/>
    </w:rPr>
  </w:style>
  <w:style w:type="character" w:customStyle="1" w:styleId="WW8Num41z0">
    <w:name w:val="WW8Num41z0"/>
    <w:rPr>
      <w:rFonts w:ascii="Wingdings" w:hAnsi="Wingdings"/>
      <w:color w:val="333399"/>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Arial" w:hAnsi="Arial"/>
    </w:rPr>
  </w:style>
  <w:style w:type="character" w:customStyle="1" w:styleId="WW8Num45z0">
    <w:name w:val="WW8Num45z0"/>
    <w:rPr>
      <w:rFonts w:ascii="Wingdings" w:hAnsi="Wingdings"/>
    </w:rPr>
  </w:style>
  <w:style w:type="character" w:customStyle="1" w:styleId="WW8Num45z1">
    <w:name w:val="WW8Num45z1"/>
    <w:rPr>
      <w:rFonts w:ascii="Wingdings" w:hAnsi="Wingdings"/>
      <w:color w:val="auto"/>
    </w:rPr>
  </w:style>
  <w:style w:type="character" w:customStyle="1" w:styleId="WW8Num45z3">
    <w:name w:val="WW8Num45z3"/>
    <w:rPr>
      <w:rFonts w:ascii="Symbol" w:hAnsi="Symbol"/>
    </w:rPr>
  </w:style>
  <w:style w:type="character" w:customStyle="1" w:styleId="WW8Num45z4">
    <w:name w:val="WW8Num45z4"/>
    <w:rPr>
      <w:rFonts w:ascii="Courier New" w:hAnsi="Courier New"/>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0">
    <w:name w:val="WW8Num49z0"/>
    <w:rPr>
      <w:rFonts w:ascii="Wingdings" w:hAnsi="Wingdings"/>
      <w:color w:val="009FDD"/>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49z4">
    <w:name w:val="WW8Num49z4"/>
    <w:rPr>
      <w:rFonts w:ascii="Courier New" w:hAnsi="Courier New"/>
    </w:rPr>
  </w:style>
  <w:style w:type="character" w:customStyle="1" w:styleId="WW8Num50z0">
    <w:name w:val="WW8Num50z0"/>
    <w:rPr>
      <w:rFonts w:ascii="Times New Roman" w:hAnsi="Times New Roman"/>
    </w:rPr>
  </w:style>
  <w:style w:type="character" w:customStyle="1" w:styleId="WW8Num50z1">
    <w:name w:val="WW8Num50z1"/>
    <w:rPr>
      <w:rFonts w:ascii="Arial" w:hAnsi="Arial"/>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0z4">
    <w:name w:val="WW8Num50z4"/>
    <w:rPr>
      <w:rFonts w:ascii="Courier New" w:hAnsi="Courier New"/>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8z0">
    <w:name w:val="WW8Num58z0"/>
    <w:rPr>
      <w:rFonts w:ascii="Arial" w:hAnsi="Arial"/>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Domyslnaczcionkaakapitu1">
    <w:name w:val="Domyslna czcionka akapitu1"/>
  </w:style>
  <w:style w:type="character" w:customStyle="1" w:styleId="Znakiprzypiswdolnych">
    <w:name w:val="Znaki przypisów dolnych"/>
    <w:rPr>
      <w:vertAlign w:val="superscript"/>
    </w:rPr>
  </w:style>
  <w:style w:type="character" w:customStyle="1" w:styleId="StyleEYGothicCondMedium14pt">
    <w:name w:val="Style EY Gothic Cond Medium 14 pt"/>
    <w:rPr>
      <w:rFonts w:ascii="Arial Narrow" w:hAnsi="Arial Narrow"/>
      <w:sz w:val="28"/>
    </w:rPr>
  </w:style>
  <w:style w:type="character" w:customStyle="1" w:styleId="Znakiprzypiswkoncowych">
    <w:name w:val="Znaki przypisów koncowych"/>
    <w:rPr>
      <w:vertAlign w:val="superscript"/>
    </w:rPr>
  </w:style>
  <w:style w:type="character" w:customStyle="1" w:styleId="StyleStyleEYGothicCondMedium14pt24pt">
    <w:name w:val="Style Style EY Gothic Cond Medium 14 pt + 24 pt"/>
    <w:rPr>
      <w:rFonts w:ascii="Arial Narrow" w:hAnsi="Arial Narrow"/>
      <w:sz w:val="48"/>
    </w:rPr>
  </w:style>
  <w:style w:type="character" w:customStyle="1" w:styleId="Head1Char">
    <w:name w:val="Head 1 Char"/>
    <w:rPr>
      <w:b/>
      <w:sz w:val="24"/>
      <w:lang w:val="pl-PL"/>
    </w:rPr>
  </w:style>
  <w:style w:type="character" w:customStyle="1" w:styleId="Head2Char">
    <w:name w:val="Head 2 Char"/>
    <w:rPr>
      <w:sz w:val="24"/>
      <w:lang w:val="pl-PL"/>
    </w:rPr>
  </w:style>
  <w:style w:type="character" w:customStyle="1" w:styleId="Naglwek22">
    <w:name w:val="Naglówek 22"/>
    <w:rPr>
      <w:rFonts w:ascii="Arial Narrow" w:hAnsi="Arial Narrow"/>
      <w:b/>
      <w:color w:val="333399"/>
      <w:sz w:val="28"/>
      <w:lang w:val="pl-PL"/>
    </w:rPr>
  </w:style>
  <w:style w:type="character" w:customStyle="1" w:styleId="StyleHeading2LatinArialIndigoChar">
    <w:name w:val="Style Heading 2 + (Latin) Arial Indigo Char"/>
    <w:rPr>
      <w:rFonts w:ascii="Arial" w:hAnsi="Arial"/>
      <w:b/>
      <w:color w:val="333399"/>
      <w:sz w:val="28"/>
      <w:lang w:val="pl-PL"/>
    </w:rPr>
  </w:style>
  <w:style w:type="character" w:customStyle="1" w:styleId="anxnormalZnakZnak">
    <w:name w:val="anx normal Znak Znak"/>
    <w:rPr>
      <w:rFonts w:ascii="Arial" w:hAnsi="Arial"/>
      <w:lang w:val="pl-PL"/>
    </w:rPr>
  </w:style>
  <w:style w:type="character" w:customStyle="1" w:styleId="Odwolaniedokomentarza1">
    <w:name w:val="Odwolanie do komentarza1"/>
    <w:rPr>
      <w:sz w:val="16"/>
    </w:rPr>
  </w:style>
  <w:style w:type="character" w:styleId="UyteHipercze">
    <w:name w:val="FollowedHyperlink"/>
    <w:rPr>
      <w:color w:val="606420"/>
      <w:u w:val="single"/>
    </w:rPr>
  </w:style>
  <w:style w:type="character" w:customStyle="1" w:styleId="CharChar">
    <w:name w:val="Char Char"/>
    <w:rPr>
      <w:rFonts w:ascii="Arial Narrow" w:hAnsi="Arial Narrow"/>
      <w:sz w:val="28"/>
      <w:lang w:val="pl-PL"/>
    </w:rPr>
  </w:style>
  <w:style w:type="character" w:customStyle="1" w:styleId="EquationCaption">
    <w:name w:val="_Equation Caption"/>
  </w:style>
  <w:style w:type="character" w:customStyle="1" w:styleId="Naglwek31">
    <w:name w:val="Naglówek 31"/>
    <w:rPr>
      <w:rFonts w:ascii="Arial Narrow" w:hAnsi="Arial Narrow"/>
      <w:b/>
      <w:color w:val="333399"/>
      <w:sz w:val="26"/>
      <w:lang w:val="pl-PL"/>
    </w:rPr>
  </w:style>
  <w:style w:type="character" w:customStyle="1" w:styleId="aa-tabZnak">
    <w:name w:val="aa-tab Znak"/>
    <w:rPr>
      <w:rFonts w:ascii="Arial Narrow" w:hAnsi="Arial Narrow"/>
      <w:b/>
      <w:color w:val="4367C5"/>
      <w:lang w:val="pl-PL"/>
    </w:rPr>
  </w:style>
  <w:style w:type="character" w:customStyle="1" w:styleId="StylArialNarrow10ptIndygo">
    <w:name w:val="Styl Arial Narrow 10 pt Indygo"/>
    <w:rPr>
      <w:rFonts w:ascii="Arial Narrow" w:hAnsi="Arial Narrow"/>
      <w:color w:val="4367C5"/>
      <w:sz w:val="20"/>
    </w:rPr>
  </w:style>
  <w:style w:type="character" w:customStyle="1" w:styleId="Znak">
    <w:name w:val="Znak"/>
    <w:rPr>
      <w:sz w:val="24"/>
      <w:lang w:val="pl-PL"/>
    </w:rPr>
  </w:style>
  <w:style w:type="character" w:customStyle="1" w:styleId="ANXbulletedChar">
    <w:name w:val="ANX bulleted Char"/>
    <w:rPr>
      <w:rFonts w:ascii="Arial" w:hAnsi="Arial"/>
      <w:sz w:val="24"/>
      <w:lang w:val="pl-PL"/>
    </w:rPr>
  </w:style>
  <w:style w:type="character" w:customStyle="1" w:styleId="anxbulettedChar">
    <w:name w:val="anx buletted Char"/>
    <w:rPr>
      <w:rFonts w:ascii="Arial Narrow" w:hAnsi="Arial Narrow"/>
      <w:color w:val="4367C5"/>
      <w:lang w:val="pl-PL"/>
    </w:rPr>
  </w:style>
  <w:style w:type="character" w:customStyle="1" w:styleId="ANXbulletedZnakZnakZnakZnak">
    <w:name w:val="ANX bulleted Znak Znak Znak Znak"/>
    <w:rPr>
      <w:rFonts w:ascii="Arial" w:hAnsi="Arial"/>
      <w:sz w:val="24"/>
      <w:lang w:val="pl-PL"/>
    </w:rPr>
  </w:style>
  <w:style w:type="character" w:customStyle="1" w:styleId="ANXhead3Char">
    <w:name w:val="ANX head3 Char"/>
    <w:rPr>
      <w:rFonts w:ascii="Arial Narrow" w:hAnsi="Arial Narrow"/>
      <w:b/>
      <w:color w:val="333399"/>
      <w:sz w:val="24"/>
      <w:lang w:val="pl-PL"/>
    </w:rPr>
  </w:style>
  <w:style w:type="character" w:customStyle="1" w:styleId="anxsourceChar">
    <w:name w:val="anx source Char"/>
    <w:rPr>
      <w:rFonts w:ascii="Arial Narrow" w:hAnsi="Arial Narrow"/>
      <w:b/>
      <w:i/>
      <w:color w:val="333399"/>
      <w:sz w:val="14"/>
      <w:lang w:val="en-US"/>
    </w:rPr>
  </w:style>
  <w:style w:type="character" w:customStyle="1" w:styleId="anxnormalChar">
    <w:name w:val="anx normal Char"/>
    <w:rPr>
      <w:rFonts w:ascii="Arial" w:hAnsi="Arial"/>
      <w:sz w:val="24"/>
      <w:lang w:val="pl-PL"/>
    </w:rPr>
  </w:style>
  <w:style w:type="character" w:customStyle="1" w:styleId="WW-anxnormalZnakZnak">
    <w:name w:val="WW-anx normal Znak Znak"/>
    <w:rPr>
      <w:rFonts w:ascii="Arial" w:hAnsi="Arial"/>
      <w:sz w:val="24"/>
      <w:lang w:val="pl-PL"/>
    </w:rPr>
  </w:style>
  <w:style w:type="character" w:customStyle="1" w:styleId="CharChar3">
    <w:name w:val="Char Char3"/>
    <w:rPr>
      <w:rFonts w:ascii="Arial Narrow" w:hAnsi="Arial Narrow"/>
      <w:b/>
      <w:color w:val="333399"/>
      <w:sz w:val="28"/>
      <w:lang w:val="pl-PL"/>
    </w:rPr>
  </w:style>
  <w:style w:type="character" w:customStyle="1" w:styleId="CharChar2">
    <w:name w:val="Char Char2"/>
    <w:rPr>
      <w:rFonts w:ascii="Arial Narrow" w:hAnsi="Arial Narrow"/>
      <w:b/>
      <w:color w:val="333399"/>
      <w:sz w:val="26"/>
      <w:lang w:val="pl-PL"/>
    </w:rPr>
  </w:style>
  <w:style w:type="character" w:styleId="Odwoanieprzypisudolnego">
    <w:name w:val="footnote reference"/>
    <w:aliases w:val="Odwolanie przypisu,Odwołanie przypisu,Footnote symbol,Footnote,Nota,Footnote number,de nota al pie,Ref,Char,SUPERS,Voetnootmarkering,Char1,fr,o,(NECG) Footnote Reference,-E Fußnotenzeichen,ESPON Footnote No,Footnote call,FR"/>
    <w:rPr>
      <w:vertAlign w:val="superscript"/>
    </w:rPr>
  </w:style>
  <w:style w:type="paragraph" w:customStyle="1" w:styleId="Naglwek1">
    <w:name w:val="Naglówek1"/>
    <w:basedOn w:val="Normalny"/>
    <w:next w:val="Tekstpodstawowy"/>
    <w:uiPriority w:val="99"/>
    <w:pPr>
      <w:keepNext/>
      <w:suppressAutoHyphens/>
      <w:spacing w:before="240" w:after="120"/>
    </w:pPr>
    <w:rPr>
      <w:rFonts w:ascii="Arial" w:hAnsi="Arial"/>
      <w:snapToGrid w:val="0"/>
      <w:sz w:val="28"/>
      <w:szCs w:val="28"/>
    </w:rPr>
  </w:style>
  <w:style w:type="paragraph" w:styleId="Lista">
    <w:name w:val="List"/>
    <w:basedOn w:val="Normalny"/>
    <w:uiPriority w:val="99"/>
    <w:pPr>
      <w:suppressAutoHyphens/>
      <w:spacing w:before="120"/>
      <w:ind w:left="283" w:hanging="283"/>
    </w:pPr>
    <w:rPr>
      <w:snapToGrid w:val="0"/>
    </w:rPr>
  </w:style>
  <w:style w:type="paragraph" w:customStyle="1" w:styleId="Podpis1">
    <w:name w:val="Podpis1"/>
    <w:basedOn w:val="Normalny"/>
    <w:uiPriority w:val="99"/>
    <w:pPr>
      <w:suppressLineNumbers/>
      <w:suppressAutoHyphens/>
      <w:spacing w:before="120" w:after="120"/>
    </w:pPr>
    <w:rPr>
      <w:i/>
      <w:iCs/>
      <w:snapToGrid w:val="0"/>
    </w:rPr>
  </w:style>
  <w:style w:type="paragraph" w:customStyle="1" w:styleId="Indeks">
    <w:name w:val="Indeks"/>
    <w:basedOn w:val="Normalny"/>
    <w:uiPriority w:val="99"/>
    <w:pPr>
      <w:suppressLineNumbers/>
      <w:suppressAutoHyphens/>
      <w:spacing w:before="120"/>
    </w:pPr>
    <w:rPr>
      <w:snapToGrid w:val="0"/>
    </w:rPr>
  </w:style>
  <w:style w:type="paragraph" w:customStyle="1" w:styleId="Listawypunktowana1">
    <w:name w:val="Lista wypunktowana1"/>
    <w:basedOn w:val="Normalny"/>
    <w:uiPriority w:val="99"/>
    <w:pPr>
      <w:suppressAutoHyphens/>
      <w:spacing w:before="120"/>
      <w:jc w:val="both"/>
    </w:pPr>
    <w:rPr>
      <w:snapToGrid w:val="0"/>
    </w:rPr>
  </w:style>
  <w:style w:type="paragraph" w:customStyle="1" w:styleId="Listapunktowana21">
    <w:name w:val="Lista punktowana 21"/>
    <w:basedOn w:val="Normalny"/>
    <w:uiPriority w:val="99"/>
    <w:pPr>
      <w:suppressAutoHyphens/>
      <w:spacing w:before="120"/>
      <w:jc w:val="both"/>
    </w:pPr>
    <w:rPr>
      <w:snapToGrid w:val="0"/>
    </w:rPr>
  </w:style>
  <w:style w:type="paragraph" w:customStyle="1" w:styleId="Naglwekwykazuzrdel1">
    <w:name w:val="Naglówek wykazu zródel1"/>
    <w:basedOn w:val="Normalny"/>
    <w:next w:val="Normalny"/>
    <w:uiPriority w:val="99"/>
    <w:pPr>
      <w:suppressAutoHyphens/>
      <w:spacing w:before="120" w:after="1320"/>
    </w:pPr>
    <w:rPr>
      <w:rFonts w:cs="Arial"/>
      <w:bCs/>
      <w:snapToGrid w:val="0"/>
      <w:sz w:val="60"/>
    </w:rPr>
  </w:style>
  <w:style w:type="paragraph" w:styleId="Tekstprzypisudolnego">
    <w:name w:val="footnote text"/>
    <w:aliases w:val="Tekst przypisu,Podrozdział,Footnote text,Footnote Text Char Char Char,Footnote Text1,Footnote Text2,Footnote Text11,ALTS FOOTNOTE11,Footnote Text Char111,Footnote Text Char Char Char11,Footnote Text Char1 Char Char Char Char11,ft"/>
    <w:basedOn w:val="Normalny"/>
    <w:link w:val="TekstprzypisudolnegoZnak"/>
    <w:uiPriority w:val="99"/>
    <w:qFormat/>
    <w:pPr>
      <w:suppressAutoHyphens/>
      <w:spacing w:before="120"/>
    </w:pPr>
    <w:rPr>
      <w:snapToGrid w:val="0"/>
      <w:sz w:val="20"/>
      <w:szCs w:val="20"/>
      <w:lang w:val="en-US"/>
    </w:rPr>
  </w:style>
  <w:style w:type="character" w:customStyle="1" w:styleId="TekstprzypisudolnegoZnak">
    <w:name w:val="Tekst przypisu dolnego Znak"/>
    <w:aliases w:val="Tekst przypisu Znak,Podrozdział Znak,Footnote text Znak,Footnote Text Char Char Char Znak,Footnote Text1 Znak,Footnote Text2 Znak,Footnote Text11 Znak,ALTS FOOTNOTE11 Znak,Footnote Text Char111 Znak,ft Znak"/>
    <w:link w:val="Tekstprzypisudolnego"/>
    <w:uiPriority w:val="99"/>
    <w:locked/>
    <w:rPr>
      <w:lang w:val="x-none"/>
    </w:rPr>
  </w:style>
  <w:style w:type="paragraph" w:styleId="Tekstpodstawowywcity">
    <w:name w:val="Body Text Indent"/>
    <w:basedOn w:val="Normalny"/>
    <w:link w:val="TekstpodstawowywcityZnak"/>
    <w:uiPriority w:val="99"/>
    <w:pPr>
      <w:suppressAutoHyphens/>
      <w:spacing w:before="120" w:after="120"/>
      <w:ind w:left="283"/>
    </w:pPr>
    <w:rPr>
      <w:snapToGrid w:val="0"/>
    </w:rPr>
  </w:style>
  <w:style w:type="character" w:customStyle="1" w:styleId="TekstpodstawowywcityZnak">
    <w:name w:val="Tekst podstawowy wcięty Znak"/>
    <w:link w:val="Tekstpodstawowywcity"/>
    <w:uiPriority w:val="99"/>
    <w:rPr>
      <w:rFonts w:ascii="Times New Roman" w:hAnsi="Times New Roman" w:cs="Times New Roman"/>
      <w:sz w:val="24"/>
      <w:szCs w:val="24"/>
      <w:lang w:val="pl-PL"/>
    </w:rPr>
  </w:style>
  <w:style w:type="paragraph" w:customStyle="1" w:styleId="Tekstpodstawowy21">
    <w:name w:val="Tekst podstawowy 21"/>
    <w:basedOn w:val="Normalny"/>
    <w:uiPriority w:val="99"/>
    <w:pPr>
      <w:suppressAutoHyphens/>
      <w:spacing w:before="120"/>
    </w:pPr>
    <w:rPr>
      <w:snapToGrid w:val="0"/>
      <w:sz w:val="40"/>
    </w:rPr>
  </w:style>
  <w:style w:type="paragraph" w:customStyle="1" w:styleId="Reportfooter">
    <w:name w:val="Report_footer"/>
    <w:basedOn w:val="Normalny"/>
    <w:uiPriority w:val="99"/>
    <w:pPr>
      <w:tabs>
        <w:tab w:val="right" w:pos="8505"/>
      </w:tabs>
      <w:suppressAutoHyphens/>
      <w:spacing w:before="60" w:after="60" w:line="360" w:lineRule="auto"/>
    </w:pPr>
    <w:rPr>
      <w:rFonts w:ascii="Arial" w:hAnsi="Arial" w:cs="Arial"/>
      <w:b/>
      <w:bCs/>
      <w:caps/>
      <w:snapToGrid w:val="0"/>
      <w:sz w:val="16"/>
      <w:szCs w:val="16"/>
    </w:rPr>
  </w:style>
  <w:style w:type="paragraph" w:customStyle="1" w:styleId="Tekstpodstawowywciety31">
    <w:name w:val="Tekst podstawowy wciety 31"/>
    <w:basedOn w:val="Normalny"/>
    <w:uiPriority w:val="99"/>
    <w:pPr>
      <w:suppressAutoHyphens/>
      <w:spacing w:before="120" w:after="120"/>
      <w:ind w:left="283"/>
    </w:pPr>
    <w:rPr>
      <w:snapToGrid w:val="0"/>
      <w:sz w:val="16"/>
      <w:szCs w:val="16"/>
    </w:rPr>
  </w:style>
  <w:style w:type="paragraph" w:customStyle="1" w:styleId="xl80">
    <w:name w:val="xl80"/>
    <w:basedOn w:val="Normalny"/>
    <w:uiPriority w:val="99"/>
    <w:pPr>
      <w:pBdr>
        <w:left w:val="single" w:sz="4" w:space="0" w:color="000000"/>
      </w:pBdr>
      <w:suppressAutoHyphens/>
      <w:spacing w:before="100" w:after="100"/>
      <w:jc w:val="center"/>
    </w:pPr>
    <w:rPr>
      <w:rFonts w:ascii="Arial" w:hAnsi="Arial"/>
      <w:snapToGrid w:val="0"/>
      <w:szCs w:val="20"/>
    </w:rPr>
  </w:style>
  <w:style w:type="paragraph" w:customStyle="1" w:styleId="WW-NormalnyWeb">
    <w:name w:val="WW-Normalny (Web)"/>
    <w:basedOn w:val="Normalny"/>
    <w:uiPriority w:val="99"/>
    <w:pPr>
      <w:suppressAutoHyphens/>
      <w:spacing w:before="100" w:after="100"/>
    </w:pPr>
    <w:rPr>
      <w:snapToGrid w:val="0"/>
      <w:szCs w:val="20"/>
    </w:rPr>
  </w:style>
  <w:style w:type="paragraph" w:customStyle="1" w:styleId="Legenda1">
    <w:name w:val="Legenda1"/>
    <w:basedOn w:val="Normalny"/>
    <w:next w:val="Normalny"/>
    <w:uiPriority w:val="99"/>
    <w:pPr>
      <w:suppressAutoHyphens/>
      <w:spacing w:before="120"/>
    </w:pPr>
    <w:rPr>
      <w:b/>
      <w:bCs/>
      <w:snapToGrid w:val="0"/>
      <w:sz w:val="20"/>
      <w:szCs w:val="20"/>
    </w:rPr>
  </w:style>
  <w:style w:type="paragraph" w:customStyle="1" w:styleId="MemorandumCoverPage">
    <w:name w:val="Memorandum_CoverPage"/>
    <w:basedOn w:val="Normalny"/>
    <w:uiPriority w:val="99"/>
    <w:pPr>
      <w:tabs>
        <w:tab w:val="left" w:pos="1800"/>
      </w:tabs>
      <w:suppressAutoHyphens/>
      <w:jc w:val="both"/>
    </w:pPr>
    <w:rPr>
      <w:rFonts w:ascii="Arial" w:hAnsi="Arial"/>
      <w:b/>
      <w:caps/>
      <w:snapToGrid w:val="0"/>
      <w:sz w:val="20"/>
      <w:szCs w:val="20"/>
    </w:rPr>
  </w:style>
  <w:style w:type="paragraph" w:customStyle="1" w:styleId="Lista21">
    <w:name w:val="Lista 21"/>
    <w:basedOn w:val="Normalny"/>
    <w:uiPriority w:val="99"/>
    <w:pPr>
      <w:suppressAutoHyphens/>
      <w:spacing w:before="120"/>
      <w:ind w:left="566" w:hanging="283"/>
    </w:pPr>
    <w:rPr>
      <w:snapToGrid w:val="0"/>
    </w:rPr>
  </w:style>
  <w:style w:type="paragraph" w:customStyle="1" w:styleId="Listapunktowana31">
    <w:name w:val="Lista punktowana 31"/>
    <w:basedOn w:val="Normalny"/>
    <w:uiPriority w:val="99"/>
    <w:pPr>
      <w:suppressAutoHyphens/>
      <w:spacing w:before="120"/>
    </w:pPr>
    <w:rPr>
      <w:snapToGrid w:val="0"/>
    </w:rPr>
  </w:style>
  <w:style w:type="paragraph" w:customStyle="1" w:styleId="Tekstpodstawowyzwcieciem21">
    <w:name w:val="Tekst podstawowy z wcieciem 21"/>
    <w:basedOn w:val="Tekstpodstawowywcity"/>
    <w:uiPriority w:val="99"/>
    <w:pPr>
      <w:ind w:firstLine="210"/>
    </w:pPr>
  </w:style>
  <w:style w:type="paragraph" w:customStyle="1" w:styleId="Style1">
    <w:name w:val="Style1"/>
    <w:basedOn w:val="Nagwek8"/>
    <w:uiPriority w:val="99"/>
    <w:rPr>
      <w:b w:val="0"/>
      <w:i/>
    </w:rPr>
  </w:style>
  <w:style w:type="paragraph" w:customStyle="1" w:styleId="Tekstpodstawowywciety21">
    <w:name w:val="Tekst podstawowy wciety 21"/>
    <w:basedOn w:val="Normalny"/>
    <w:uiPriority w:val="99"/>
    <w:pPr>
      <w:suppressAutoHyphens/>
      <w:spacing w:before="120" w:after="120" w:line="480" w:lineRule="auto"/>
      <w:ind w:left="283"/>
    </w:pPr>
    <w:rPr>
      <w:snapToGrid w:val="0"/>
    </w:rPr>
  </w:style>
  <w:style w:type="paragraph" w:customStyle="1" w:styleId="Tekstdymka1">
    <w:name w:val="Tekst dymka1"/>
    <w:basedOn w:val="Normalny"/>
    <w:uiPriority w:val="99"/>
    <w:pPr>
      <w:suppressAutoHyphens/>
      <w:spacing w:before="120"/>
    </w:pPr>
    <w:rPr>
      <w:snapToGrid w:val="0"/>
      <w:sz w:val="16"/>
      <w:szCs w:val="16"/>
    </w:rPr>
  </w:style>
  <w:style w:type="paragraph" w:customStyle="1" w:styleId="Plandokumentu1">
    <w:name w:val="Plan dokumentu1"/>
    <w:basedOn w:val="Normalny"/>
    <w:uiPriority w:val="99"/>
    <w:pPr>
      <w:shd w:val="clear" w:color="auto" w:fill="000080"/>
      <w:suppressAutoHyphens/>
      <w:spacing w:before="120"/>
    </w:pPr>
    <w:rPr>
      <w:snapToGrid w:val="0"/>
    </w:rPr>
  </w:style>
  <w:style w:type="paragraph" w:customStyle="1" w:styleId="podtabela">
    <w:name w:val="pod tabela"/>
    <w:basedOn w:val="Normalny"/>
    <w:uiPriority w:val="99"/>
    <w:pPr>
      <w:tabs>
        <w:tab w:val="left" w:pos="2160"/>
      </w:tabs>
      <w:suppressAutoHyphens/>
      <w:spacing w:before="120"/>
      <w:ind w:left="2160" w:hanging="1260"/>
      <w:jc w:val="both"/>
    </w:pPr>
    <w:rPr>
      <w:rFonts w:ascii="Arial Narrow" w:hAnsi="Arial Narrow" w:cs="Arial"/>
      <w:bCs/>
      <w:i/>
      <w:snapToGrid w:val="0"/>
      <w:sz w:val="18"/>
    </w:rPr>
  </w:style>
  <w:style w:type="paragraph" w:customStyle="1" w:styleId="StyleHeading2Auto1">
    <w:name w:val="Style Heading 2 + Auto1"/>
    <w:basedOn w:val="Nagwek2"/>
    <w:uiPriority w:val="99"/>
    <w:pPr>
      <w:keepNext w:val="0"/>
      <w:jc w:val="both"/>
    </w:pPr>
    <w:rPr>
      <w:rFonts w:ascii="Times New Roman" w:hAnsi="Times New Roman"/>
      <w:b w:val="0"/>
      <w:iCs/>
      <w:sz w:val="22"/>
    </w:rPr>
  </w:style>
  <w:style w:type="paragraph" w:customStyle="1" w:styleId="Lista31">
    <w:name w:val="Lista 31"/>
    <w:basedOn w:val="Normalny"/>
    <w:uiPriority w:val="99"/>
    <w:pPr>
      <w:suppressAutoHyphens/>
      <w:spacing w:before="120"/>
      <w:ind w:left="849" w:hanging="283"/>
    </w:pPr>
    <w:rPr>
      <w:snapToGrid w:val="0"/>
    </w:rPr>
  </w:style>
  <w:style w:type="paragraph" w:customStyle="1" w:styleId="Lista41">
    <w:name w:val="Lista 41"/>
    <w:basedOn w:val="Normalny"/>
    <w:uiPriority w:val="99"/>
    <w:pPr>
      <w:suppressAutoHyphens/>
      <w:spacing w:before="120"/>
      <w:ind w:left="1132" w:hanging="283"/>
    </w:pPr>
    <w:rPr>
      <w:snapToGrid w:val="0"/>
    </w:rPr>
  </w:style>
  <w:style w:type="paragraph" w:customStyle="1" w:styleId="Lista51">
    <w:name w:val="Lista 51"/>
    <w:basedOn w:val="Normalny"/>
    <w:uiPriority w:val="99"/>
    <w:pPr>
      <w:suppressAutoHyphens/>
      <w:spacing w:before="120"/>
      <w:ind w:left="1415" w:hanging="283"/>
    </w:pPr>
    <w:rPr>
      <w:snapToGrid w:val="0"/>
    </w:rPr>
  </w:style>
  <w:style w:type="paragraph" w:customStyle="1" w:styleId="StyleHeading1Left-095cmFirstline0cm">
    <w:name w:val="Style Heading 1 + Left:  -095 cm First line:  0 cm"/>
    <w:basedOn w:val="Nagwek1"/>
    <w:uiPriority w:val="99"/>
    <w:pPr>
      <w:ind w:left="0" w:firstLine="0"/>
      <w:outlineLvl w:val="9"/>
    </w:pPr>
    <w:rPr>
      <w:rFonts w:cs="Times New Roman"/>
      <w:szCs w:val="20"/>
    </w:rPr>
  </w:style>
  <w:style w:type="paragraph" w:customStyle="1" w:styleId="StyleHeading2JustifiedBefore6ptAfter6pt">
    <w:name w:val="Style Heading 2 + Justified Before:  6 pt After:  6 pt"/>
    <w:basedOn w:val="Nagwek2"/>
    <w:uiPriority w:val="99"/>
    <w:pPr>
      <w:keepNext w:val="0"/>
      <w:numPr>
        <w:numId w:val="0"/>
      </w:numPr>
      <w:tabs>
        <w:tab w:val="left" w:pos="1260"/>
      </w:tabs>
      <w:spacing w:after="120"/>
      <w:ind w:left="1260" w:hanging="900"/>
      <w:jc w:val="both"/>
      <w:outlineLvl w:val="9"/>
    </w:pPr>
    <w:rPr>
      <w:rFonts w:ascii="Times New Roman" w:hAnsi="Times New Roman"/>
      <w:bCs/>
      <w:iCs/>
      <w:sz w:val="24"/>
      <w:szCs w:val="20"/>
    </w:rPr>
  </w:style>
  <w:style w:type="paragraph" w:customStyle="1" w:styleId="StyleHeading3Justified">
    <w:name w:val="Style Heading 3 + Justified"/>
    <w:basedOn w:val="Nagwek3"/>
    <w:uiPriority w:val="99"/>
    <w:pPr>
      <w:numPr>
        <w:ilvl w:val="0"/>
        <w:numId w:val="0"/>
      </w:numPr>
      <w:spacing w:before="120" w:after="120"/>
      <w:ind w:left="900"/>
      <w:jc w:val="both"/>
    </w:pPr>
    <w:rPr>
      <w:rFonts w:ascii="Times New Roman" w:hAnsi="Times New Roman" w:cs="Times New Roman"/>
      <w:bCs w:val="0"/>
      <w:i/>
      <w:sz w:val="22"/>
      <w:szCs w:val="20"/>
    </w:rPr>
  </w:style>
  <w:style w:type="paragraph" w:customStyle="1" w:styleId="TableLeftColumn">
    <w:name w:val="TableLeftColumn"/>
    <w:basedOn w:val="Normalny"/>
    <w:uiPriority w:val="99"/>
    <w:pPr>
      <w:keepNext/>
      <w:tabs>
        <w:tab w:val="left" w:leader="dot" w:pos="5670"/>
      </w:tabs>
      <w:suppressAutoHyphens/>
    </w:pPr>
    <w:rPr>
      <w:rFonts w:ascii="Arial Narrow" w:hAnsi="Arial Narrow"/>
      <w:snapToGrid w:val="0"/>
      <w:sz w:val="18"/>
      <w:szCs w:val="20"/>
    </w:rPr>
  </w:style>
  <w:style w:type="paragraph" w:customStyle="1" w:styleId="TableContent">
    <w:name w:val="Table Content"/>
    <w:basedOn w:val="Normalny"/>
    <w:uiPriority w:val="99"/>
    <w:pPr>
      <w:keepNext/>
      <w:keepLines/>
      <w:suppressAutoHyphens/>
    </w:pPr>
    <w:rPr>
      <w:rFonts w:ascii="Arial Narrow" w:hAnsi="Arial Narrow"/>
      <w:snapToGrid w:val="0"/>
      <w:color w:val="000000"/>
      <w:sz w:val="18"/>
      <w:szCs w:val="20"/>
    </w:rPr>
  </w:style>
  <w:style w:type="paragraph" w:customStyle="1" w:styleId="zakladka">
    <w:name w:val="zakladka"/>
    <w:basedOn w:val="Tekstpodstawowy"/>
    <w:uiPriority w:val="99"/>
    <w:pPr>
      <w:suppressAutoHyphens/>
      <w:spacing w:before="120" w:after="0"/>
      <w:ind w:left="900" w:right="-85"/>
      <w:jc w:val="right"/>
    </w:pPr>
    <w:rPr>
      <w:rFonts w:ascii="Arial" w:hAnsi="Arial" w:cs="Arial"/>
      <w:snapToGrid w:val="0"/>
      <w:sz w:val="48"/>
      <w:szCs w:val="48"/>
    </w:rPr>
  </w:style>
  <w:style w:type="paragraph" w:customStyle="1" w:styleId="Lista-kontynuacja1">
    <w:name w:val="Lista - kontynuacja1"/>
    <w:basedOn w:val="Normalny"/>
    <w:uiPriority w:val="99"/>
    <w:pPr>
      <w:suppressAutoHyphens/>
      <w:spacing w:before="120" w:after="120"/>
      <w:ind w:left="283"/>
    </w:pPr>
    <w:rPr>
      <w:snapToGrid w:val="0"/>
    </w:rPr>
  </w:style>
  <w:style w:type="paragraph" w:customStyle="1" w:styleId="Lista-kontynuacja21">
    <w:name w:val="Lista - kontynuacja 21"/>
    <w:basedOn w:val="Normalny"/>
    <w:uiPriority w:val="99"/>
    <w:pPr>
      <w:suppressAutoHyphens/>
      <w:spacing w:before="120" w:after="120"/>
      <w:ind w:left="566"/>
    </w:pPr>
    <w:rPr>
      <w:snapToGrid w:val="0"/>
    </w:rPr>
  </w:style>
  <w:style w:type="paragraph" w:customStyle="1" w:styleId="Lista-kontynuacja31">
    <w:name w:val="Lista - kontynuacja 31"/>
    <w:basedOn w:val="Normalny"/>
    <w:uiPriority w:val="99"/>
    <w:pPr>
      <w:suppressAutoHyphens/>
      <w:spacing w:before="120" w:after="120"/>
      <w:ind w:left="849"/>
    </w:pPr>
    <w:rPr>
      <w:snapToGrid w:val="0"/>
    </w:rPr>
  </w:style>
  <w:style w:type="paragraph" w:customStyle="1" w:styleId="Tekstpodstawowyzwcieciem1">
    <w:name w:val="Tekst podstawowy z wcieciem1"/>
    <w:basedOn w:val="Tekstpodstawowy"/>
    <w:uiPriority w:val="99"/>
    <w:pPr>
      <w:suppressAutoHyphens/>
      <w:spacing w:before="120"/>
      <w:ind w:firstLine="210"/>
    </w:pPr>
    <w:rPr>
      <w:snapToGrid w:val="0"/>
    </w:rPr>
  </w:style>
  <w:style w:type="paragraph" w:customStyle="1" w:styleId="StyleHeading2Left-032cmFirstline0cm">
    <w:name w:val="Style Heading 2 + Left:  -032 cm First line:  0 cm"/>
    <w:basedOn w:val="Nagwek2"/>
    <w:uiPriority w:val="99"/>
    <w:pPr>
      <w:numPr>
        <w:numId w:val="0"/>
      </w:numPr>
      <w:outlineLvl w:val="9"/>
    </w:pPr>
    <w:rPr>
      <w:bCs/>
      <w:iCs/>
      <w:szCs w:val="20"/>
    </w:rPr>
  </w:style>
  <w:style w:type="paragraph" w:customStyle="1" w:styleId="Head1">
    <w:name w:val="Head 1"/>
    <w:basedOn w:val="Normalny"/>
    <w:uiPriority w:val="99"/>
    <w:pPr>
      <w:suppressAutoHyphens/>
      <w:spacing w:before="120"/>
    </w:pPr>
    <w:rPr>
      <w:b/>
      <w:snapToGrid w:val="0"/>
    </w:rPr>
  </w:style>
  <w:style w:type="paragraph" w:customStyle="1" w:styleId="Head2">
    <w:name w:val="Head 2"/>
    <w:basedOn w:val="Normalny"/>
    <w:uiPriority w:val="99"/>
    <w:pPr>
      <w:suppressAutoHyphens/>
      <w:spacing w:before="120"/>
    </w:pPr>
    <w:rPr>
      <w:snapToGrid w:val="0"/>
      <w:sz w:val="22"/>
    </w:rPr>
  </w:style>
  <w:style w:type="paragraph" w:customStyle="1" w:styleId="Head3">
    <w:name w:val="Head 3"/>
    <w:basedOn w:val="Normalny"/>
    <w:uiPriority w:val="99"/>
    <w:pPr>
      <w:suppressAutoHyphens/>
      <w:spacing w:before="120"/>
    </w:pPr>
    <w:rPr>
      <w:snapToGrid w:val="0"/>
      <w:sz w:val="20"/>
    </w:rPr>
  </w:style>
  <w:style w:type="paragraph" w:customStyle="1" w:styleId="Bullet1">
    <w:name w:val="Bullet 1"/>
    <w:basedOn w:val="Normalny"/>
    <w:uiPriority w:val="99"/>
    <w:pPr>
      <w:tabs>
        <w:tab w:val="num" w:pos="360"/>
      </w:tabs>
      <w:suppressAutoHyphens/>
      <w:overflowPunct w:val="0"/>
      <w:autoSpaceDE w:val="0"/>
      <w:spacing w:after="120" w:line="240" w:lineRule="atLeast"/>
      <w:ind w:left="360" w:firstLine="208"/>
      <w:textAlignment w:val="baseline"/>
    </w:pPr>
    <w:rPr>
      <w:bCs/>
      <w:snapToGrid w:val="0"/>
      <w:sz w:val="22"/>
      <w:szCs w:val="20"/>
      <w:lang w:val="en-AU"/>
    </w:rPr>
  </w:style>
  <w:style w:type="paragraph" w:customStyle="1" w:styleId="TableHeading">
    <w:name w:val="Table Heading"/>
    <w:basedOn w:val="Normalny"/>
    <w:next w:val="Normalny"/>
    <w:uiPriority w:val="99"/>
    <w:pPr>
      <w:suppressAutoHyphens/>
      <w:spacing w:after="160" w:line="264" w:lineRule="auto"/>
    </w:pPr>
    <w:rPr>
      <w:rFonts w:ascii="Arial Narrow" w:hAnsi="Arial Narrow"/>
      <w:b/>
      <w:snapToGrid w:val="0"/>
      <w:sz w:val="22"/>
      <w:lang w:val="en-AU"/>
    </w:rPr>
  </w:style>
  <w:style w:type="paragraph" w:customStyle="1" w:styleId="TableBullet1a">
    <w:name w:val="Table Bullet 1a"/>
    <w:basedOn w:val="Bullet1"/>
    <w:uiPriority w:val="99"/>
    <w:pPr>
      <w:tabs>
        <w:tab w:val="clear" w:pos="360"/>
      </w:tabs>
      <w:spacing w:line="220" w:lineRule="atLeast"/>
      <w:ind w:left="0" w:firstLine="0"/>
    </w:pPr>
    <w:rPr>
      <w:sz w:val="18"/>
    </w:rPr>
  </w:style>
  <w:style w:type="paragraph" w:customStyle="1" w:styleId="BodyText1">
    <w:name w:val="Body Text1"/>
    <w:basedOn w:val="Normalny"/>
    <w:uiPriority w:val="99"/>
    <w:pPr>
      <w:keepLines/>
      <w:suppressAutoHyphens/>
      <w:spacing w:after="120"/>
      <w:jc w:val="both"/>
    </w:pPr>
    <w:rPr>
      <w:rFonts w:ascii="Arial" w:hAnsi="Arial"/>
      <w:snapToGrid w:val="0"/>
      <w:sz w:val="20"/>
      <w:szCs w:val="20"/>
    </w:rPr>
  </w:style>
  <w:style w:type="paragraph" w:customStyle="1" w:styleId="TableHeading10pt">
    <w:name w:val="Table Heading + 10 pt"/>
    <w:basedOn w:val="Normalny"/>
    <w:uiPriority w:val="99"/>
    <w:pPr>
      <w:tabs>
        <w:tab w:val="left" w:pos="720"/>
      </w:tabs>
      <w:suppressAutoHyphens/>
      <w:spacing w:before="240"/>
      <w:ind w:left="720" w:hanging="360"/>
      <w:jc w:val="both"/>
    </w:pPr>
    <w:rPr>
      <w:rFonts w:ascii="Arial" w:hAnsi="Arial" w:cs="Arial"/>
      <w:snapToGrid w:val="0"/>
      <w:color w:val="333399"/>
      <w:sz w:val="20"/>
      <w:szCs w:val="20"/>
    </w:rPr>
  </w:style>
  <w:style w:type="paragraph" w:customStyle="1" w:styleId="StyleHeading4ArialIndigo">
    <w:name w:val="Style Heading 4 + Arial Indigo"/>
    <w:basedOn w:val="Nagwek4"/>
    <w:uiPriority w:val="99"/>
    <w:rPr>
      <w:rFonts w:ascii="Arial" w:hAnsi="Arial"/>
      <w:bCs w:val="0"/>
      <w:color w:val="333399"/>
    </w:rPr>
  </w:style>
  <w:style w:type="paragraph" w:customStyle="1" w:styleId="Spisilustracji1">
    <w:name w:val="Spis ilustracji1"/>
    <w:basedOn w:val="Normalny"/>
    <w:next w:val="Normalny"/>
    <w:uiPriority w:val="99"/>
    <w:pPr>
      <w:suppressAutoHyphens/>
      <w:spacing w:before="120"/>
      <w:ind w:left="1134" w:hanging="1134"/>
    </w:pPr>
    <w:rPr>
      <w:rFonts w:ascii="Arial" w:hAnsi="Arial"/>
      <w:snapToGrid w:val="0"/>
      <w:sz w:val="20"/>
    </w:rPr>
  </w:style>
  <w:style w:type="paragraph" w:customStyle="1" w:styleId="h">
    <w:name w:val="h"/>
    <w:basedOn w:val="Normalny"/>
    <w:uiPriority w:val="99"/>
    <w:pPr>
      <w:suppressAutoHyphens/>
      <w:spacing w:before="120"/>
    </w:pPr>
    <w:rPr>
      <w:snapToGrid w:val="0"/>
    </w:rPr>
  </w:style>
  <w:style w:type="paragraph" w:customStyle="1" w:styleId="StyleHeading2LatinArialIndigo">
    <w:name w:val="Style Heading 2 + (Latin) Arial Indigo"/>
    <w:basedOn w:val="Nagwek2"/>
    <w:uiPriority w:val="99"/>
    <w:pPr>
      <w:numPr>
        <w:numId w:val="0"/>
      </w:numPr>
      <w:outlineLvl w:val="9"/>
    </w:pPr>
    <w:rPr>
      <w:rFonts w:ascii="Arial" w:hAnsi="Arial"/>
      <w:bCs/>
      <w:iCs/>
    </w:rPr>
  </w:style>
  <w:style w:type="paragraph" w:customStyle="1" w:styleId="StyleHeading4ArialCustomColorRGB43">
    <w:name w:val="Style Heading 4 + Arial Custom Color(RGB(43"/>
    <w:basedOn w:val="Nagwek4"/>
    <w:uiPriority w:val="99"/>
    <w:pPr>
      <w:numPr>
        <w:numId w:val="0"/>
      </w:numPr>
      <w:ind w:left="1004" w:hanging="720"/>
      <w:outlineLvl w:val="9"/>
    </w:pPr>
    <w:rPr>
      <w:rFonts w:ascii="Arial" w:hAnsi="Arial"/>
      <w:bCs w:val="0"/>
      <w:color w:val="2B2B85"/>
    </w:rPr>
  </w:style>
  <w:style w:type="paragraph" w:customStyle="1" w:styleId="cover">
    <w:name w:val="cover"/>
    <w:basedOn w:val="Normalny"/>
    <w:uiPriority w:val="99"/>
    <w:pPr>
      <w:tabs>
        <w:tab w:val="left" w:pos="567"/>
      </w:tabs>
      <w:suppressAutoHyphens/>
      <w:spacing w:after="60"/>
      <w:ind w:left="567" w:hanging="567"/>
      <w:jc w:val="center"/>
    </w:pPr>
    <w:rPr>
      <w:rFonts w:ascii="Arial" w:hAnsi="Arial"/>
      <w:b/>
      <w:snapToGrid w:val="0"/>
      <w:sz w:val="48"/>
      <w:szCs w:val="20"/>
    </w:rPr>
  </w:style>
  <w:style w:type="paragraph" w:customStyle="1" w:styleId="Default">
    <w:name w:val="Default"/>
    <w:uiPriority w:val="99"/>
    <w:pPr>
      <w:suppressAutoHyphens/>
      <w:autoSpaceDE w:val="0"/>
    </w:pPr>
    <w:rPr>
      <w:snapToGrid w:val="0"/>
      <w:color w:val="000000"/>
      <w:lang w:val="en-US" w:eastAsia="ja-JP"/>
    </w:rPr>
  </w:style>
  <w:style w:type="paragraph" w:customStyle="1" w:styleId="Standardowy1">
    <w:name w:val="Standardowy1"/>
    <w:basedOn w:val="Default"/>
    <w:next w:val="Default"/>
    <w:uiPriority w:val="99"/>
    <w:rPr>
      <w:color w:val="auto"/>
    </w:rPr>
  </w:style>
  <w:style w:type="paragraph" w:customStyle="1" w:styleId="zwyklybezwciecia">
    <w:name w:val="zwykly_bez_wciecia"/>
    <w:basedOn w:val="Normalny"/>
    <w:uiPriority w:val="99"/>
    <w:pPr>
      <w:suppressAutoHyphens/>
      <w:spacing w:before="60" w:after="60" w:line="360" w:lineRule="auto"/>
      <w:jc w:val="both"/>
    </w:pPr>
    <w:rPr>
      <w:snapToGrid w:val="0"/>
    </w:rPr>
  </w:style>
  <w:style w:type="paragraph" w:customStyle="1" w:styleId="basic">
    <w:name w:val="basic"/>
    <w:basedOn w:val="Normalny"/>
    <w:uiPriority w:val="99"/>
    <w:pPr>
      <w:suppressAutoHyphens/>
      <w:ind w:firstLine="709"/>
      <w:jc w:val="both"/>
    </w:pPr>
    <w:rPr>
      <w:snapToGrid w:val="0"/>
      <w:sz w:val="20"/>
    </w:rPr>
  </w:style>
  <w:style w:type="paragraph" w:customStyle="1" w:styleId="firstparagraph">
    <w:name w:val="first_paragraph"/>
    <w:basedOn w:val="basic"/>
    <w:next w:val="basic"/>
    <w:uiPriority w:val="99"/>
    <w:pPr>
      <w:ind w:firstLine="0"/>
    </w:pPr>
  </w:style>
  <w:style w:type="paragraph" w:customStyle="1" w:styleId="wypunkt">
    <w:name w:val="wypunkt"/>
    <w:basedOn w:val="basic"/>
    <w:uiPriority w:val="99"/>
    <w:pPr>
      <w:tabs>
        <w:tab w:val="left" w:pos="360"/>
      </w:tabs>
    </w:pPr>
  </w:style>
  <w:style w:type="paragraph" w:customStyle="1" w:styleId="titlesubsection">
    <w:name w:val="title_subsection"/>
    <w:basedOn w:val="Normalny"/>
    <w:next w:val="firstparagraph"/>
    <w:uiPriority w:val="99"/>
    <w:pPr>
      <w:keepNext/>
      <w:keepLines/>
      <w:tabs>
        <w:tab w:val="left" w:pos="2160"/>
      </w:tabs>
      <w:suppressAutoHyphens/>
      <w:spacing w:before="240" w:after="120"/>
      <w:ind w:left="720" w:hanging="720"/>
    </w:pPr>
    <w:rPr>
      <w:b/>
      <w:snapToGrid w:val="0"/>
    </w:rPr>
  </w:style>
  <w:style w:type="paragraph" w:customStyle="1" w:styleId="ANXbulletedZnakZnakZnak">
    <w:name w:val="ANX bulleted Znak Znak Znak"/>
    <w:basedOn w:val="Listapunktowana31"/>
    <w:uiPriority w:val="99"/>
    <w:pPr>
      <w:tabs>
        <w:tab w:val="num" w:pos="1260"/>
      </w:tabs>
      <w:ind w:left="1260" w:hanging="360"/>
      <w:jc w:val="both"/>
    </w:pPr>
    <w:rPr>
      <w:rFonts w:ascii="Arial" w:hAnsi="Arial" w:cs="Arial"/>
      <w:sz w:val="20"/>
      <w:szCs w:val="20"/>
    </w:rPr>
  </w:style>
  <w:style w:type="paragraph" w:customStyle="1" w:styleId="ANXhead1">
    <w:name w:val="ANX head1"/>
    <w:basedOn w:val="StyleHeading2LatinArialIndigo"/>
    <w:uiPriority w:val="99"/>
  </w:style>
  <w:style w:type="paragraph" w:customStyle="1" w:styleId="ANXhead2">
    <w:name w:val="ANX head2"/>
    <w:basedOn w:val="Nagwek2"/>
    <w:uiPriority w:val="99"/>
    <w:rPr>
      <w:color w:val="2B2B85"/>
    </w:rPr>
  </w:style>
  <w:style w:type="paragraph" w:customStyle="1" w:styleId="ANXhead3">
    <w:name w:val="ANX head3"/>
    <w:basedOn w:val="ANXbulletedZnakZnakZnak"/>
    <w:uiPriority w:val="99"/>
    <w:pPr>
      <w:tabs>
        <w:tab w:val="clear" w:pos="1260"/>
      </w:tabs>
      <w:spacing w:before="260"/>
      <w:ind w:left="900" w:firstLine="0"/>
    </w:pPr>
    <w:rPr>
      <w:rFonts w:ascii="Arial Narrow" w:hAnsi="Arial Narrow"/>
      <w:b/>
      <w:color w:val="333399"/>
      <w:sz w:val="24"/>
      <w:szCs w:val="24"/>
    </w:rPr>
  </w:style>
  <w:style w:type="paragraph" w:customStyle="1" w:styleId="Tekstpodstawowy31">
    <w:name w:val="Tekst podstawowy 31"/>
    <w:basedOn w:val="Normalny"/>
    <w:uiPriority w:val="99"/>
    <w:pPr>
      <w:suppressAutoHyphens/>
      <w:spacing w:before="120" w:after="120"/>
    </w:pPr>
    <w:rPr>
      <w:snapToGrid w:val="0"/>
      <w:sz w:val="16"/>
      <w:szCs w:val="16"/>
    </w:rPr>
  </w:style>
  <w:style w:type="paragraph" w:customStyle="1" w:styleId="Tekstkomentarza1">
    <w:name w:val="Tekst komentarza1"/>
    <w:basedOn w:val="Normalny"/>
    <w:uiPriority w:val="99"/>
    <w:pPr>
      <w:suppressAutoHyphens/>
      <w:spacing w:before="120"/>
    </w:pPr>
    <w:rPr>
      <w:snapToGrid w:val="0"/>
      <w:sz w:val="20"/>
      <w:szCs w:val="20"/>
    </w:rPr>
  </w:style>
  <w:style w:type="paragraph" w:customStyle="1" w:styleId="Tematkomentarza1">
    <w:name w:val="Temat komentarza1"/>
    <w:basedOn w:val="Tekstkomentarza1"/>
    <w:next w:val="Tekstkomentarza1"/>
    <w:uiPriority w:val="99"/>
    <w:rPr>
      <w:b/>
      <w:bCs/>
    </w:rPr>
  </w:style>
  <w:style w:type="paragraph" w:customStyle="1" w:styleId="bullet2">
    <w:name w:val="bullet2"/>
    <w:basedOn w:val="TableBullet1a"/>
    <w:uiPriority w:val="99"/>
    <w:pPr>
      <w:spacing w:after="0" w:line="160" w:lineRule="atLeast"/>
    </w:pPr>
    <w:rPr>
      <w:rFonts w:ascii="Arial Narrow" w:hAnsi="Arial Narrow" w:cs="Arial Narrow"/>
      <w:bCs w:val="0"/>
      <w:color w:val="333399"/>
      <w:sz w:val="20"/>
      <w:lang w:val="pl-PL"/>
    </w:rPr>
  </w:style>
  <w:style w:type="paragraph" w:customStyle="1" w:styleId="NormalnyWeb1">
    <w:name w:val="Normalny (Web)1"/>
    <w:basedOn w:val="Normalny"/>
    <w:uiPriority w:val="99"/>
    <w:pPr>
      <w:suppressAutoHyphens/>
      <w:spacing w:before="100" w:after="100"/>
    </w:pPr>
    <w:rPr>
      <w:snapToGrid w:val="0"/>
      <w:lang w:val="en-US"/>
    </w:rPr>
  </w:style>
  <w:style w:type="paragraph" w:customStyle="1" w:styleId="textplain">
    <w:name w:val="textplain"/>
    <w:basedOn w:val="Normalny"/>
    <w:uiPriority w:val="99"/>
    <w:pPr>
      <w:suppressAutoHyphens/>
      <w:spacing w:before="100" w:after="100"/>
      <w:ind w:firstLine="360"/>
      <w:jc w:val="both"/>
    </w:pPr>
    <w:rPr>
      <w:snapToGrid w:val="0"/>
      <w:sz w:val="20"/>
      <w:szCs w:val="20"/>
      <w:lang w:val="en-US"/>
    </w:rPr>
  </w:style>
  <w:style w:type="paragraph" w:customStyle="1" w:styleId="AAFrameAddress">
    <w:name w:val="AA Frame Address"/>
    <w:basedOn w:val="Nagwek1"/>
    <w:uiPriority w:val="99"/>
    <w:pPr>
      <w:pageBreakBefore w:val="0"/>
      <w:tabs>
        <w:tab w:val="left" w:pos="283"/>
        <w:tab w:val="left" w:pos="567"/>
        <w:tab w:val="left" w:pos="851"/>
      </w:tabs>
      <w:spacing w:before="0" w:after="90"/>
      <w:ind w:left="0" w:firstLine="0"/>
      <w:outlineLvl w:val="9"/>
    </w:pPr>
    <w:rPr>
      <w:rFonts w:ascii="Arial" w:hAnsi="Arial" w:cs="Times New Roman"/>
      <w:bCs w:val="0"/>
      <w:color w:val="auto"/>
      <w:sz w:val="24"/>
      <w:szCs w:val="20"/>
      <w:lang w:val="en-US"/>
    </w:rPr>
  </w:style>
  <w:style w:type="paragraph" w:customStyle="1" w:styleId="Normalbezodstepow">
    <w:name w:val="Normal bez odstepow"/>
    <w:basedOn w:val="Normalny"/>
    <w:uiPriority w:val="99"/>
    <w:pPr>
      <w:suppressAutoHyphens/>
      <w:spacing w:before="60" w:after="60"/>
      <w:ind w:left="567"/>
    </w:pPr>
    <w:rPr>
      <w:rFonts w:ascii="Arial" w:hAnsi="Arial"/>
      <w:snapToGrid w:val="0"/>
      <w:sz w:val="20"/>
      <w:szCs w:val="20"/>
    </w:rPr>
  </w:style>
  <w:style w:type="paragraph" w:customStyle="1" w:styleId="Normalitalic">
    <w:name w:val="Normal italic"/>
    <w:basedOn w:val="Normalny"/>
    <w:uiPriority w:val="99"/>
    <w:pPr>
      <w:tabs>
        <w:tab w:val="left" w:pos="567"/>
      </w:tabs>
      <w:suppressAutoHyphens/>
      <w:spacing w:before="60" w:after="60"/>
      <w:ind w:left="567"/>
    </w:pPr>
    <w:rPr>
      <w:rFonts w:ascii="Arial" w:hAnsi="Arial"/>
      <w:i/>
      <w:snapToGrid w:val="0"/>
      <w:sz w:val="20"/>
      <w:szCs w:val="20"/>
    </w:rPr>
  </w:style>
  <w:style w:type="paragraph" w:customStyle="1" w:styleId="ANXbulleted2">
    <w:name w:val="ANX bulleted2"/>
    <w:basedOn w:val="ANXbulletedZnakZnakZnak"/>
    <w:uiPriority w:val="99"/>
    <w:pPr>
      <w:tabs>
        <w:tab w:val="clear" w:pos="1260"/>
      </w:tabs>
      <w:ind w:left="0" w:firstLine="0"/>
    </w:pPr>
  </w:style>
  <w:style w:type="paragraph" w:customStyle="1" w:styleId="anxsource">
    <w:name w:val="anx source"/>
    <w:basedOn w:val="ANXhead3"/>
    <w:uiPriority w:val="99"/>
    <w:pPr>
      <w:spacing w:before="0"/>
    </w:pPr>
    <w:rPr>
      <w:b w:val="0"/>
      <w:i/>
      <w:sz w:val="14"/>
      <w:szCs w:val="14"/>
      <w:lang w:val="en-US"/>
    </w:rPr>
  </w:style>
  <w:style w:type="paragraph" w:customStyle="1" w:styleId="ANXbullettedbezbuletow">
    <w:name w:val="ANX bulletted bez buletow"/>
    <w:basedOn w:val="ANXbulletedZnakZnakZnak"/>
    <w:uiPriority w:val="99"/>
    <w:pPr>
      <w:tabs>
        <w:tab w:val="clear" w:pos="1260"/>
      </w:tabs>
      <w:ind w:firstLine="0"/>
      <w:jc w:val="left"/>
    </w:pPr>
  </w:style>
  <w:style w:type="paragraph" w:customStyle="1" w:styleId="anxbulettedII">
    <w:name w:val="anx buletted II"/>
    <w:basedOn w:val="ANXbulletedZnakZnakZnak"/>
    <w:uiPriority w:val="99"/>
    <w:pPr>
      <w:ind w:left="0" w:firstLine="0"/>
      <w:jc w:val="left"/>
    </w:pPr>
  </w:style>
  <w:style w:type="paragraph" w:customStyle="1" w:styleId="Heading1-beznumeru">
    <w:name w:val="Heading 1-bez numeru"/>
    <w:basedOn w:val="Nagwek1"/>
    <w:uiPriority w:val="99"/>
    <w:pPr>
      <w:ind w:left="0" w:firstLine="0"/>
    </w:pPr>
  </w:style>
  <w:style w:type="paragraph" w:customStyle="1" w:styleId="BULLETY">
    <w:name w:val="BULLETY"/>
    <w:basedOn w:val="Normalny"/>
    <w:uiPriority w:val="99"/>
    <w:pPr>
      <w:tabs>
        <w:tab w:val="num" w:pos="1429"/>
      </w:tabs>
      <w:suppressAutoHyphens/>
      <w:ind w:left="1429" w:hanging="360"/>
    </w:pPr>
    <w:rPr>
      <w:noProof/>
      <w:snapToGrid w:val="0"/>
      <w:lang w:val="en-US"/>
    </w:rPr>
  </w:style>
  <w:style w:type="paragraph" w:customStyle="1" w:styleId="BalloonText1">
    <w:name w:val="Balloon Text1"/>
    <w:basedOn w:val="Normalny"/>
    <w:uiPriority w:val="99"/>
    <w:pPr>
      <w:suppressAutoHyphens/>
      <w:spacing w:before="120"/>
    </w:pPr>
    <w:rPr>
      <w:snapToGrid w:val="0"/>
      <w:sz w:val="16"/>
      <w:szCs w:val="16"/>
    </w:rPr>
  </w:style>
  <w:style w:type="paragraph" w:customStyle="1" w:styleId="Naglwek21">
    <w:name w:val="Naglówek 21"/>
    <w:basedOn w:val="Default"/>
    <w:next w:val="Default"/>
    <w:uiPriority w:val="99"/>
    <w:rPr>
      <w:color w:val="auto"/>
    </w:rPr>
  </w:style>
  <w:style w:type="paragraph" w:customStyle="1" w:styleId="Tekstpodstawowy1">
    <w:name w:val="Tekst podstawowy1"/>
    <w:basedOn w:val="Default"/>
    <w:next w:val="Default"/>
    <w:uiPriority w:val="99"/>
    <w:rPr>
      <w:color w:val="auto"/>
    </w:rPr>
  </w:style>
  <w:style w:type="paragraph" w:customStyle="1" w:styleId="Wyliczenie">
    <w:name w:val="Wyliczenie"/>
    <w:basedOn w:val="Default"/>
    <w:next w:val="Default"/>
    <w:uiPriority w:val="99"/>
    <w:rPr>
      <w:color w:val="auto"/>
    </w:rPr>
  </w:style>
  <w:style w:type="paragraph" w:customStyle="1" w:styleId="Stopka1">
    <w:name w:val="Stopka1"/>
    <w:basedOn w:val="Default"/>
    <w:next w:val="Default"/>
    <w:uiPriority w:val="99"/>
    <w:rPr>
      <w:color w:val="auto"/>
    </w:rPr>
  </w:style>
  <w:style w:type="paragraph" w:customStyle="1" w:styleId="Enormal">
    <w:name w:val="E normal"/>
    <w:basedOn w:val="Default"/>
    <w:next w:val="Default"/>
    <w:uiPriority w:val="99"/>
    <w:rPr>
      <w:color w:val="auto"/>
    </w:rPr>
  </w:style>
  <w:style w:type="paragraph" w:customStyle="1" w:styleId="titlemarginal">
    <w:name w:val="title_marginal"/>
    <w:basedOn w:val="Normalny"/>
    <w:next w:val="firstparagraph"/>
    <w:uiPriority w:val="99"/>
    <w:pPr>
      <w:keepNext/>
      <w:keepLines/>
      <w:tabs>
        <w:tab w:val="left" w:pos="864"/>
        <w:tab w:val="left" w:pos="1908"/>
      </w:tabs>
      <w:suppressAutoHyphens/>
      <w:spacing w:before="120" w:after="120"/>
      <w:ind w:left="864" w:hanging="864"/>
    </w:pPr>
    <w:rPr>
      <w:b/>
      <w:snapToGrid w:val="0"/>
      <w:sz w:val="20"/>
    </w:rPr>
  </w:style>
  <w:style w:type="paragraph" w:customStyle="1" w:styleId="Reporttext">
    <w:name w:val="Report text"/>
    <w:uiPriority w:val="99"/>
    <w:pPr>
      <w:suppressAutoHyphens/>
      <w:spacing w:before="120" w:after="60"/>
      <w:jc w:val="both"/>
    </w:pPr>
    <w:rPr>
      <w:rFonts w:ascii="Arial" w:hAnsi="Arial" w:cs="Arial"/>
      <w:snapToGrid w:val="0"/>
      <w:lang w:eastAsia="ja-JP"/>
    </w:rPr>
  </w:style>
  <w:style w:type="paragraph" w:customStyle="1" w:styleId="aa-tab">
    <w:name w:val="aa-tab"/>
    <w:basedOn w:val="anxnormalZnak"/>
    <w:uiPriority w:val="99"/>
    <w:pPr>
      <w:spacing w:before="240" w:after="120"/>
      <w:ind w:left="1560" w:hanging="851"/>
    </w:pPr>
    <w:rPr>
      <w:rFonts w:ascii="Arial Narrow" w:hAnsi="Arial Narrow"/>
      <w:b/>
      <w:color w:val="4367C5"/>
    </w:rPr>
  </w:style>
  <w:style w:type="paragraph" w:customStyle="1" w:styleId="StylArialNarrow10ptIndygoPrzed12pt">
    <w:name w:val="Styl Arial Narrow 10 pt Indygo Przed:  12 pt"/>
    <w:basedOn w:val="Normalny"/>
    <w:uiPriority w:val="99"/>
    <w:pPr>
      <w:suppressAutoHyphens/>
      <w:spacing w:before="240"/>
    </w:pPr>
    <w:rPr>
      <w:rFonts w:ascii="Arial Narrow" w:hAnsi="Arial Narrow"/>
      <w:snapToGrid w:val="0"/>
      <w:color w:val="4367C5"/>
      <w:sz w:val="20"/>
      <w:szCs w:val="20"/>
    </w:rPr>
  </w:style>
  <w:style w:type="paragraph" w:customStyle="1" w:styleId="StylArialNarrow10ptIndygoPrzed12pt1">
    <w:name w:val="Styl Arial Narrow 10 pt Indygo Przed:  12 pt1"/>
    <w:basedOn w:val="Normalny"/>
    <w:uiPriority w:val="99"/>
    <w:pPr>
      <w:suppressAutoHyphens/>
      <w:spacing w:before="240"/>
    </w:pPr>
    <w:rPr>
      <w:rFonts w:ascii="Arial Narrow" w:hAnsi="Arial Narrow"/>
      <w:snapToGrid w:val="0"/>
      <w:color w:val="4367C5"/>
      <w:sz w:val="20"/>
      <w:szCs w:val="20"/>
    </w:rPr>
  </w:style>
  <w:style w:type="paragraph" w:customStyle="1" w:styleId="StylArialNarrow10ptIndygoPrzed12pt2">
    <w:name w:val="Styl Arial Narrow 10 pt Indygo Przed:  12 pt2"/>
    <w:basedOn w:val="Normalny"/>
    <w:uiPriority w:val="99"/>
    <w:pPr>
      <w:suppressAutoHyphens/>
      <w:spacing w:before="240"/>
    </w:pPr>
    <w:rPr>
      <w:rFonts w:ascii="Arial Narrow" w:hAnsi="Arial Narrow"/>
      <w:snapToGrid w:val="0"/>
      <w:color w:val="4367C5"/>
      <w:sz w:val="20"/>
      <w:szCs w:val="20"/>
    </w:rPr>
  </w:style>
  <w:style w:type="paragraph" w:customStyle="1" w:styleId="StylArialNarrow9ptPogrubienieIndygoWyrwnanydosrodka">
    <w:name w:val="Styl Arial Narrow 9 pt Pogrubienie Indygo Wyrównany do srodka..."/>
    <w:basedOn w:val="Normalny"/>
    <w:uiPriority w:val="99"/>
    <w:pPr>
      <w:suppressAutoHyphens/>
      <w:jc w:val="center"/>
    </w:pPr>
    <w:rPr>
      <w:rFonts w:ascii="Arial Narrow" w:hAnsi="Arial Narrow"/>
      <w:b/>
      <w:bCs/>
      <w:snapToGrid w:val="0"/>
      <w:color w:val="3366FF"/>
      <w:sz w:val="18"/>
      <w:szCs w:val="20"/>
    </w:rPr>
  </w:style>
  <w:style w:type="paragraph" w:customStyle="1" w:styleId="StylArialNarrow9ptWyrwnanydosrodkaPrzed0pt">
    <w:name w:val="Styl Arial Narrow 9 pt Wyrównany do srodka Przed:  0 pt"/>
    <w:basedOn w:val="Normalny"/>
    <w:next w:val="StylArialNarrow9ptWyrwnanydosrodkaPrzed0pt1"/>
    <w:uiPriority w:val="99"/>
    <w:pPr>
      <w:suppressAutoHyphens/>
      <w:jc w:val="center"/>
    </w:pPr>
    <w:rPr>
      <w:rFonts w:ascii="Arial Narrow" w:hAnsi="Arial Narrow"/>
      <w:snapToGrid w:val="0"/>
      <w:color w:val="3366FF"/>
      <w:sz w:val="18"/>
      <w:szCs w:val="20"/>
    </w:rPr>
  </w:style>
  <w:style w:type="paragraph" w:customStyle="1" w:styleId="StylArialNarrow9ptWyrwnanydosrodkaPrzed0pt1">
    <w:name w:val="Styl Arial Narrow 9 pt Wyrównany do srodka Przed:  0 pt1"/>
    <w:basedOn w:val="Normalny"/>
    <w:uiPriority w:val="99"/>
    <w:pPr>
      <w:suppressAutoHyphens/>
      <w:jc w:val="center"/>
    </w:pPr>
    <w:rPr>
      <w:rFonts w:ascii="Arial Narrow" w:hAnsi="Arial Narrow"/>
      <w:snapToGrid w:val="0"/>
      <w:color w:val="3366FF"/>
      <w:sz w:val="18"/>
      <w:szCs w:val="20"/>
    </w:rPr>
  </w:style>
  <w:style w:type="paragraph" w:customStyle="1" w:styleId="StylArialNarrow10ptIndygoPrzed2ptPo2ptInterli">
    <w:name w:val="Styl Arial Narrow 10 pt Indygo Przed:  2 pt Po:  2 pt Interli..."/>
    <w:basedOn w:val="Normalny"/>
    <w:uiPriority w:val="99"/>
    <w:pPr>
      <w:suppressAutoHyphens/>
      <w:spacing w:before="40" w:after="40" w:line="220" w:lineRule="atLeast"/>
    </w:pPr>
    <w:rPr>
      <w:rFonts w:ascii="Arial Narrow" w:hAnsi="Arial Narrow"/>
      <w:snapToGrid w:val="0"/>
      <w:color w:val="3366FF"/>
      <w:sz w:val="20"/>
      <w:szCs w:val="20"/>
    </w:rPr>
  </w:style>
  <w:style w:type="paragraph" w:customStyle="1" w:styleId="StylArialNarrow10ptIndygoZlewej039cmPrzed2pt">
    <w:name w:val="Styl Arial Narrow 10 pt Indygo Z lewej:  039 cm Przed:  2 pt..."/>
    <w:basedOn w:val="Normalny"/>
    <w:uiPriority w:val="99"/>
    <w:pPr>
      <w:suppressAutoHyphens/>
      <w:spacing w:before="40" w:after="40" w:line="220" w:lineRule="atLeast"/>
      <w:ind w:left="223"/>
    </w:pPr>
    <w:rPr>
      <w:rFonts w:ascii="Arial Narrow" w:hAnsi="Arial Narrow"/>
      <w:snapToGrid w:val="0"/>
      <w:color w:val="3366FF"/>
      <w:sz w:val="20"/>
      <w:szCs w:val="20"/>
    </w:rPr>
  </w:style>
  <w:style w:type="paragraph" w:customStyle="1" w:styleId="StylLegendaArialIndygoPierwszywiersz124cm">
    <w:name w:val="Styl Legenda + Arial Indygo Pierwszy wiersz:  124 cm"/>
    <w:basedOn w:val="Legenda1"/>
    <w:uiPriority w:val="99"/>
    <w:pPr>
      <w:ind w:firstLine="705"/>
    </w:pPr>
    <w:rPr>
      <w:rFonts w:ascii="Arial" w:hAnsi="Arial"/>
      <w:color w:val="3967C5"/>
    </w:rPr>
  </w:style>
  <w:style w:type="paragraph" w:customStyle="1" w:styleId="StylArial10ptPogrubienieIndygoWyjustowanyPierwszywier">
    <w:name w:val="Styl Arial 10 pt Pogrubienie Indygo Wyjustowany Pierwszy wier..."/>
    <w:basedOn w:val="Normalny"/>
    <w:uiPriority w:val="99"/>
    <w:pPr>
      <w:suppressAutoHyphens/>
      <w:spacing w:before="120"/>
      <w:ind w:firstLine="709"/>
      <w:jc w:val="both"/>
    </w:pPr>
    <w:rPr>
      <w:rFonts w:ascii="Arial" w:hAnsi="Arial"/>
      <w:b/>
      <w:bCs/>
      <w:snapToGrid w:val="0"/>
      <w:color w:val="4367C5"/>
      <w:sz w:val="20"/>
      <w:szCs w:val="20"/>
    </w:rPr>
  </w:style>
  <w:style w:type="paragraph" w:customStyle="1" w:styleId="StylLegendaArialIndygoPierwszywiersz125cm">
    <w:name w:val="Styl Legenda + Arial Indygo Pierwszy wiersz:  125 cm"/>
    <w:basedOn w:val="Legenda1"/>
    <w:uiPriority w:val="99"/>
    <w:pPr>
      <w:ind w:firstLine="709"/>
    </w:pPr>
    <w:rPr>
      <w:rFonts w:ascii="Arial" w:hAnsi="Arial"/>
      <w:color w:val="4367C5"/>
    </w:rPr>
  </w:style>
  <w:style w:type="paragraph" w:customStyle="1" w:styleId="anxcaptiontabela">
    <w:name w:val="anx caption tabela"/>
    <w:basedOn w:val="Legenda1"/>
    <w:uiPriority w:val="99"/>
    <w:pPr>
      <w:keepNext/>
      <w:tabs>
        <w:tab w:val="left" w:pos="720"/>
      </w:tabs>
      <w:spacing w:before="220" w:after="120"/>
      <w:ind w:left="1979" w:hanging="1077"/>
    </w:pPr>
    <w:rPr>
      <w:rFonts w:ascii="Arial" w:hAnsi="Arial" w:cs="Arial"/>
      <w:color w:val="333399"/>
    </w:rPr>
  </w:style>
  <w:style w:type="paragraph" w:customStyle="1" w:styleId="anxbuletted">
    <w:name w:val="anx buletted"/>
    <w:basedOn w:val="aa-tab"/>
    <w:uiPriority w:val="99"/>
  </w:style>
  <w:style w:type="paragraph" w:customStyle="1" w:styleId="ANXbulleted">
    <w:name w:val="ANX bulleted"/>
    <w:basedOn w:val="Listapunktowana31"/>
    <w:uiPriority w:val="99"/>
    <w:pPr>
      <w:tabs>
        <w:tab w:val="left" w:pos="1440"/>
      </w:tabs>
      <w:ind w:left="1440" w:hanging="360"/>
      <w:jc w:val="both"/>
    </w:pPr>
    <w:rPr>
      <w:rFonts w:ascii="Arial" w:hAnsi="Arial" w:cs="Arial"/>
    </w:rPr>
  </w:style>
  <w:style w:type="paragraph" w:customStyle="1" w:styleId="anxnormal">
    <w:name w:val="anx normal"/>
    <w:basedOn w:val="Tekstpodstawowy"/>
    <w:pPr>
      <w:suppressAutoHyphens/>
      <w:spacing w:before="120" w:after="0"/>
      <w:ind w:left="567"/>
      <w:jc w:val="both"/>
    </w:pPr>
    <w:rPr>
      <w:rFonts w:ascii="Arial" w:hAnsi="Arial" w:cs="Arial"/>
      <w:snapToGrid w:val="0"/>
      <w:sz w:val="20"/>
      <w:szCs w:val="20"/>
    </w:rPr>
  </w:style>
  <w:style w:type="paragraph" w:customStyle="1" w:styleId="Spistresci10">
    <w:name w:val="Spis tresci 10"/>
    <w:basedOn w:val="Indeks"/>
    <w:uiPriority w:val="99"/>
    <w:pPr>
      <w:tabs>
        <w:tab w:val="right" w:leader="dot" w:pos="9637"/>
      </w:tabs>
      <w:ind w:left="2547"/>
    </w:pPr>
  </w:style>
  <w:style w:type="paragraph" w:customStyle="1" w:styleId="Zawartosctabeli">
    <w:name w:val="Zawartosc tabeli"/>
    <w:basedOn w:val="Normalny"/>
    <w:uiPriority w:val="99"/>
    <w:pPr>
      <w:suppressLineNumbers/>
      <w:suppressAutoHyphens/>
      <w:spacing w:before="120"/>
    </w:pPr>
    <w:rPr>
      <w:snapToGrid w:val="0"/>
    </w:rPr>
  </w:style>
  <w:style w:type="paragraph" w:customStyle="1" w:styleId="Naglwektabeli">
    <w:name w:val="Naglówek tabeli"/>
    <w:basedOn w:val="Zawartosctabeli"/>
    <w:uiPriority w:val="99"/>
    <w:pPr>
      <w:jc w:val="center"/>
    </w:pPr>
    <w:rPr>
      <w:b/>
      <w:bCs/>
    </w:rPr>
  </w:style>
  <w:style w:type="paragraph" w:customStyle="1" w:styleId="Zawartoscramki">
    <w:name w:val="Zawartosc ramki"/>
    <w:basedOn w:val="Tekstpodstawowy"/>
    <w:uiPriority w:val="99"/>
    <w:pPr>
      <w:suppressAutoHyphens/>
      <w:spacing w:before="120" w:after="0"/>
      <w:jc w:val="both"/>
    </w:pPr>
    <w:rPr>
      <w:snapToGrid w:val="0"/>
    </w:rPr>
  </w:style>
  <w:style w:type="table" w:styleId="Tabela-Siatka">
    <w:name w:val="Table Grid"/>
    <w:aliases w:val="Davis Langdon Table grid"/>
    <w:basedOn w:val="Standardowy"/>
    <w:uiPriority w:val="5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99"/>
    <w:qFormat/>
    <w:pPr>
      <w:suppressAutoHyphens/>
      <w:spacing w:before="120"/>
    </w:pPr>
    <w:rPr>
      <w:b/>
      <w:bCs/>
      <w:snapToGrid w:val="0"/>
      <w:sz w:val="20"/>
      <w:szCs w:val="20"/>
    </w:rPr>
  </w:style>
  <w:style w:type="paragraph" w:customStyle="1" w:styleId="Naglwek">
    <w:name w:val="Naglówek"/>
    <w:basedOn w:val="Normalny"/>
    <w:next w:val="Tekstpodstawowy"/>
    <w:uiPriority w:val="99"/>
    <w:pPr>
      <w:keepNext/>
      <w:suppressAutoHyphens/>
      <w:spacing w:before="240" w:after="120"/>
    </w:pPr>
    <w:rPr>
      <w:rFonts w:ascii="Arial" w:hAnsi="Arial"/>
      <w:snapToGrid w:val="0"/>
      <w:sz w:val="28"/>
      <w:szCs w:val="28"/>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customStyle="1" w:styleId="Legenda2">
    <w:name w:val="Legenda2"/>
    <w:basedOn w:val="Normalny"/>
    <w:next w:val="Normalny"/>
    <w:uiPriority w:val="99"/>
    <w:pPr>
      <w:suppressAutoHyphens/>
      <w:spacing w:before="120"/>
    </w:pPr>
    <w:rPr>
      <w:b/>
      <w:bCs/>
      <w:sz w:val="20"/>
      <w:szCs w:val="20"/>
    </w:rPr>
  </w:style>
  <w:style w:type="paragraph" w:styleId="Tekstdymka">
    <w:name w:val="Balloon Text"/>
    <w:basedOn w:val="Normalny"/>
    <w:link w:val="TekstdymkaZnak"/>
    <w:uiPriority w:val="99"/>
    <w:semiHidden/>
    <w:rPr>
      <w:rFonts w:ascii="Tahoma" w:hAnsi="Tahoma"/>
      <w:sz w:val="16"/>
      <w:szCs w:val="16"/>
    </w:rPr>
  </w:style>
  <w:style w:type="character" w:customStyle="1" w:styleId="TekstdymkaZnak">
    <w:name w:val="Tekst dymka Znak"/>
    <w:link w:val="Tekstdymka"/>
    <w:uiPriority w:val="99"/>
    <w:semiHidden/>
    <w:locked/>
    <w:rPr>
      <w:rFonts w:ascii="Tahoma" w:hAnsi="Tahoma"/>
      <w:snapToGrid w:val="0"/>
      <w:sz w:val="16"/>
      <w:lang w:val="pl-PL"/>
    </w:rPr>
  </w:style>
  <w:style w:type="paragraph" w:styleId="Tekstprzypisukocowego">
    <w:name w:val="endnote text"/>
    <w:basedOn w:val="Normalny"/>
    <w:link w:val="TekstprzypisukocowegoZnak"/>
    <w:uiPriority w:val="99"/>
    <w:rPr>
      <w:sz w:val="20"/>
      <w:szCs w:val="20"/>
    </w:rPr>
  </w:style>
  <w:style w:type="character" w:customStyle="1" w:styleId="TekstprzypisukocowegoZnak">
    <w:name w:val="Tekst przypisu końcowego Znak"/>
    <w:link w:val="Tekstprzypisukocowego"/>
    <w:uiPriority w:val="99"/>
    <w:locked/>
    <w:rPr>
      <w:snapToGrid w:val="0"/>
      <w:lang w:val="pl-PL"/>
    </w:rPr>
  </w:style>
  <w:style w:type="character" w:styleId="Odwoanieprzypisukocowego">
    <w:name w:val="endnote reference"/>
    <w:rPr>
      <w:vertAlign w:val="superscript"/>
    </w:r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szCs w:val="20"/>
      <w:lang w:val="en-GB"/>
    </w:rPr>
  </w:style>
  <w:style w:type="character" w:customStyle="1" w:styleId="TekstkomentarzaZnak">
    <w:name w:val="Tekst komentarza Znak"/>
    <w:link w:val="Tekstkomentarza"/>
    <w:uiPriority w:val="99"/>
    <w:locked/>
    <w:rPr>
      <w:snapToGrid w:val="0"/>
      <w:lang w:val="en-GB"/>
    </w:rPr>
  </w:style>
  <w:style w:type="paragraph" w:styleId="Tematkomentarza">
    <w:name w:val="annotation subject"/>
    <w:basedOn w:val="Tekstkomentarza"/>
    <w:next w:val="Tekstkomentarza"/>
    <w:link w:val="TematkomentarzaZnak"/>
    <w:uiPriority w:val="99"/>
    <w:rPr>
      <w:b/>
      <w:bCs/>
    </w:rPr>
  </w:style>
  <w:style w:type="character" w:customStyle="1" w:styleId="TematkomentarzaZnak">
    <w:name w:val="Temat komentarza Znak"/>
    <w:link w:val="Tematkomentarza"/>
    <w:uiPriority w:val="99"/>
    <w:locked/>
    <w:rPr>
      <w:b/>
      <w:snapToGrid w:val="0"/>
      <w:lang w:val="en-GB"/>
    </w:rPr>
  </w:style>
  <w:style w:type="paragraph" w:customStyle="1" w:styleId="Revize1">
    <w:name w:val="Revize1"/>
    <w:hidden/>
    <w:uiPriority w:val="99"/>
    <w:semiHidden/>
    <w:rPr>
      <w:lang w:eastAsia="ja-JP"/>
    </w:rPr>
  </w:style>
  <w:style w:type="paragraph" w:customStyle="1" w:styleId="Naglwek11">
    <w:name w:val="Naglówek11"/>
    <w:basedOn w:val="Normalny"/>
    <w:next w:val="Tekstpodstawowy"/>
    <w:uiPriority w:val="99"/>
    <w:pPr>
      <w:keepNext/>
      <w:suppressAutoHyphens/>
      <w:spacing w:before="240" w:after="120"/>
    </w:pPr>
    <w:rPr>
      <w:rFonts w:ascii="Arial" w:eastAsia="MS Mincho" w:hAnsi="Arial" w:cs="Tahoma"/>
      <w:snapToGrid w:val="0"/>
      <w:sz w:val="28"/>
      <w:szCs w:val="28"/>
    </w:rPr>
  </w:style>
  <w:style w:type="paragraph" w:customStyle="1" w:styleId="anxnormalznak0">
    <w:name w:val="anxnormalznak"/>
    <w:basedOn w:val="Normalny"/>
    <w:uiPriority w:val="99"/>
    <w:pPr>
      <w:spacing w:before="100" w:beforeAutospacing="1" w:after="100" w:afterAutospacing="1"/>
      <w:jc w:val="both"/>
    </w:pPr>
    <w:rPr>
      <w:snapToGrid w:val="0"/>
    </w:rPr>
  </w:style>
  <w:style w:type="paragraph" w:styleId="Lista2">
    <w:name w:val="List 2"/>
    <w:basedOn w:val="Normalny"/>
    <w:uiPriority w:val="99"/>
    <w:pPr>
      <w:ind w:left="566" w:hanging="283"/>
      <w:contextualSpacing/>
    </w:pPr>
  </w:style>
  <w:style w:type="paragraph" w:customStyle="1" w:styleId="Odstavecseseznamem1">
    <w:name w:val="Odstavec se seznamem1"/>
    <w:basedOn w:val="Normalny"/>
    <w:uiPriority w:val="34"/>
    <w:qFormat/>
    <w:pPr>
      <w:spacing w:after="200" w:line="276" w:lineRule="auto"/>
      <w:ind w:left="720"/>
      <w:contextualSpacing/>
    </w:pPr>
    <w:rPr>
      <w:rFonts w:ascii="Calibri" w:hAnsi="Calibri"/>
      <w:snapToGrid w:val="0"/>
      <w:sz w:val="22"/>
      <w:szCs w:val="22"/>
      <w:lang w:val="en-GB"/>
    </w:rPr>
  </w:style>
  <w:style w:type="table" w:customStyle="1" w:styleId="TableGrid1">
    <w:name w:val="Table Grid1"/>
    <w:basedOn w:val="Standardowy"/>
    <w:next w:val="Tabela-Siatka"/>
    <w:uiPriority w:val="59"/>
    <w:rPr>
      <w:rFonts w:ascii="Calibri" w:hAnsi="Calibri"/>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rsid w:val="00E9193E"/>
    <w:pPr>
      <w:tabs>
        <w:tab w:val="left" w:pos="1760"/>
        <w:tab w:val="right" w:leader="dot" w:pos="8222"/>
      </w:tabs>
      <w:spacing w:before="40" w:after="40"/>
      <w:ind w:left="993"/>
    </w:pPr>
    <w:rPr>
      <w:rFonts w:ascii="Arial Narrow" w:hAnsi="Arial Narrow"/>
      <w:noProof/>
      <w:color w:val="333399"/>
      <w:sz w:val="20"/>
      <w:lang w:val="en-GB"/>
    </w:rPr>
  </w:style>
  <w:style w:type="table" w:customStyle="1" w:styleId="DavisLangdonTablegrid1">
    <w:name w:val="Davis Langdon Table grid1"/>
    <w:basedOn w:val="Standardowy"/>
    <w:next w:val="Tabela-Siatka"/>
    <w:uiPriority w:val="59"/>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Popup">
    <w:name w:val="WfPopup"/>
    <w:uiPriority w:val="99"/>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pPr>
    <w:rPr>
      <w:noProof/>
      <w:snapToGrid w:val="0"/>
      <w:sz w:val="18"/>
      <w:lang w:val="en-US" w:eastAsia="ja-JP"/>
    </w:rPr>
  </w:style>
  <w:style w:type="paragraph" w:styleId="NormalnyWeb">
    <w:name w:val="Normal (Web)"/>
    <w:basedOn w:val="Normalny"/>
    <w:uiPriority w:val="99"/>
    <w:rsid w:val="00DE09E3"/>
    <w:pPr>
      <w:spacing w:before="100" w:beforeAutospacing="1" w:after="100" w:afterAutospacing="1"/>
    </w:pPr>
    <w:rPr>
      <w:lang w:val="it-IT" w:eastAsia="it-IT"/>
    </w:rPr>
  </w:style>
  <w:style w:type="paragraph" w:styleId="Akapitzlist">
    <w:name w:val="List Paragraph"/>
    <w:aliases w:val="Obiekt,List Paragraph1"/>
    <w:basedOn w:val="Normalny"/>
    <w:link w:val="AkapitzlistZnak"/>
    <w:uiPriority w:val="34"/>
    <w:qFormat/>
    <w:rsid w:val="008827EA"/>
    <w:pPr>
      <w:ind w:left="720"/>
      <w:contextualSpacing/>
    </w:pPr>
  </w:style>
  <w:style w:type="paragraph" w:styleId="Poprawka">
    <w:name w:val="Revision"/>
    <w:hidden/>
    <w:uiPriority w:val="99"/>
    <w:semiHidden/>
    <w:rsid w:val="00AF202D"/>
    <w:rPr>
      <w:lang w:eastAsia="ja-JP"/>
    </w:rPr>
  </w:style>
  <w:style w:type="table" w:customStyle="1" w:styleId="BBstyle">
    <w:name w:val="BB style"/>
    <w:basedOn w:val="Standardowy"/>
    <w:uiPriority w:val="99"/>
    <w:rsid w:val="004E6AF3"/>
    <w:pPr>
      <w:spacing w:before="40" w:after="40"/>
    </w:pPr>
    <w:rPr>
      <w:rFonts w:ascii="Arial Narrow" w:hAnsi="Arial Narrow"/>
      <w:sz w:val="18"/>
    </w:rPr>
    <w:tblPr>
      <w:tblStyleRowBandSize w:val="1"/>
      <w:tblStyleColBandSize w:val="1"/>
      <w:tblCellSpacing w:w="2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rPr>
      <w:tblCellSpacing w:w="20" w:type="dxa"/>
    </w:trPr>
    <w:tblStylePr w:type="firstRow">
      <w:pPr>
        <w:jc w:val="center"/>
      </w:pPr>
      <w:rPr>
        <w:rFonts w:ascii="Arial Black" w:hAnsi="Arial Black"/>
        <w:color w:val="FFFFFF" w:themeColor="background1"/>
        <w:sz w:val="18"/>
      </w:rPr>
      <w:tblPr/>
      <w:tcPr>
        <w:tcBorders>
          <w:top w:val="nil"/>
          <w:left w:val="nil"/>
          <w:bottom w:val="nil"/>
          <w:right w:val="nil"/>
          <w:insideH w:val="nil"/>
          <w:insideV w:val="nil"/>
          <w:tl2br w:val="nil"/>
          <w:tr2bl w:val="nil"/>
        </w:tcBorders>
        <w:shd w:val="clear" w:color="auto" w:fill="3399FF"/>
      </w:tcPr>
    </w:tblStylePr>
    <w:tblStylePr w:type="band2Vert">
      <w:pPr>
        <w:wordWrap/>
        <w:spacing w:beforeLines="0" w:before="40" w:beforeAutospacing="0" w:afterLines="0" w:after="40" w:afterAutospacing="0"/>
      </w:pPr>
      <w:rPr>
        <w:rFonts w:ascii="Arial Black" w:hAnsi="Arial Black"/>
        <w:sz w:val="18"/>
      </w:rPr>
    </w:tblStylePr>
    <w:tblStylePr w:type="band1Horz">
      <w:pPr>
        <w:jc w:val="left"/>
      </w:pPr>
      <w:rPr>
        <w:rFonts w:ascii="Arial Black" w:hAnsi="Arial Black"/>
        <w:color w:val="333399"/>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40" w:beforeAutospacing="0" w:afterLines="0" w:after="40" w:afterAutospacing="0"/>
      </w:pPr>
      <w:rPr>
        <w:rFonts w:ascii="Arial Black" w:hAnsi="Arial Black"/>
        <w:color w:val="333399"/>
        <w:sz w:val="18"/>
      </w:rPr>
      <w:tblPr/>
      <w:tcPr>
        <w:shd w:val="clear" w:color="auto" w:fill="DBE5F1" w:themeFill="accent1" w:themeFillTint="33"/>
      </w:tcPr>
    </w:tblStylePr>
  </w:style>
  <w:style w:type="paragraph" w:customStyle="1" w:styleId="StylArialNarrow9ptWyrwnanydorodkaPrzed0pt">
    <w:name w:val="Styl Arial Narrow 9 pt Wyrównany do środka Przed:  0 pt"/>
    <w:basedOn w:val="Normalny"/>
    <w:uiPriority w:val="99"/>
    <w:rsid w:val="00601CFC"/>
    <w:pPr>
      <w:suppressAutoHyphens/>
      <w:spacing w:before="120" w:after="120"/>
      <w:jc w:val="center"/>
    </w:pPr>
    <w:rPr>
      <w:rFonts w:ascii="Arial Narrow" w:hAnsi="Arial Narrow"/>
      <w:color w:val="3366FF"/>
      <w:sz w:val="18"/>
      <w:szCs w:val="20"/>
      <w:lang w:eastAsia="ar-SA"/>
    </w:rPr>
  </w:style>
  <w:style w:type="paragraph" w:customStyle="1" w:styleId="Nagwek10">
    <w:name w:val="Nagłówek1"/>
    <w:basedOn w:val="Normalny"/>
    <w:next w:val="Tekstpodstawowy"/>
    <w:uiPriority w:val="99"/>
    <w:rsid w:val="00601CFC"/>
    <w:pPr>
      <w:keepNext/>
      <w:suppressAutoHyphens/>
      <w:spacing w:before="240" w:after="120"/>
      <w:jc w:val="both"/>
    </w:pPr>
    <w:rPr>
      <w:rFonts w:ascii="Arial" w:eastAsia="MS Mincho" w:hAnsi="Arial" w:cs="Tahoma"/>
      <w:sz w:val="28"/>
      <w:szCs w:val="28"/>
      <w:lang w:eastAsia="ar-SA"/>
    </w:rPr>
  </w:style>
  <w:style w:type="paragraph" w:customStyle="1" w:styleId="redniasiatka1akcent21">
    <w:name w:val="Średnia siatka 1 — akcent 21"/>
    <w:basedOn w:val="Normalny"/>
    <w:uiPriority w:val="34"/>
    <w:qFormat/>
    <w:rsid w:val="0074172C"/>
    <w:pPr>
      <w:ind w:left="720"/>
    </w:pPr>
    <w:rPr>
      <w:lang w:val="en-GB" w:eastAsia="en-GB"/>
    </w:rPr>
  </w:style>
  <w:style w:type="character" w:customStyle="1" w:styleId="hps">
    <w:name w:val="hps"/>
    <w:rsid w:val="0004230C"/>
  </w:style>
  <w:style w:type="paragraph" w:styleId="Podtytu">
    <w:name w:val="Subtitle"/>
    <w:basedOn w:val="Normalny"/>
    <w:next w:val="Normalny"/>
    <w:link w:val="PodtytuZnak"/>
    <w:uiPriority w:val="99"/>
    <w:qFormat/>
    <w:pPr>
      <w:spacing w:after="60"/>
      <w:jc w:val="center"/>
    </w:pPr>
    <w:rPr>
      <w:rFonts w:ascii="Arial" w:eastAsia="Arial" w:hAnsi="Arial" w:cs="Arial"/>
      <w:sz w:val="20"/>
      <w:szCs w:val="20"/>
    </w:rPr>
  </w:style>
  <w:style w:type="character" w:customStyle="1" w:styleId="PodtytuZnak">
    <w:name w:val="Podtytuł Znak"/>
    <w:basedOn w:val="Domylnaczcionkaakapitu"/>
    <w:link w:val="Podtytu"/>
    <w:uiPriority w:val="99"/>
    <w:rsid w:val="0077731B"/>
    <w:rPr>
      <w:rFonts w:ascii="Arial" w:hAnsi="Arial"/>
      <w:lang w:val="pl-PL" w:eastAsia="en-US"/>
    </w:rPr>
  </w:style>
  <w:style w:type="character" w:styleId="Pogrubienie">
    <w:name w:val="Strong"/>
    <w:qFormat/>
    <w:rsid w:val="0077731B"/>
    <w:rPr>
      <w:b/>
      <w:bCs/>
    </w:rPr>
  </w:style>
  <w:style w:type="paragraph" w:customStyle="1" w:styleId="CM81">
    <w:name w:val="CM81"/>
    <w:basedOn w:val="Normalny"/>
    <w:next w:val="Normalny"/>
    <w:uiPriority w:val="99"/>
    <w:rsid w:val="0077731B"/>
    <w:pPr>
      <w:widowControl w:val="0"/>
      <w:autoSpaceDE w:val="0"/>
      <w:autoSpaceDN w:val="0"/>
      <w:adjustRightInd w:val="0"/>
    </w:pPr>
    <w:rPr>
      <w:rFonts w:ascii="Arial-Narrow,Bold" w:hAnsi="Arial-Narrow,Bold"/>
      <w:lang w:val="en-GB" w:eastAsia="en-GB"/>
    </w:rPr>
  </w:style>
  <w:style w:type="paragraph" w:styleId="Zwykytekst">
    <w:name w:val="Plain Text"/>
    <w:basedOn w:val="Normalny"/>
    <w:link w:val="ZwykytekstZnak"/>
    <w:uiPriority w:val="99"/>
    <w:unhideWhenUsed/>
    <w:rsid w:val="0077731B"/>
    <w:rPr>
      <w:rFonts w:ascii="Calibri" w:eastAsia="Calibri" w:hAnsi="Calibri"/>
      <w:sz w:val="22"/>
      <w:szCs w:val="21"/>
      <w:lang w:val="x-none" w:eastAsia="en-US"/>
    </w:rPr>
  </w:style>
  <w:style w:type="character" w:customStyle="1" w:styleId="ZwykytekstZnak">
    <w:name w:val="Zwykły tekst Znak"/>
    <w:basedOn w:val="Domylnaczcionkaakapitu"/>
    <w:link w:val="Zwykytekst"/>
    <w:uiPriority w:val="99"/>
    <w:rsid w:val="0077731B"/>
    <w:rPr>
      <w:rFonts w:ascii="Calibri" w:eastAsia="Calibri" w:hAnsi="Calibri"/>
      <w:sz w:val="22"/>
      <w:szCs w:val="21"/>
      <w:lang w:val="x-none" w:eastAsia="en-US"/>
    </w:rPr>
  </w:style>
  <w:style w:type="paragraph" w:styleId="Tekstpodstawowyzwciciem2">
    <w:name w:val="Body Text First Indent 2"/>
    <w:basedOn w:val="Tekstpodstawowywcity"/>
    <w:link w:val="Tekstpodstawowyzwciciem2Znak"/>
    <w:uiPriority w:val="99"/>
    <w:rsid w:val="0077731B"/>
    <w:pPr>
      <w:suppressAutoHyphens w:val="0"/>
      <w:spacing w:before="0"/>
      <w:ind w:firstLine="210"/>
    </w:pPr>
    <w:rPr>
      <w:snapToGrid/>
      <w:lang w:val="x-none" w:eastAsia="x-none"/>
    </w:rPr>
  </w:style>
  <w:style w:type="character" w:customStyle="1" w:styleId="Tekstpodstawowyzwciciem2Znak">
    <w:name w:val="Tekst podstawowy z wcięciem 2 Znak"/>
    <w:basedOn w:val="TekstpodstawowywcityZnak"/>
    <w:link w:val="Tekstpodstawowyzwciciem2"/>
    <w:uiPriority w:val="99"/>
    <w:rsid w:val="0077731B"/>
    <w:rPr>
      <w:rFonts w:ascii="Times New Roman" w:hAnsi="Times New Roman" w:cs="Times New Roman"/>
      <w:sz w:val="24"/>
      <w:szCs w:val="24"/>
      <w:lang w:val="x-none" w:eastAsia="x-none"/>
    </w:rPr>
  </w:style>
  <w:style w:type="paragraph" w:customStyle="1" w:styleId="rednialista2akcent21">
    <w:name w:val="Średnia lista 2 — akcent 21"/>
    <w:hidden/>
    <w:uiPriority w:val="99"/>
    <w:semiHidden/>
    <w:rsid w:val="0077731B"/>
  </w:style>
  <w:style w:type="paragraph" w:customStyle="1" w:styleId="ReportText0">
    <w:name w:val="Report Text"/>
    <w:link w:val="ReportTextChar"/>
    <w:rsid w:val="0077731B"/>
    <w:pPr>
      <w:spacing w:after="120" w:line="260" w:lineRule="atLeast"/>
      <w:ind w:left="1253"/>
    </w:pPr>
    <w:rPr>
      <w:rFonts w:ascii="Arial" w:hAnsi="Arial"/>
      <w:lang w:eastAsia="en-US"/>
    </w:rPr>
  </w:style>
  <w:style w:type="character" w:customStyle="1" w:styleId="ReportTextChar">
    <w:name w:val="Report Text Char"/>
    <w:link w:val="ReportText0"/>
    <w:rsid w:val="0077731B"/>
    <w:rPr>
      <w:rFonts w:ascii="Arial" w:hAnsi="Arial"/>
      <w:lang w:eastAsia="en-US"/>
    </w:rPr>
  </w:style>
  <w:style w:type="paragraph" w:customStyle="1" w:styleId="SubText">
    <w:name w:val="Sub Text"/>
    <w:basedOn w:val="Normalny"/>
    <w:link w:val="SubTextCar"/>
    <w:rsid w:val="0077731B"/>
    <w:pPr>
      <w:spacing w:after="120" w:line="260" w:lineRule="atLeast"/>
      <w:ind w:left="1253"/>
    </w:pPr>
    <w:rPr>
      <w:rFonts w:ascii="Arial" w:eastAsia="MS Mincho" w:hAnsi="Arial"/>
      <w:sz w:val="20"/>
      <w:szCs w:val="20"/>
      <w:lang w:val="x-none" w:eastAsia="en-US"/>
    </w:rPr>
  </w:style>
  <w:style w:type="paragraph" w:customStyle="1" w:styleId="NormalTable-Centred">
    <w:name w:val="Normal Table - Centred"/>
    <w:basedOn w:val="Normalny"/>
    <w:link w:val="NormalTable-CentredCharChar"/>
    <w:rsid w:val="0077731B"/>
    <w:pPr>
      <w:keepNext/>
      <w:spacing w:line="240" w:lineRule="atLeast"/>
      <w:jc w:val="center"/>
    </w:pPr>
    <w:rPr>
      <w:rFonts w:ascii="Polo" w:hAnsi="Polo"/>
      <w:sz w:val="20"/>
      <w:szCs w:val="20"/>
      <w:lang w:val="x-none" w:eastAsia="x-none"/>
    </w:rPr>
  </w:style>
  <w:style w:type="character" w:customStyle="1" w:styleId="NormalTable-CentredCharChar">
    <w:name w:val="Normal Table - Centred Char Char"/>
    <w:link w:val="NormalTable-Centred"/>
    <w:rsid w:val="0077731B"/>
    <w:rPr>
      <w:rFonts w:ascii="Polo" w:hAnsi="Polo"/>
      <w:lang w:val="x-none" w:eastAsia="x-none"/>
    </w:rPr>
  </w:style>
  <w:style w:type="paragraph" w:customStyle="1" w:styleId="NormalTable-Leftjustified">
    <w:name w:val="Normal Table - Left justified"/>
    <w:basedOn w:val="NormalTable-Centred"/>
    <w:link w:val="NormalTable-LeftjustifiedChar"/>
    <w:rsid w:val="0077731B"/>
    <w:pPr>
      <w:jc w:val="left"/>
    </w:pPr>
  </w:style>
  <w:style w:type="character" w:customStyle="1" w:styleId="NormalTable-LeftjustifiedChar">
    <w:name w:val="Normal Table - Left justified Char"/>
    <w:link w:val="NormalTable-Leftjustified"/>
    <w:rsid w:val="0077731B"/>
    <w:rPr>
      <w:rFonts w:ascii="Polo" w:hAnsi="Polo"/>
      <w:lang w:val="x-none" w:eastAsia="x-none"/>
    </w:rPr>
  </w:style>
  <w:style w:type="paragraph" w:customStyle="1" w:styleId="TableHeadingRow">
    <w:name w:val="Table Heading Row"/>
    <w:basedOn w:val="Normalny"/>
    <w:uiPriority w:val="99"/>
    <w:rsid w:val="0077731B"/>
    <w:pPr>
      <w:spacing w:before="60" w:after="60" w:line="240" w:lineRule="atLeast"/>
      <w:jc w:val="center"/>
    </w:pPr>
    <w:rPr>
      <w:rFonts w:ascii="Polo" w:hAnsi="Polo"/>
      <w:b/>
      <w:color w:val="FFFFFF"/>
      <w:szCs w:val="20"/>
      <w:lang w:val="en-GB" w:eastAsia="en-GB"/>
    </w:rPr>
  </w:style>
  <w:style w:type="character" w:customStyle="1" w:styleId="SubTextCar">
    <w:name w:val="Sub Text Car"/>
    <w:link w:val="SubText"/>
    <w:rsid w:val="0077731B"/>
    <w:rPr>
      <w:rFonts w:ascii="Arial" w:eastAsia="MS Mincho" w:hAnsi="Arial"/>
      <w:lang w:val="x-none" w:eastAsia="en-US"/>
    </w:rPr>
  </w:style>
  <w:style w:type="numbering" w:customStyle="1" w:styleId="Artykusekcja4">
    <w:name w:val="Artykuł / sekcja4"/>
    <w:rsid w:val="0077731B"/>
    <w:pPr>
      <w:numPr>
        <w:numId w:val="87"/>
      </w:numPr>
    </w:pPr>
  </w:style>
  <w:style w:type="paragraph" w:styleId="Listapunktowana">
    <w:name w:val="List Bullet"/>
    <w:basedOn w:val="Normalny"/>
    <w:uiPriority w:val="99"/>
    <w:rsid w:val="0077731B"/>
    <w:pPr>
      <w:numPr>
        <w:numId w:val="24"/>
      </w:numPr>
      <w:spacing w:before="120" w:after="120"/>
      <w:jc w:val="both"/>
    </w:pPr>
    <w:rPr>
      <w:rFonts w:ascii="Cambria" w:hAnsi="Cambria"/>
      <w:sz w:val="22"/>
      <w:szCs w:val="22"/>
      <w:lang w:val="it-IT" w:eastAsia="en-US"/>
    </w:rPr>
  </w:style>
  <w:style w:type="character" w:customStyle="1" w:styleId="shorttext">
    <w:name w:val="short_text"/>
    <w:rsid w:val="0077731B"/>
  </w:style>
  <w:style w:type="character" w:customStyle="1" w:styleId="atn">
    <w:name w:val="atn"/>
    <w:rsid w:val="0077731B"/>
  </w:style>
  <w:style w:type="paragraph" w:customStyle="1" w:styleId="Kolorowalistaakcent11">
    <w:name w:val="Kolorowa lista — akcent 11"/>
    <w:basedOn w:val="Normalny"/>
    <w:uiPriority w:val="34"/>
    <w:qFormat/>
    <w:rsid w:val="0077731B"/>
    <w:pPr>
      <w:spacing w:after="200" w:line="276" w:lineRule="auto"/>
      <w:ind w:left="720"/>
      <w:contextualSpacing/>
    </w:pPr>
    <w:rPr>
      <w:rFonts w:ascii="Calibri" w:eastAsia="Calibri" w:hAnsi="Calibri"/>
      <w:sz w:val="22"/>
      <w:szCs w:val="22"/>
      <w:lang w:val="en-GB" w:eastAsia="en-US"/>
    </w:rPr>
  </w:style>
  <w:style w:type="character" w:styleId="Uwydatnienie">
    <w:name w:val="Emphasis"/>
    <w:uiPriority w:val="20"/>
    <w:qFormat/>
    <w:rsid w:val="0077731B"/>
    <w:rPr>
      <w:b/>
      <w:bCs/>
      <w:i w:val="0"/>
      <w:iCs w:val="0"/>
    </w:rPr>
  </w:style>
  <w:style w:type="paragraph" w:styleId="Listapunktowana3">
    <w:name w:val="List Bullet 3"/>
    <w:basedOn w:val="Normalny"/>
    <w:uiPriority w:val="99"/>
    <w:rsid w:val="0077731B"/>
    <w:pPr>
      <w:numPr>
        <w:numId w:val="25"/>
      </w:numPr>
      <w:contextualSpacing/>
    </w:pPr>
    <w:rPr>
      <w:lang w:val="en-GB" w:eastAsia="en-GB"/>
    </w:rPr>
  </w:style>
  <w:style w:type="character" w:customStyle="1" w:styleId="FootnoteTextChar1">
    <w:name w:val="Footnote Text Char1"/>
    <w:aliases w:val="Tekst przypisu Char1,Podrozdział Char1"/>
    <w:basedOn w:val="Domylnaczcionkaakapitu"/>
    <w:uiPriority w:val="99"/>
    <w:semiHidden/>
    <w:rsid w:val="00EF10DA"/>
    <w:rPr>
      <w:lang w:val="pl-PL" w:eastAsia="ja-JP"/>
    </w:rPr>
  </w:style>
  <w:style w:type="paragraph" w:styleId="Nagwekspisutreci">
    <w:name w:val="TOC Heading"/>
    <w:basedOn w:val="Nagwek1"/>
    <w:next w:val="Normalny"/>
    <w:uiPriority w:val="39"/>
    <w:unhideWhenUsed/>
    <w:qFormat/>
    <w:rsid w:val="00E41942"/>
    <w:pPr>
      <w:keepLines/>
      <w:pageBreakBefore w:val="0"/>
      <w:numPr>
        <w:numId w:val="0"/>
      </w:numPr>
      <w:suppressAutoHyphens w:val="0"/>
      <w:spacing w:after="0" w:line="259" w:lineRule="auto"/>
      <w:outlineLvl w:val="9"/>
    </w:pPr>
    <w:rPr>
      <w:rFonts w:asciiTheme="majorHAnsi" w:eastAsiaTheme="majorEastAsia" w:hAnsiTheme="majorHAnsi" w:cstheme="majorBidi"/>
      <w:b w:val="0"/>
      <w:bCs w:val="0"/>
      <w:snapToGrid/>
      <w:color w:val="365F91" w:themeColor="accent1" w:themeShade="BF"/>
      <w:sz w:val="32"/>
      <w:lang w:val="pl-PL" w:eastAsia="pl-PL"/>
    </w:rPr>
  </w:style>
  <w:style w:type="character" w:styleId="Numerwiersza">
    <w:name w:val="line number"/>
    <w:basedOn w:val="Domylnaczcionkaakapitu"/>
    <w:semiHidden/>
    <w:unhideWhenUsed/>
    <w:rsid w:val="00A62E39"/>
  </w:style>
  <w:style w:type="character" w:customStyle="1" w:styleId="jlqj4b">
    <w:name w:val="jlqj4b"/>
    <w:basedOn w:val="Domylnaczcionkaakapitu"/>
    <w:rsid w:val="00F85437"/>
  </w:style>
  <w:style w:type="character" w:customStyle="1" w:styleId="viiyi">
    <w:name w:val="viiyi"/>
    <w:basedOn w:val="Domylnaczcionkaakapitu"/>
    <w:rsid w:val="005F42CC"/>
  </w:style>
  <w:style w:type="character" w:styleId="Tekstzastpczy">
    <w:name w:val="Placeholder Text"/>
    <w:basedOn w:val="Domylnaczcionkaakapitu"/>
    <w:uiPriority w:val="99"/>
    <w:semiHidden/>
    <w:rsid w:val="00266002"/>
    <w:rPr>
      <w:color w:val="808080"/>
    </w:rPr>
  </w:style>
  <w:style w:type="character" w:customStyle="1" w:styleId="AkapitzlistZnak">
    <w:name w:val="Akapit z listą Znak"/>
    <w:aliases w:val="Obiekt Znak,List Paragraph1 Znak"/>
    <w:link w:val="Akapitzlist"/>
    <w:uiPriority w:val="34"/>
    <w:locked/>
    <w:rsid w:val="00C15562"/>
    <w:rPr>
      <w:sz w:val="24"/>
      <w:szCs w:val="24"/>
      <w:lang w:val="pl-PL" w:eastAsia="ja-JP"/>
    </w:rPr>
  </w:style>
  <w:style w:type="character" w:customStyle="1" w:styleId="Nierozpoznanawzmianka1">
    <w:name w:val="Nierozpoznana wzmianka1"/>
    <w:basedOn w:val="Domylnaczcionkaakapitu"/>
    <w:uiPriority w:val="99"/>
    <w:semiHidden/>
    <w:unhideWhenUsed/>
    <w:rsid w:val="008B44B0"/>
    <w:rPr>
      <w:color w:val="605E5C"/>
      <w:shd w:val="clear" w:color="auto" w:fill="E1DFDD"/>
    </w:rPr>
  </w:style>
  <w:style w:type="table" w:customStyle="1" w:styleId="a">
    <w:basedOn w:val="Standardowy"/>
    <w:tblPr>
      <w:tblStyleRowBandSize w:val="1"/>
      <w:tblStyleColBandSize w:val="1"/>
      <w:tblCellMar>
        <w:left w:w="115" w:type="dxa"/>
        <w:right w:w="115" w:type="dxa"/>
      </w:tblCellMar>
    </w:tblPr>
  </w:style>
  <w:style w:type="table" w:customStyle="1" w:styleId="a0">
    <w:basedOn w:val="Standardowy"/>
    <w:tblPr>
      <w:tblStyleRowBandSize w:val="1"/>
      <w:tblStyleColBandSize w:val="1"/>
      <w:tblCellMar>
        <w:left w:w="115" w:type="dxa"/>
        <w:right w:w="115" w:type="dxa"/>
      </w:tblCellMar>
    </w:tblPr>
  </w:style>
  <w:style w:type="table" w:customStyle="1" w:styleId="a1">
    <w:basedOn w:val="Standardowy"/>
    <w:tblPr>
      <w:tblStyleRowBandSize w:val="1"/>
      <w:tblStyleColBandSize w:val="1"/>
      <w:tblCellMar>
        <w:left w:w="115" w:type="dxa"/>
        <w:right w:w="115" w:type="dxa"/>
      </w:tblCellMar>
    </w:tblPr>
  </w:style>
  <w:style w:type="table" w:customStyle="1" w:styleId="a2">
    <w:basedOn w:val="Standardowy"/>
    <w:tblPr>
      <w:tblStyleRowBandSize w:val="1"/>
      <w:tblStyleColBandSize w:val="1"/>
      <w:tblCellMar>
        <w:left w:w="115" w:type="dxa"/>
        <w:right w:w="115" w:type="dxa"/>
      </w:tblCellMar>
    </w:tblPr>
  </w:style>
  <w:style w:type="table" w:customStyle="1" w:styleId="a3">
    <w:basedOn w:val="Standardowy"/>
    <w:tblPr>
      <w:tblStyleRowBandSize w:val="1"/>
      <w:tblStyleColBandSize w:val="1"/>
      <w:tblCellMar>
        <w:left w:w="115" w:type="dxa"/>
        <w:right w:w="115" w:type="dxa"/>
      </w:tblCellMar>
    </w:tblPr>
  </w:style>
  <w:style w:type="table" w:customStyle="1" w:styleId="a4">
    <w:basedOn w:val="Standardowy"/>
    <w:tblPr>
      <w:tblStyleRowBandSize w:val="1"/>
      <w:tblStyleColBandSize w:val="1"/>
      <w:tblCellMar>
        <w:left w:w="115" w:type="dxa"/>
        <w:right w:w="115" w:type="dxa"/>
      </w:tblCellMar>
    </w:tblPr>
  </w:style>
  <w:style w:type="table" w:customStyle="1" w:styleId="a5">
    <w:basedOn w:val="Standardowy"/>
    <w:tblPr>
      <w:tblStyleRowBandSize w:val="1"/>
      <w:tblStyleColBandSize w:val="1"/>
      <w:tblCellMar>
        <w:left w:w="115" w:type="dxa"/>
        <w:right w:w="115" w:type="dxa"/>
      </w:tblCellMar>
    </w:tblPr>
  </w:style>
  <w:style w:type="table" w:customStyle="1" w:styleId="a6">
    <w:basedOn w:val="Standardowy"/>
    <w:tblPr>
      <w:tblStyleRowBandSize w:val="1"/>
      <w:tblStyleColBandSize w:val="1"/>
      <w:tblCellMar>
        <w:left w:w="115" w:type="dxa"/>
        <w:right w:w="115" w:type="dxa"/>
      </w:tblCellMar>
    </w:tblPr>
  </w:style>
  <w:style w:type="table" w:customStyle="1" w:styleId="a7">
    <w:basedOn w:val="Standardowy"/>
    <w:tblPr>
      <w:tblStyleRowBandSize w:val="1"/>
      <w:tblStyleColBandSize w:val="1"/>
      <w:tblCellMar>
        <w:left w:w="115" w:type="dxa"/>
        <w:right w:w="115" w:type="dxa"/>
      </w:tblCellMar>
    </w:tblPr>
  </w:style>
  <w:style w:type="table" w:customStyle="1" w:styleId="a8">
    <w:basedOn w:val="Standardowy"/>
    <w:tblPr>
      <w:tblStyleRowBandSize w:val="1"/>
      <w:tblStyleColBandSize w:val="1"/>
      <w:tblCellMar>
        <w:left w:w="115" w:type="dxa"/>
        <w:right w:w="115" w:type="dxa"/>
      </w:tblCellMar>
    </w:tblPr>
  </w:style>
  <w:style w:type="table" w:customStyle="1" w:styleId="a9">
    <w:basedOn w:val="Standardowy"/>
    <w:tblPr>
      <w:tblStyleRowBandSize w:val="1"/>
      <w:tblStyleColBandSize w:val="1"/>
      <w:tblCellMar>
        <w:left w:w="115" w:type="dxa"/>
        <w:right w:w="115" w:type="dxa"/>
      </w:tblCellMar>
    </w:tblPr>
  </w:style>
  <w:style w:type="table" w:customStyle="1" w:styleId="aa">
    <w:basedOn w:val="Standardowy"/>
    <w:tblPr>
      <w:tblStyleRowBandSize w:val="1"/>
      <w:tblStyleColBandSize w:val="1"/>
      <w:tblCellMar>
        <w:left w:w="115" w:type="dxa"/>
        <w:right w:w="115" w:type="dxa"/>
      </w:tblCellMar>
    </w:tblPr>
  </w:style>
  <w:style w:type="table" w:customStyle="1" w:styleId="ab">
    <w:basedOn w:val="Standardowy"/>
    <w:tblPr>
      <w:tblStyleRowBandSize w:val="1"/>
      <w:tblStyleColBandSize w:val="1"/>
      <w:tblCellMar>
        <w:left w:w="115" w:type="dxa"/>
        <w:right w:w="115" w:type="dxa"/>
      </w:tblCellMar>
    </w:tblPr>
  </w:style>
  <w:style w:type="table" w:customStyle="1" w:styleId="ac">
    <w:basedOn w:val="Standardowy"/>
    <w:tblPr>
      <w:tblStyleRowBandSize w:val="1"/>
      <w:tblStyleColBandSize w:val="1"/>
      <w:tblCellMar>
        <w:left w:w="115" w:type="dxa"/>
        <w:right w:w="115" w:type="dxa"/>
      </w:tblCellMar>
    </w:tblPr>
  </w:style>
  <w:style w:type="table" w:customStyle="1" w:styleId="ad">
    <w:basedOn w:val="Standardowy"/>
    <w:tblPr>
      <w:tblStyleRowBandSize w:val="1"/>
      <w:tblStyleColBandSize w:val="1"/>
      <w:tblCellMar>
        <w:left w:w="115" w:type="dxa"/>
        <w:right w:w="115" w:type="dxa"/>
      </w:tblCellMar>
    </w:tblPr>
  </w:style>
  <w:style w:type="table" w:customStyle="1" w:styleId="ae">
    <w:basedOn w:val="Standardowy"/>
    <w:tblPr>
      <w:tblStyleRowBandSize w:val="1"/>
      <w:tblStyleColBandSize w:val="1"/>
      <w:tblCellMar>
        <w:left w:w="115" w:type="dxa"/>
        <w:right w:w="115" w:type="dxa"/>
      </w:tblCellMar>
    </w:tblPr>
  </w:style>
  <w:style w:type="table" w:customStyle="1" w:styleId="af">
    <w:basedOn w:val="Standardowy"/>
    <w:tblPr>
      <w:tblStyleRowBandSize w:val="1"/>
      <w:tblStyleColBandSize w:val="1"/>
      <w:tblCellMar>
        <w:left w:w="115" w:type="dxa"/>
        <w:right w:w="115" w:type="dxa"/>
      </w:tblCellMar>
    </w:tblPr>
  </w:style>
  <w:style w:type="table" w:customStyle="1" w:styleId="af0">
    <w:basedOn w:val="Standardowy"/>
    <w:tblPr>
      <w:tblStyleRowBandSize w:val="1"/>
      <w:tblStyleColBandSize w:val="1"/>
      <w:tblCellMar>
        <w:left w:w="115" w:type="dxa"/>
        <w:right w:w="115" w:type="dxa"/>
      </w:tblCellMar>
    </w:tblPr>
  </w:style>
  <w:style w:type="table" w:customStyle="1" w:styleId="af1">
    <w:basedOn w:val="Standardowy"/>
    <w:tblPr>
      <w:tblStyleRowBandSize w:val="1"/>
      <w:tblStyleColBandSize w:val="1"/>
      <w:tblCellMar>
        <w:left w:w="115" w:type="dxa"/>
        <w:right w:w="115" w:type="dxa"/>
      </w:tblCellMar>
    </w:tblPr>
  </w:style>
  <w:style w:type="table" w:customStyle="1" w:styleId="af2">
    <w:basedOn w:val="Standardowy"/>
    <w:tblPr>
      <w:tblStyleRowBandSize w:val="1"/>
      <w:tblStyleColBandSize w:val="1"/>
      <w:tblCellMar>
        <w:left w:w="115" w:type="dxa"/>
        <w:right w:w="115" w:type="dxa"/>
      </w:tblCellMar>
    </w:tblPr>
  </w:style>
  <w:style w:type="table" w:customStyle="1" w:styleId="af3">
    <w:basedOn w:val="Standardowy"/>
    <w:tblPr>
      <w:tblStyleRowBandSize w:val="1"/>
      <w:tblStyleColBandSize w:val="1"/>
      <w:tblCellMar>
        <w:left w:w="115" w:type="dxa"/>
        <w:right w:w="115" w:type="dxa"/>
      </w:tblCellMar>
    </w:tblPr>
  </w:style>
  <w:style w:type="table" w:customStyle="1" w:styleId="af4">
    <w:basedOn w:val="Standardowy"/>
    <w:tblPr>
      <w:tblStyleRowBandSize w:val="1"/>
      <w:tblStyleColBandSize w:val="1"/>
      <w:tblCellMar>
        <w:left w:w="115" w:type="dxa"/>
        <w:right w:w="115" w:type="dxa"/>
      </w:tblCellMar>
    </w:tblPr>
  </w:style>
  <w:style w:type="table" w:customStyle="1" w:styleId="af5">
    <w:basedOn w:val="Standardowy"/>
    <w:tblPr>
      <w:tblStyleRowBandSize w:val="1"/>
      <w:tblStyleColBandSize w:val="1"/>
      <w:tblCellMar>
        <w:left w:w="115" w:type="dxa"/>
        <w:right w:w="115" w:type="dxa"/>
      </w:tblCellMar>
    </w:tblPr>
  </w:style>
  <w:style w:type="table" w:customStyle="1" w:styleId="af6">
    <w:basedOn w:val="Standardowy"/>
    <w:tblPr>
      <w:tblStyleRowBandSize w:val="1"/>
      <w:tblStyleColBandSize w:val="1"/>
      <w:tblCellMar>
        <w:left w:w="115" w:type="dxa"/>
        <w:right w:w="115" w:type="dxa"/>
      </w:tblCellMar>
    </w:tblPr>
  </w:style>
  <w:style w:type="table" w:customStyle="1" w:styleId="af7">
    <w:basedOn w:val="Standardowy"/>
    <w:tblPr>
      <w:tblStyleRowBandSize w:val="1"/>
      <w:tblStyleColBandSize w:val="1"/>
      <w:tblCellMar>
        <w:left w:w="115" w:type="dxa"/>
        <w:right w:w="115" w:type="dxa"/>
      </w:tblCellMar>
    </w:tblPr>
  </w:style>
  <w:style w:type="table" w:customStyle="1" w:styleId="af8">
    <w:basedOn w:val="Standardowy"/>
    <w:tblPr>
      <w:tblStyleRowBandSize w:val="1"/>
      <w:tblStyleColBandSize w:val="1"/>
      <w:tblCellMar>
        <w:left w:w="115" w:type="dxa"/>
        <w:right w:w="115" w:type="dxa"/>
      </w:tblCellMar>
    </w:tblPr>
  </w:style>
  <w:style w:type="table" w:customStyle="1" w:styleId="af9">
    <w:basedOn w:val="Standardowy"/>
    <w:tblPr>
      <w:tblStyleRowBandSize w:val="1"/>
      <w:tblStyleColBandSize w:val="1"/>
      <w:tblCellMar>
        <w:left w:w="115" w:type="dxa"/>
        <w:right w:w="115" w:type="dxa"/>
      </w:tblCellMar>
    </w:tblPr>
  </w:style>
  <w:style w:type="table" w:customStyle="1" w:styleId="afa">
    <w:basedOn w:val="Standardowy"/>
    <w:tblPr>
      <w:tblStyleRowBandSize w:val="1"/>
      <w:tblStyleColBandSize w:val="1"/>
      <w:tblCellMar>
        <w:left w:w="115" w:type="dxa"/>
        <w:right w:w="115" w:type="dxa"/>
      </w:tblCellMar>
    </w:tblPr>
  </w:style>
  <w:style w:type="table" w:customStyle="1" w:styleId="afb">
    <w:basedOn w:val="Standardowy"/>
    <w:tblPr>
      <w:tblStyleRowBandSize w:val="1"/>
      <w:tblStyleColBandSize w:val="1"/>
      <w:tblCellMar>
        <w:left w:w="115" w:type="dxa"/>
        <w:right w:w="115" w:type="dxa"/>
      </w:tblCellMar>
    </w:tblPr>
  </w:style>
  <w:style w:type="table" w:customStyle="1" w:styleId="afc">
    <w:basedOn w:val="Standardowy"/>
    <w:tblPr>
      <w:tblStyleRowBandSize w:val="1"/>
      <w:tblStyleColBandSize w:val="1"/>
      <w:tblCellMar>
        <w:left w:w="115" w:type="dxa"/>
        <w:right w:w="115" w:type="dxa"/>
      </w:tblCellMar>
    </w:tblPr>
  </w:style>
  <w:style w:type="table" w:customStyle="1" w:styleId="afd">
    <w:basedOn w:val="Standardowy"/>
    <w:tblPr>
      <w:tblStyleRowBandSize w:val="1"/>
      <w:tblStyleColBandSize w:val="1"/>
      <w:tblCellMar>
        <w:left w:w="115" w:type="dxa"/>
        <w:right w:w="115" w:type="dxa"/>
      </w:tblCellMar>
    </w:tblPr>
  </w:style>
  <w:style w:type="table" w:customStyle="1" w:styleId="afe">
    <w:basedOn w:val="Standardowy"/>
    <w:tblPr>
      <w:tblStyleRowBandSize w:val="1"/>
      <w:tblStyleColBandSize w:val="1"/>
      <w:tblCellMar>
        <w:left w:w="115" w:type="dxa"/>
        <w:right w:w="115" w:type="dxa"/>
      </w:tblCellMar>
    </w:tblPr>
  </w:style>
  <w:style w:type="table" w:customStyle="1" w:styleId="aff">
    <w:basedOn w:val="Standardowy"/>
    <w:tblPr>
      <w:tblStyleRowBandSize w:val="1"/>
      <w:tblStyleColBandSize w:val="1"/>
      <w:tblCellMar>
        <w:left w:w="115" w:type="dxa"/>
        <w:right w:w="115" w:type="dxa"/>
      </w:tblCellMar>
    </w:tblPr>
  </w:style>
  <w:style w:type="table" w:customStyle="1" w:styleId="aff0">
    <w:basedOn w:val="Standardowy"/>
    <w:tblPr>
      <w:tblStyleRowBandSize w:val="1"/>
      <w:tblStyleColBandSize w:val="1"/>
      <w:tblCellMar>
        <w:left w:w="115" w:type="dxa"/>
        <w:right w:w="115" w:type="dxa"/>
      </w:tblCellMar>
    </w:tblPr>
  </w:style>
  <w:style w:type="table" w:customStyle="1" w:styleId="aff1">
    <w:basedOn w:val="Standardowy"/>
    <w:tblPr>
      <w:tblStyleRowBandSize w:val="1"/>
      <w:tblStyleColBandSize w:val="1"/>
      <w:tblCellMar>
        <w:left w:w="115" w:type="dxa"/>
        <w:right w:w="115" w:type="dxa"/>
      </w:tblCellMar>
    </w:tblPr>
  </w:style>
  <w:style w:type="table" w:customStyle="1" w:styleId="aff2">
    <w:basedOn w:val="Standardowy"/>
    <w:tblPr>
      <w:tblStyleRowBandSize w:val="1"/>
      <w:tblStyleColBandSize w:val="1"/>
      <w:tblCellMar>
        <w:left w:w="115" w:type="dxa"/>
        <w:right w:w="115" w:type="dxa"/>
      </w:tblCellMar>
    </w:tblPr>
  </w:style>
  <w:style w:type="table" w:customStyle="1" w:styleId="aff3">
    <w:basedOn w:val="Standardowy"/>
    <w:tblPr>
      <w:tblStyleRowBandSize w:val="1"/>
      <w:tblStyleColBandSize w:val="1"/>
      <w:tblCellMar>
        <w:left w:w="115" w:type="dxa"/>
        <w:right w:w="115" w:type="dxa"/>
      </w:tblCellMar>
    </w:tblPr>
  </w:style>
  <w:style w:type="table" w:customStyle="1" w:styleId="aff4">
    <w:basedOn w:val="Standardowy"/>
    <w:tblPr>
      <w:tblStyleRowBandSize w:val="1"/>
      <w:tblStyleColBandSize w:val="1"/>
      <w:tblCellMar>
        <w:left w:w="115" w:type="dxa"/>
        <w:right w:w="115" w:type="dxa"/>
      </w:tblCellMar>
    </w:tblPr>
  </w:style>
  <w:style w:type="table" w:customStyle="1" w:styleId="aff5">
    <w:basedOn w:val="Standardowy"/>
    <w:tblPr>
      <w:tblStyleRowBandSize w:val="1"/>
      <w:tblStyleColBandSize w:val="1"/>
      <w:tblCellMar>
        <w:left w:w="115" w:type="dxa"/>
        <w:right w:w="115" w:type="dxa"/>
      </w:tblCellMar>
    </w:tblPr>
  </w:style>
  <w:style w:type="table" w:customStyle="1" w:styleId="aff6">
    <w:basedOn w:val="Standardowy"/>
    <w:tblPr>
      <w:tblStyleRowBandSize w:val="1"/>
      <w:tblStyleColBandSize w:val="1"/>
      <w:tblCellMar>
        <w:left w:w="115" w:type="dxa"/>
        <w:right w:w="115" w:type="dxa"/>
      </w:tblCellMar>
    </w:tblPr>
  </w:style>
  <w:style w:type="table" w:customStyle="1" w:styleId="aff7">
    <w:basedOn w:val="Standardowy"/>
    <w:tblPr>
      <w:tblStyleRowBandSize w:val="1"/>
      <w:tblStyleColBandSize w:val="1"/>
      <w:tblCellMar>
        <w:left w:w="115" w:type="dxa"/>
        <w:right w:w="115" w:type="dxa"/>
      </w:tblCellMar>
    </w:tblPr>
  </w:style>
  <w:style w:type="table" w:customStyle="1" w:styleId="aff8">
    <w:basedOn w:val="Standardowy"/>
    <w:tblPr>
      <w:tblStyleRowBandSize w:val="1"/>
      <w:tblStyleColBandSize w:val="1"/>
      <w:tblCellMar>
        <w:left w:w="115" w:type="dxa"/>
        <w:right w:w="115" w:type="dxa"/>
      </w:tblCellMar>
    </w:tblPr>
  </w:style>
  <w:style w:type="table" w:customStyle="1" w:styleId="aff9">
    <w:basedOn w:val="Standardowy"/>
    <w:tblPr>
      <w:tblStyleRowBandSize w:val="1"/>
      <w:tblStyleColBandSize w:val="1"/>
      <w:tblCellMar>
        <w:left w:w="115" w:type="dxa"/>
        <w:right w:w="115" w:type="dxa"/>
      </w:tblCellMar>
    </w:tblPr>
  </w:style>
  <w:style w:type="table" w:customStyle="1" w:styleId="affa">
    <w:basedOn w:val="Standardowy"/>
    <w:tblPr>
      <w:tblStyleRowBandSize w:val="1"/>
      <w:tblStyleColBandSize w:val="1"/>
      <w:tblCellMar>
        <w:left w:w="115" w:type="dxa"/>
        <w:right w:w="115" w:type="dxa"/>
      </w:tblCellMar>
    </w:tblPr>
  </w:style>
  <w:style w:type="table" w:customStyle="1" w:styleId="affb">
    <w:basedOn w:val="Standardowy"/>
    <w:tblPr>
      <w:tblStyleRowBandSize w:val="1"/>
      <w:tblStyleColBandSize w:val="1"/>
      <w:tblCellMar>
        <w:left w:w="115" w:type="dxa"/>
        <w:right w:w="115" w:type="dxa"/>
      </w:tblCellMar>
    </w:tblPr>
  </w:style>
  <w:style w:type="table" w:customStyle="1" w:styleId="affc">
    <w:basedOn w:val="Standardowy"/>
    <w:pPr>
      <w:spacing w:before="40" w:after="40"/>
    </w:pPr>
    <w:rPr>
      <w:rFonts w:ascii="Arial Narrow" w:eastAsia="Arial Narrow" w:hAnsi="Arial Narrow" w:cs="Arial Narrow"/>
      <w:sz w:val="18"/>
      <w:szCs w:val="18"/>
    </w:rPr>
    <w:tblPr>
      <w:tblStyleRowBandSize w:val="1"/>
      <w:tblStyleColBandSize w:val="1"/>
    </w:tblPr>
  </w:style>
  <w:style w:type="table" w:customStyle="1" w:styleId="affd">
    <w:basedOn w:val="Standardowy"/>
    <w:tblPr>
      <w:tblStyleRowBandSize w:val="1"/>
      <w:tblStyleColBandSize w:val="1"/>
      <w:tblCellMar>
        <w:left w:w="115" w:type="dxa"/>
        <w:right w:w="115" w:type="dxa"/>
      </w:tblCellMar>
    </w:tblPr>
  </w:style>
  <w:style w:type="table" w:customStyle="1" w:styleId="affe">
    <w:basedOn w:val="Standardowy"/>
    <w:tblPr>
      <w:tblStyleRowBandSize w:val="1"/>
      <w:tblStyleColBandSize w:val="1"/>
      <w:tblCellMar>
        <w:left w:w="115" w:type="dxa"/>
        <w:right w:w="115" w:type="dxa"/>
      </w:tblCellMar>
    </w:tblPr>
  </w:style>
  <w:style w:type="table" w:customStyle="1" w:styleId="afff">
    <w:basedOn w:val="Standardowy"/>
    <w:tblPr>
      <w:tblStyleRowBandSize w:val="1"/>
      <w:tblStyleColBandSize w:val="1"/>
      <w:tblCellMar>
        <w:left w:w="115" w:type="dxa"/>
        <w:right w:w="115" w:type="dxa"/>
      </w:tblCellMar>
    </w:tblPr>
  </w:style>
  <w:style w:type="table" w:customStyle="1" w:styleId="afff0">
    <w:basedOn w:val="Standardowy"/>
    <w:tblPr>
      <w:tblStyleRowBandSize w:val="1"/>
      <w:tblStyleColBandSize w:val="1"/>
      <w:tblCellMar>
        <w:left w:w="115" w:type="dxa"/>
        <w:right w:w="115" w:type="dxa"/>
      </w:tblCellMar>
    </w:tblPr>
  </w:style>
  <w:style w:type="table" w:customStyle="1" w:styleId="afff1">
    <w:basedOn w:val="Standardowy"/>
    <w:tblPr>
      <w:tblStyleRowBandSize w:val="1"/>
      <w:tblStyleColBandSize w:val="1"/>
      <w:tblCellMar>
        <w:left w:w="115" w:type="dxa"/>
        <w:right w:w="115" w:type="dxa"/>
      </w:tblCellMar>
    </w:tblPr>
  </w:style>
  <w:style w:type="table" w:customStyle="1" w:styleId="afff2">
    <w:basedOn w:val="Standardowy"/>
    <w:tblPr>
      <w:tblStyleRowBandSize w:val="1"/>
      <w:tblStyleColBandSize w:val="1"/>
      <w:tblCellMar>
        <w:left w:w="115" w:type="dxa"/>
        <w:right w:w="115" w:type="dxa"/>
      </w:tblCellMar>
    </w:tblPr>
  </w:style>
  <w:style w:type="table" w:customStyle="1" w:styleId="afff3">
    <w:basedOn w:val="Standardowy"/>
    <w:tblPr>
      <w:tblStyleRowBandSize w:val="1"/>
      <w:tblStyleColBandSize w:val="1"/>
      <w:tblCellMar>
        <w:left w:w="115" w:type="dxa"/>
        <w:right w:w="115" w:type="dxa"/>
      </w:tblCellMar>
    </w:tblPr>
  </w:style>
  <w:style w:type="table" w:customStyle="1" w:styleId="afff4">
    <w:basedOn w:val="Standardowy"/>
    <w:tblPr>
      <w:tblStyleRowBandSize w:val="1"/>
      <w:tblStyleColBandSize w:val="1"/>
      <w:tblCellMar>
        <w:left w:w="115" w:type="dxa"/>
        <w:right w:w="115" w:type="dxa"/>
      </w:tblCellMar>
    </w:tblPr>
  </w:style>
  <w:style w:type="table" w:customStyle="1" w:styleId="afff5">
    <w:basedOn w:val="Standardowy"/>
    <w:tblPr>
      <w:tblStyleRowBandSize w:val="1"/>
      <w:tblStyleColBandSize w:val="1"/>
      <w:tblCellMar>
        <w:left w:w="115" w:type="dxa"/>
        <w:right w:w="115" w:type="dxa"/>
      </w:tblCellMar>
    </w:tblPr>
  </w:style>
  <w:style w:type="table" w:customStyle="1" w:styleId="afff6">
    <w:basedOn w:val="Standardowy"/>
    <w:tblPr>
      <w:tblStyleRowBandSize w:val="1"/>
      <w:tblStyleColBandSize w:val="1"/>
      <w:tblCellMar>
        <w:left w:w="115" w:type="dxa"/>
        <w:right w:w="115" w:type="dxa"/>
      </w:tblCellMar>
    </w:tblPr>
  </w:style>
  <w:style w:type="table" w:customStyle="1" w:styleId="afff7">
    <w:basedOn w:val="Standardowy"/>
    <w:tblPr>
      <w:tblStyleRowBandSize w:val="1"/>
      <w:tblStyleColBandSize w:val="1"/>
      <w:tblCellMar>
        <w:left w:w="115" w:type="dxa"/>
        <w:right w:w="115" w:type="dxa"/>
      </w:tblCellMar>
    </w:tblPr>
  </w:style>
  <w:style w:type="table" w:customStyle="1" w:styleId="afff8">
    <w:basedOn w:val="Standardowy"/>
    <w:tblPr>
      <w:tblStyleRowBandSize w:val="1"/>
      <w:tblStyleColBandSize w:val="1"/>
      <w:tblCellMar>
        <w:left w:w="115" w:type="dxa"/>
        <w:right w:w="115" w:type="dxa"/>
      </w:tblCellMar>
    </w:tblPr>
  </w:style>
  <w:style w:type="table" w:customStyle="1" w:styleId="afff9">
    <w:basedOn w:val="Standardowy"/>
    <w:tblPr>
      <w:tblStyleRowBandSize w:val="1"/>
      <w:tblStyleColBandSize w:val="1"/>
      <w:tblCellMar>
        <w:left w:w="115" w:type="dxa"/>
        <w:right w:w="115" w:type="dxa"/>
      </w:tblCellMar>
    </w:tblPr>
  </w:style>
  <w:style w:type="table" w:customStyle="1" w:styleId="afffa">
    <w:basedOn w:val="Standardowy"/>
    <w:tblPr>
      <w:tblStyleRowBandSize w:val="1"/>
      <w:tblStyleColBandSize w:val="1"/>
      <w:tblCellMar>
        <w:left w:w="115" w:type="dxa"/>
        <w:right w:w="115" w:type="dxa"/>
      </w:tblCellMar>
    </w:tblPr>
  </w:style>
  <w:style w:type="table" w:customStyle="1" w:styleId="afffb">
    <w:basedOn w:val="Standardowy"/>
    <w:tblPr>
      <w:tblStyleRowBandSize w:val="1"/>
      <w:tblStyleColBandSize w:val="1"/>
      <w:tblCellMar>
        <w:left w:w="115" w:type="dxa"/>
        <w:right w:w="115" w:type="dxa"/>
      </w:tblCellMar>
    </w:tblPr>
  </w:style>
  <w:style w:type="table" w:customStyle="1" w:styleId="afffc">
    <w:basedOn w:val="Standardowy"/>
    <w:tblPr>
      <w:tblStyleRowBandSize w:val="1"/>
      <w:tblStyleColBandSize w:val="1"/>
      <w:tblCellMar>
        <w:left w:w="115" w:type="dxa"/>
        <w:right w:w="115" w:type="dxa"/>
      </w:tblCellMar>
    </w:tblPr>
  </w:style>
  <w:style w:type="table" w:customStyle="1" w:styleId="afffd">
    <w:basedOn w:val="Standardowy"/>
    <w:tblPr>
      <w:tblStyleRowBandSize w:val="1"/>
      <w:tblStyleColBandSize w:val="1"/>
      <w:tblCellMar>
        <w:left w:w="115" w:type="dxa"/>
        <w:right w:w="115" w:type="dxa"/>
      </w:tblCellMar>
    </w:tblPr>
  </w:style>
  <w:style w:type="table" w:customStyle="1" w:styleId="afffe">
    <w:basedOn w:val="Standardowy"/>
    <w:tblPr>
      <w:tblStyleRowBandSize w:val="1"/>
      <w:tblStyleColBandSize w:val="1"/>
      <w:tblCellMar>
        <w:left w:w="115" w:type="dxa"/>
        <w:right w:w="115" w:type="dxa"/>
      </w:tblCellMar>
    </w:tblPr>
  </w:style>
  <w:style w:type="table" w:customStyle="1" w:styleId="affff">
    <w:basedOn w:val="Standardowy"/>
    <w:tblPr>
      <w:tblStyleRowBandSize w:val="1"/>
      <w:tblStyleColBandSize w:val="1"/>
      <w:tblCellMar>
        <w:left w:w="115" w:type="dxa"/>
        <w:right w:w="115" w:type="dxa"/>
      </w:tblCellMar>
    </w:tblPr>
  </w:style>
  <w:style w:type="table" w:customStyle="1" w:styleId="affff0">
    <w:basedOn w:val="Standardowy"/>
    <w:tblPr>
      <w:tblStyleRowBandSize w:val="1"/>
      <w:tblStyleColBandSize w:val="1"/>
      <w:tblCellMar>
        <w:left w:w="115" w:type="dxa"/>
        <w:right w:w="115" w:type="dxa"/>
      </w:tblCellMar>
    </w:tblPr>
  </w:style>
  <w:style w:type="table" w:customStyle="1" w:styleId="affff1">
    <w:basedOn w:val="Standardowy"/>
    <w:tblPr>
      <w:tblStyleRowBandSize w:val="1"/>
      <w:tblStyleColBandSize w:val="1"/>
      <w:tblCellMar>
        <w:left w:w="115" w:type="dxa"/>
        <w:right w:w="115" w:type="dxa"/>
      </w:tblCellMar>
    </w:tblPr>
  </w:style>
  <w:style w:type="table" w:customStyle="1" w:styleId="affff2">
    <w:basedOn w:val="Standardowy"/>
    <w:tblPr>
      <w:tblStyleRowBandSize w:val="1"/>
      <w:tblStyleColBandSize w:val="1"/>
      <w:tblCellMar>
        <w:left w:w="115" w:type="dxa"/>
        <w:right w:w="115" w:type="dxa"/>
      </w:tblCellMar>
    </w:tblPr>
  </w:style>
  <w:style w:type="table" w:customStyle="1" w:styleId="affff3">
    <w:basedOn w:val="Standardowy"/>
    <w:tblPr>
      <w:tblStyleRowBandSize w:val="1"/>
      <w:tblStyleColBandSize w:val="1"/>
      <w:tblCellMar>
        <w:left w:w="115" w:type="dxa"/>
        <w:right w:w="115" w:type="dxa"/>
      </w:tblCellMar>
    </w:tblPr>
  </w:style>
  <w:style w:type="table" w:customStyle="1" w:styleId="affff4">
    <w:basedOn w:val="Standardowy"/>
    <w:tblPr>
      <w:tblStyleRowBandSize w:val="1"/>
      <w:tblStyleColBandSize w:val="1"/>
      <w:tblCellMar>
        <w:left w:w="115" w:type="dxa"/>
        <w:right w:w="115" w:type="dxa"/>
      </w:tblCellMar>
    </w:tblPr>
  </w:style>
  <w:style w:type="table" w:customStyle="1" w:styleId="affff5">
    <w:basedOn w:val="Standardowy"/>
    <w:tblPr>
      <w:tblStyleRowBandSize w:val="1"/>
      <w:tblStyleColBandSize w:val="1"/>
      <w:tblCellMar>
        <w:left w:w="115" w:type="dxa"/>
        <w:right w:w="115" w:type="dxa"/>
      </w:tblCellMar>
    </w:tblPr>
  </w:style>
  <w:style w:type="table" w:customStyle="1" w:styleId="affff6">
    <w:basedOn w:val="Standardowy"/>
    <w:tblPr>
      <w:tblStyleRowBandSize w:val="1"/>
      <w:tblStyleColBandSize w:val="1"/>
      <w:tblCellMar>
        <w:left w:w="115" w:type="dxa"/>
        <w:right w:w="115" w:type="dxa"/>
      </w:tblCellMar>
    </w:tblPr>
  </w:style>
  <w:style w:type="table" w:customStyle="1" w:styleId="affff7">
    <w:basedOn w:val="Standardowy"/>
    <w:tblPr>
      <w:tblStyleRowBandSize w:val="1"/>
      <w:tblStyleColBandSize w:val="1"/>
      <w:tblCellMar>
        <w:left w:w="115" w:type="dxa"/>
        <w:right w:w="115" w:type="dxa"/>
      </w:tblCellMar>
    </w:tblPr>
  </w:style>
  <w:style w:type="table" w:customStyle="1" w:styleId="affff8">
    <w:basedOn w:val="Standardowy"/>
    <w:tblPr>
      <w:tblStyleRowBandSize w:val="1"/>
      <w:tblStyleColBandSize w:val="1"/>
      <w:tblCellMar>
        <w:left w:w="115" w:type="dxa"/>
        <w:right w:w="115" w:type="dxa"/>
      </w:tblCellMar>
    </w:tblPr>
  </w:style>
  <w:style w:type="table" w:customStyle="1" w:styleId="affff9">
    <w:basedOn w:val="Standardowy"/>
    <w:tblPr>
      <w:tblStyleRowBandSize w:val="1"/>
      <w:tblStyleColBandSize w:val="1"/>
      <w:tblCellMar>
        <w:left w:w="115" w:type="dxa"/>
        <w:right w:w="115" w:type="dxa"/>
      </w:tblCellMar>
    </w:tblPr>
  </w:style>
  <w:style w:type="table" w:customStyle="1" w:styleId="affffa">
    <w:basedOn w:val="Standardowy"/>
    <w:tblPr>
      <w:tblStyleRowBandSize w:val="1"/>
      <w:tblStyleColBandSize w:val="1"/>
      <w:tblCellMar>
        <w:left w:w="115" w:type="dxa"/>
        <w:right w:w="115" w:type="dxa"/>
      </w:tblCellMar>
    </w:tblPr>
  </w:style>
  <w:style w:type="table" w:customStyle="1" w:styleId="affffb">
    <w:basedOn w:val="Standardowy"/>
    <w:tblPr>
      <w:tblStyleRowBandSize w:val="1"/>
      <w:tblStyleColBandSize w:val="1"/>
      <w:tblCellMar>
        <w:left w:w="115" w:type="dxa"/>
        <w:right w:w="115" w:type="dxa"/>
      </w:tblCellMar>
    </w:tblPr>
  </w:style>
  <w:style w:type="table" w:customStyle="1" w:styleId="affffc">
    <w:basedOn w:val="Standardowy"/>
    <w:tblPr>
      <w:tblStyleRowBandSize w:val="1"/>
      <w:tblStyleColBandSize w:val="1"/>
      <w:tblCellMar>
        <w:left w:w="115" w:type="dxa"/>
        <w:right w:w="115" w:type="dxa"/>
      </w:tblCellMar>
    </w:tblPr>
  </w:style>
  <w:style w:type="table" w:customStyle="1" w:styleId="affffd">
    <w:basedOn w:val="Standardowy"/>
    <w:tblPr>
      <w:tblStyleRowBandSize w:val="1"/>
      <w:tblStyleColBandSize w:val="1"/>
      <w:tblCellMar>
        <w:left w:w="115" w:type="dxa"/>
        <w:right w:w="115" w:type="dxa"/>
      </w:tblCellMar>
    </w:tblPr>
  </w:style>
  <w:style w:type="table" w:customStyle="1" w:styleId="affffe">
    <w:basedOn w:val="Standardowy"/>
    <w:tblPr>
      <w:tblStyleRowBandSize w:val="1"/>
      <w:tblStyleColBandSize w:val="1"/>
      <w:tblCellMar>
        <w:left w:w="115" w:type="dxa"/>
        <w:right w:w="115" w:type="dxa"/>
      </w:tblCellMar>
    </w:tblPr>
  </w:style>
  <w:style w:type="table" w:customStyle="1" w:styleId="afffff">
    <w:basedOn w:val="Standardowy"/>
    <w:tblPr>
      <w:tblStyleRowBandSize w:val="1"/>
      <w:tblStyleColBandSize w:val="1"/>
      <w:tblCellMar>
        <w:left w:w="115" w:type="dxa"/>
        <w:right w:w="115" w:type="dxa"/>
      </w:tblCellMar>
    </w:tblPr>
  </w:style>
  <w:style w:type="table" w:customStyle="1" w:styleId="afffff0">
    <w:basedOn w:val="Standardowy"/>
    <w:tblPr>
      <w:tblStyleRowBandSize w:val="1"/>
      <w:tblStyleColBandSize w:val="1"/>
      <w:tblCellMar>
        <w:left w:w="115" w:type="dxa"/>
        <w:right w:w="115" w:type="dxa"/>
      </w:tblCellMar>
    </w:tblPr>
  </w:style>
  <w:style w:type="table" w:customStyle="1" w:styleId="afffff1">
    <w:basedOn w:val="Standardowy"/>
    <w:tblPr>
      <w:tblStyleRowBandSize w:val="1"/>
      <w:tblStyleColBandSize w:val="1"/>
      <w:tblCellMar>
        <w:left w:w="115" w:type="dxa"/>
        <w:right w:w="115" w:type="dxa"/>
      </w:tblCellMar>
    </w:tblPr>
  </w:style>
  <w:style w:type="table" w:customStyle="1" w:styleId="afffff2">
    <w:basedOn w:val="Standardowy"/>
    <w:tblPr>
      <w:tblStyleRowBandSize w:val="1"/>
      <w:tblStyleColBandSize w:val="1"/>
      <w:tblCellMar>
        <w:left w:w="115" w:type="dxa"/>
        <w:right w:w="115" w:type="dxa"/>
      </w:tblCellMar>
    </w:tblPr>
  </w:style>
  <w:style w:type="table" w:customStyle="1" w:styleId="afffff3">
    <w:basedOn w:val="Standardowy"/>
    <w:tblPr>
      <w:tblStyleRowBandSize w:val="1"/>
      <w:tblStyleColBandSize w:val="1"/>
      <w:tblCellMar>
        <w:left w:w="115" w:type="dxa"/>
        <w:right w:w="115" w:type="dxa"/>
      </w:tblCellMar>
    </w:tblPr>
  </w:style>
  <w:style w:type="table" w:customStyle="1" w:styleId="afffff4">
    <w:basedOn w:val="Standardowy"/>
    <w:tblPr>
      <w:tblStyleRowBandSize w:val="1"/>
      <w:tblStyleColBandSize w:val="1"/>
      <w:tblCellMar>
        <w:left w:w="115" w:type="dxa"/>
        <w:right w:w="115" w:type="dxa"/>
      </w:tblCellMar>
    </w:tblPr>
  </w:style>
  <w:style w:type="table" w:customStyle="1" w:styleId="afffff5">
    <w:basedOn w:val="Standardowy"/>
    <w:tblPr>
      <w:tblStyleRowBandSize w:val="1"/>
      <w:tblStyleColBandSize w:val="1"/>
      <w:tblCellMar>
        <w:left w:w="115" w:type="dxa"/>
        <w:right w:w="115" w:type="dxa"/>
      </w:tblCellMar>
    </w:tblPr>
  </w:style>
  <w:style w:type="table" w:customStyle="1" w:styleId="afffff6">
    <w:basedOn w:val="Standardowy"/>
    <w:tblPr>
      <w:tblStyleRowBandSize w:val="1"/>
      <w:tblStyleColBandSize w:val="1"/>
      <w:tblCellMar>
        <w:left w:w="115" w:type="dxa"/>
        <w:right w:w="115" w:type="dxa"/>
      </w:tblCellMar>
    </w:tblPr>
  </w:style>
  <w:style w:type="table" w:customStyle="1" w:styleId="afffff7">
    <w:basedOn w:val="Standardowy"/>
    <w:tblPr>
      <w:tblStyleRowBandSize w:val="1"/>
      <w:tblStyleColBandSize w:val="1"/>
      <w:tblCellMar>
        <w:left w:w="115" w:type="dxa"/>
        <w:right w:w="115" w:type="dxa"/>
      </w:tblCellMar>
    </w:tblPr>
  </w:style>
  <w:style w:type="table" w:customStyle="1" w:styleId="afffff8">
    <w:basedOn w:val="Standardowy"/>
    <w:tblPr>
      <w:tblStyleRowBandSize w:val="1"/>
      <w:tblStyleColBandSize w:val="1"/>
      <w:tblCellMar>
        <w:left w:w="115" w:type="dxa"/>
        <w:right w:w="115" w:type="dxa"/>
      </w:tblCellMar>
    </w:tblPr>
  </w:style>
  <w:style w:type="table" w:customStyle="1" w:styleId="afffff9">
    <w:basedOn w:val="Standardowy"/>
    <w:tblPr>
      <w:tblStyleRowBandSize w:val="1"/>
      <w:tblStyleColBandSize w:val="1"/>
      <w:tblCellMar>
        <w:left w:w="115" w:type="dxa"/>
        <w:right w:w="115" w:type="dxa"/>
      </w:tblCellMar>
    </w:tblPr>
  </w:style>
  <w:style w:type="table" w:customStyle="1" w:styleId="afffffa">
    <w:basedOn w:val="Standardowy"/>
    <w:tblPr>
      <w:tblStyleRowBandSize w:val="1"/>
      <w:tblStyleColBandSize w:val="1"/>
      <w:tblCellMar>
        <w:left w:w="115" w:type="dxa"/>
        <w:right w:w="115" w:type="dxa"/>
      </w:tblCellMar>
    </w:tblPr>
  </w:style>
  <w:style w:type="table" w:customStyle="1" w:styleId="afffffb">
    <w:basedOn w:val="Standardowy"/>
    <w:tblPr>
      <w:tblStyleRowBandSize w:val="1"/>
      <w:tblStyleColBandSize w:val="1"/>
      <w:tblCellMar>
        <w:left w:w="115" w:type="dxa"/>
        <w:right w:w="115" w:type="dxa"/>
      </w:tblCellMar>
    </w:tblPr>
  </w:style>
  <w:style w:type="table" w:customStyle="1" w:styleId="afffffc">
    <w:basedOn w:val="Standardowy"/>
    <w:tblPr>
      <w:tblStyleRowBandSize w:val="1"/>
      <w:tblStyleColBandSize w:val="1"/>
      <w:tblCellMar>
        <w:left w:w="115" w:type="dxa"/>
        <w:right w:w="115" w:type="dxa"/>
      </w:tblCellMar>
    </w:tblPr>
  </w:style>
  <w:style w:type="table" w:customStyle="1" w:styleId="afffffd">
    <w:basedOn w:val="Standardowy"/>
    <w:tblPr>
      <w:tblStyleRowBandSize w:val="1"/>
      <w:tblStyleColBandSize w:val="1"/>
      <w:tblCellMar>
        <w:left w:w="115" w:type="dxa"/>
        <w:right w:w="115" w:type="dxa"/>
      </w:tblCellMar>
    </w:tblPr>
  </w:style>
  <w:style w:type="table" w:customStyle="1" w:styleId="afffffe">
    <w:basedOn w:val="Standardowy"/>
    <w:tblPr>
      <w:tblStyleRowBandSize w:val="1"/>
      <w:tblStyleColBandSize w:val="1"/>
      <w:tblCellMar>
        <w:left w:w="115" w:type="dxa"/>
        <w:right w:w="115" w:type="dxa"/>
      </w:tblCellMar>
    </w:tblPr>
  </w:style>
  <w:style w:type="table" w:customStyle="1" w:styleId="affffff">
    <w:basedOn w:val="Standardowy"/>
    <w:tblPr>
      <w:tblStyleRowBandSize w:val="1"/>
      <w:tblStyleColBandSize w:val="1"/>
      <w:tblCellMar>
        <w:left w:w="115" w:type="dxa"/>
        <w:right w:w="115" w:type="dxa"/>
      </w:tblCellMar>
    </w:tblPr>
  </w:style>
  <w:style w:type="table" w:customStyle="1" w:styleId="affffff0">
    <w:basedOn w:val="Standardowy"/>
    <w:tblPr>
      <w:tblStyleRowBandSize w:val="1"/>
      <w:tblStyleColBandSize w:val="1"/>
      <w:tblCellMar>
        <w:left w:w="115" w:type="dxa"/>
        <w:right w:w="115" w:type="dxa"/>
      </w:tblCellMar>
    </w:tblPr>
  </w:style>
  <w:style w:type="table" w:customStyle="1" w:styleId="affffff1">
    <w:basedOn w:val="Standardowy"/>
    <w:tblPr>
      <w:tblStyleRowBandSize w:val="1"/>
      <w:tblStyleColBandSize w:val="1"/>
      <w:tblCellMar>
        <w:left w:w="115" w:type="dxa"/>
        <w:right w:w="115" w:type="dxa"/>
      </w:tblCellMar>
    </w:tblPr>
  </w:style>
  <w:style w:type="table" w:customStyle="1" w:styleId="affffff2">
    <w:basedOn w:val="Standardowy"/>
    <w:tblPr>
      <w:tblStyleRowBandSize w:val="1"/>
      <w:tblStyleColBandSize w:val="1"/>
      <w:tblCellMar>
        <w:left w:w="115" w:type="dxa"/>
        <w:right w:w="115" w:type="dxa"/>
      </w:tblCellMar>
    </w:tblPr>
  </w:style>
  <w:style w:type="table" w:customStyle="1" w:styleId="affffff3">
    <w:basedOn w:val="Standardowy"/>
    <w:tblPr>
      <w:tblStyleRowBandSize w:val="1"/>
      <w:tblStyleColBandSize w:val="1"/>
      <w:tblCellMar>
        <w:left w:w="115" w:type="dxa"/>
        <w:right w:w="115" w:type="dxa"/>
      </w:tblCellMar>
    </w:tblPr>
  </w:style>
  <w:style w:type="table" w:customStyle="1" w:styleId="affffff4">
    <w:basedOn w:val="Standardowy"/>
    <w:tblPr>
      <w:tblStyleRowBandSize w:val="1"/>
      <w:tblStyleColBandSize w:val="1"/>
      <w:tblCellMar>
        <w:left w:w="115" w:type="dxa"/>
        <w:right w:w="115" w:type="dxa"/>
      </w:tblCellMar>
    </w:tblPr>
  </w:style>
  <w:style w:type="table" w:customStyle="1" w:styleId="affffff5">
    <w:basedOn w:val="Standardowy"/>
    <w:tblPr>
      <w:tblStyleRowBandSize w:val="1"/>
      <w:tblStyleColBandSize w:val="1"/>
      <w:tblCellMar>
        <w:left w:w="115" w:type="dxa"/>
        <w:right w:w="115" w:type="dxa"/>
      </w:tblCellMar>
    </w:tblPr>
  </w:style>
  <w:style w:type="table" w:customStyle="1" w:styleId="affffff6">
    <w:basedOn w:val="Standardowy"/>
    <w:tblPr>
      <w:tblStyleRowBandSize w:val="1"/>
      <w:tblStyleColBandSize w:val="1"/>
      <w:tblCellMar>
        <w:left w:w="115" w:type="dxa"/>
        <w:right w:w="115" w:type="dxa"/>
      </w:tblCellMar>
    </w:tblPr>
  </w:style>
  <w:style w:type="table" w:customStyle="1" w:styleId="affffff7">
    <w:basedOn w:val="Standardowy"/>
    <w:tblPr>
      <w:tblStyleRowBandSize w:val="1"/>
      <w:tblStyleColBandSize w:val="1"/>
      <w:tblCellMar>
        <w:left w:w="115" w:type="dxa"/>
        <w:right w:w="115" w:type="dxa"/>
      </w:tblCellMar>
    </w:tblPr>
  </w:style>
  <w:style w:type="table" w:customStyle="1" w:styleId="affffff8">
    <w:basedOn w:val="Standardowy"/>
    <w:tblPr>
      <w:tblStyleRowBandSize w:val="1"/>
      <w:tblStyleColBandSize w:val="1"/>
      <w:tblCellMar>
        <w:left w:w="115" w:type="dxa"/>
        <w:right w:w="115" w:type="dxa"/>
      </w:tblCellMar>
    </w:tblPr>
  </w:style>
  <w:style w:type="table" w:customStyle="1" w:styleId="affffff9">
    <w:basedOn w:val="Standardowy"/>
    <w:tblPr>
      <w:tblStyleRowBandSize w:val="1"/>
      <w:tblStyleColBandSize w:val="1"/>
      <w:tblCellMar>
        <w:left w:w="115" w:type="dxa"/>
        <w:right w:w="115" w:type="dxa"/>
      </w:tblCellMar>
    </w:tblPr>
  </w:style>
  <w:style w:type="table" w:customStyle="1" w:styleId="affffffa">
    <w:basedOn w:val="Standardowy"/>
    <w:tblPr>
      <w:tblStyleRowBandSize w:val="1"/>
      <w:tblStyleColBandSize w:val="1"/>
      <w:tblCellMar>
        <w:left w:w="115" w:type="dxa"/>
        <w:right w:w="115" w:type="dxa"/>
      </w:tblCellMar>
    </w:tblPr>
  </w:style>
  <w:style w:type="table" w:customStyle="1" w:styleId="affffffb">
    <w:basedOn w:val="Standardowy"/>
    <w:tblPr>
      <w:tblStyleRowBandSize w:val="1"/>
      <w:tblStyleColBandSize w:val="1"/>
      <w:tblCellMar>
        <w:left w:w="115" w:type="dxa"/>
        <w:right w:w="115" w:type="dxa"/>
      </w:tblCellMar>
    </w:tblPr>
  </w:style>
  <w:style w:type="table" w:customStyle="1" w:styleId="affffffc">
    <w:basedOn w:val="Standardowy"/>
    <w:tblPr>
      <w:tblStyleRowBandSize w:val="1"/>
      <w:tblStyleColBandSize w:val="1"/>
      <w:tblCellMar>
        <w:left w:w="115" w:type="dxa"/>
        <w:right w:w="115" w:type="dxa"/>
      </w:tblCellMar>
    </w:tblPr>
  </w:style>
  <w:style w:type="table" w:customStyle="1" w:styleId="affffffd">
    <w:basedOn w:val="Standardowy"/>
    <w:tblPr>
      <w:tblStyleRowBandSize w:val="1"/>
      <w:tblStyleColBandSize w:val="1"/>
      <w:tblCellMar>
        <w:left w:w="115" w:type="dxa"/>
        <w:right w:w="115" w:type="dxa"/>
      </w:tblCellMar>
    </w:tblPr>
  </w:style>
  <w:style w:type="table" w:customStyle="1" w:styleId="affffffe">
    <w:basedOn w:val="Standardowy"/>
    <w:tblPr>
      <w:tblStyleRowBandSize w:val="1"/>
      <w:tblStyleColBandSize w:val="1"/>
      <w:tblCellMar>
        <w:left w:w="115" w:type="dxa"/>
        <w:right w:w="115" w:type="dxa"/>
      </w:tblCellMar>
    </w:tblPr>
  </w:style>
  <w:style w:type="table" w:customStyle="1" w:styleId="afffffff">
    <w:basedOn w:val="Standardowy"/>
    <w:tblPr>
      <w:tblStyleRowBandSize w:val="1"/>
      <w:tblStyleColBandSize w:val="1"/>
      <w:tblCellMar>
        <w:left w:w="115" w:type="dxa"/>
        <w:right w:w="115" w:type="dxa"/>
      </w:tblCellMar>
    </w:tblPr>
  </w:style>
  <w:style w:type="table" w:customStyle="1" w:styleId="afffffff0">
    <w:basedOn w:val="Standardowy"/>
    <w:tblPr>
      <w:tblStyleRowBandSize w:val="1"/>
      <w:tblStyleColBandSize w:val="1"/>
      <w:tblCellMar>
        <w:left w:w="115" w:type="dxa"/>
        <w:right w:w="115" w:type="dxa"/>
      </w:tblCellMar>
    </w:tblPr>
  </w:style>
  <w:style w:type="table" w:customStyle="1" w:styleId="afffffff1">
    <w:basedOn w:val="Standardowy"/>
    <w:tblPr>
      <w:tblStyleRowBandSize w:val="1"/>
      <w:tblStyleColBandSize w:val="1"/>
      <w:tblCellMar>
        <w:left w:w="115" w:type="dxa"/>
        <w:right w:w="115" w:type="dxa"/>
      </w:tblCellMar>
    </w:tblPr>
  </w:style>
  <w:style w:type="table" w:customStyle="1" w:styleId="afffffff2">
    <w:basedOn w:val="Standardowy"/>
    <w:tblPr>
      <w:tblStyleRowBandSize w:val="1"/>
      <w:tblStyleColBandSize w:val="1"/>
      <w:tblCellMar>
        <w:left w:w="115" w:type="dxa"/>
        <w:right w:w="115" w:type="dxa"/>
      </w:tblCellMar>
    </w:tblPr>
  </w:style>
  <w:style w:type="table" w:customStyle="1" w:styleId="afffffff3">
    <w:basedOn w:val="Standardowy"/>
    <w:tblPr>
      <w:tblStyleRowBandSize w:val="1"/>
      <w:tblStyleColBandSize w:val="1"/>
      <w:tblCellMar>
        <w:left w:w="115" w:type="dxa"/>
        <w:right w:w="115" w:type="dxa"/>
      </w:tblCellMar>
    </w:tblPr>
  </w:style>
  <w:style w:type="table" w:customStyle="1" w:styleId="afffffff4">
    <w:basedOn w:val="Standardowy"/>
    <w:tblPr>
      <w:tblStyleRowBandSize w:val="1"/>
      <w:tblStyleColBandSize w:val="1"/>
      <w:tblCellMar>
        <w:left w:w="115" w:type="dxa"/>
        <w:right w:w="115" w:type="dxa"/>
      </w:tblCellMar>
    </w:tblPr>
  </w:style>
  <w:style w:type="table" w:customStyle="1" w:styleId="afffffff5">
    <w:basedOn w:val="Standardowy"/>
    <w:tblPr>
      <w:tblStyleRowBandSize w:val="1"/>
      <w:tblStyleColBandSize w:val="1"/>
      <w:tblCellMar>
        <w:left w:w="115" w:type="dxa"/>
        <w:right w:w="115" w:type="dxa"/>
      </w:tblCellMar>
    </w:tblPr>
  </w:style>
  <w:style w:type="table" w:customStyle="1" w:styleId="afffffff6">
    <w:basedOn w:val="Standardowy"/>
    <w:tblPr>
      <w:tblStyleRowBandSize w:val="1"/>
      <w:tblStyleColBandSize w:val="1"/>
      <w:tblCellMar>
        <w:left w:w="115" w:type="dxa"/>
        <w:right w:w="115" w:type="dxa"/>
      </w:tblCellMar>
    </w:tblPr>
  </w:style>
  <w:style w:type="table" w:customStyle="1" w:styleId="afffffff7">
    <w:basedOn w:val="Standardowy"/>
    <w:tblPr>
      <w:tblStyleRowBandSize w:val="1"/>
      <w:tblStyleColBandSize w:val="1"/>
      <w:tblCellMar>
        <w:left w:w="115" w:type="dxa"/>
        <w:right w:w="115" w:type="dxa"/>
      </w:tblCellMar>
    </w:tblPr>
  </w:style>
  <w:style w:type="table" w:customStyle="1" w:styleId="afffffff8">
    <w:basedOn w:val="Standardowy"/>
    <w:tblPr>
      <w:tblStyleRowBandSize w:val="1"/>
      <w:tblStyleColBandSize w:val="1"/>
      <w:tblCellMar>
        <w:left w:w="115" w:type="dxa"/>
        <w:right w:w="115" w:type="dxa"/>
      </w:tblCellMar>
    </w:tblPr>
  </w:style>
  <w:style w:type="table" w:customStyle="1" w:styleId="afffffff9">
    <w:basedOn w:val="Standardowy"/>
    <w:tblPr>
      <w:tblStyleRowBandSize w:val="1"/>
      <w:tblStyleColBandSize w:val="1"/>
      <w:tblCellMar>
        <w:left w:w="115" w:type="dxa"/>
        <w:right w:w="115" w:type="dxa"/>
      </w:tblCellMar>
    </w:tblPr>
  </w:style>
  <w:style w:type="table" w:customStyle="1" w:styleId="afffffffa">
    <w:basedOn w:val="Standardowy"/>
    <w:tblPr>
      <w:tblStyleRowBandSize w:val="1"/>
      <w:tblStyleColBandSize w:val="1"/>
      <w:tblCellMar>
        <w:left w:w="115" w:type="dxa"/>
        <w:right w:w="115" w:type="dxa"/>
      </w:tblCellMar>
    </w:tblPr>
  </w:style>
  <w:style w:type="table" w:customStyle="1" w:styleId="afffffffb">
    <w:basedOn w:val="Standardowy"/>
    <w:tblPr>
      <w:tblStyleRowBandSize w:val="1"/>
      <w:tblStyleColBandSize w:val="1"/>
      <w:tblCellMar>
        <w:left w:w="70" w:type="dxa"/>
        <w:right w:w="70" w:type="dxa"/>
      </w:tblCellMar>
    </w:tblPr>
  </w:style>
  <w:style w:type="table" w:customStyle="1" w:styleId="afffffffc">
    <w:basedOn w:val="Standardowy"/>
    <w:tblPr>
      <w:tblStyleRowBandSize w:val="1"/>
      <w:tblStyleColBandSize w:val="1"/>
      <w:tblCellMar>
        <w:left w:w="115" w:type="dxa"/>
        <w:right w:w="115" w:type="dxa"/>
      </w:tblCellMar>
    </w:tblPr>
  </w:style>
  <w:style w:type="table" w:customStyle="1" w:styleId="afffffffd">
    <w:basedOn w:val="Standardowy"/>
    <w:tblPr>
      <w:tblStyleRowBandSize w:val="1"/>
      <w:tblStyleColBandSize w:val="1"/>
      <w:tblCellMar>
        <w:left w:w="115" w:type="dxa"/>
        <w:right w:w="115" w:type="dxa"/>
      </w:tblCellMar>
    </w:tblPr>
  </w:style>
  <w:style w:type="table" w:customStyle="1" w:styleId="afffffffe">
    <w:basedOn w:val="Standardowy"/>
    <w:tblPr>
      <w:tblStyleRowBandSize w:val="1"/>
      <w:tblStyleColBandSize w:val="1"/>
      <w:tblCellMar>
        <w:left w:w="115" w:type="dxa"/>
        <w:right w:w="115" w:type="dxa"/>
      </w:tblCellMar>
    </w:tblPr>
  </w:style>
  <w:style w:type="table" w:customStyle="1" w:styleId="affffffff">
    <w:basedOn w:val="Standardowy"/>
    <w:tblPr>
      <w:tblStyleRowBandSize w:val="1"/>
      <w:tblStyleColBandSize w:val="1"/>
      <w:tblCellMar>
        <w:left w:w="115" w:type="dxa"/>
        <w:right w:w="115" w:type="dxa"/>
      </w:tblCellMar>
    </w:tblPr>
  </w:style>
  <w:style w:type="table" w:customStyle="1" w:styleId="affffffff0">
    <w:basedOn w:val="Standardowy"/>
    <w:tblPr>
      <w:tblStyleRowBandSize w:val="1"/>
      <w:tblStyleColBandSize w:val="1"/>
      <w:tblCellMar>
        <w:left w:w="70" w:type="dxa"/>
        <w:right w:w="70" w:type="dxa"/>
      </w:tblCellMar>
    </w:tblPr>
  </w:style>
  <w:style w:type="table" w:customStyle="1" w:styleId="affffffff1">
    <w:basedOn w:val="Standardowy"/>
    <w:tblPr>
      <w:tblStyleRowBandSize w:val="1"/>
      <w:tblStyleColBandSize w:val="1"/>
      <w:tblCellMar>
        <w:left w:w="115" w:type="dxa"/>
        <w:right w:w="115" w:type="dxa"/>
      </w:tblCellMar>
    </w:tblPr>
  </w:style>
  <w:style w:type="table" w:customStyle="1" w:styleId="affffffff2">
    <w:basedOn w:val="Standardowy"/>
    <w:tblPr>
      <w:tblStyleRowBandSize w:val="1"/>
      <w:tblStyleColBandSize w:val="1"/>
      <w:tblCellMar>
        <w:left w:w="115" w:type="dxa"/>
        <w:right w:w="115" w:type="dxa"/>
      </w:tblCellMar>
    </w:tblPr>
  </w:style>
  <w:style w:type="table" w:customStyle="1" w:styleId="affffffff3">
    <w:basedOn w:val="Standardowy"/>
    <w:tblPr>
      <w:tblStyleRowBandSize w:val="1"/>
      <w:tblStyleColBandSize w:val="1"/>
      <w:tblCellMar>
        <w:left w:w="115" w:type="dxa"/>
        <w:right w:w="115" w:type="dxa"/>
      </w:tblCellMar>
    </w:tblPr>
  </w:style>
  <w:style w:type="table" w:customStyle="1" w:styleId="affffffff4">
    <w:basedOn w:val="Standardowy"/>
    <w:tblPr>
      <w:tblStyleRowBandSize w:val="1"/>
      <w:tblStyleColBandSize w:val="1"/>
      <w:tblCellMar>
        <w:left w:w="115" w:type="dxa"/>
        <w:right w:w="115" w:type="dxa"/>
      </w:tblCellMar>
    </w:tblPr>
  </w:style>
  <w:style w:type="table" w:customStyle="1" w:styleId="affffffff5">
    <w:basedOn w:val="Standardowy"/>
    <w:tblPr>
      <w:tblStyleRowBandSize w:val="1"/>
      <w:tblStyleColBandSize w:val="1"/>
      <w:tblCellMar>
        <w:left w:w="115" w:type="dxa"/>
        <w:right w:w="115" w:type="dxa"/>
      </w:tblCellMar>
    </w:tblPr>
  </w:style>
  <w:style w:type="table" w:customStyle="1" w:styleId="affffffff6">
    <w:basedOn w:val="Standardowy"/>
    <w:tblPr>
      <w:tblStyleRowBandSize w:val="1"/>
      <w:tblStyleColBandSize w:val="1"/>
      <w:tblCellMar>
        <w:left w:w="115" w:type="dxa"/>
        <w:right w:w="115" w:type="dxa"/>
      </w:tblCellMar>
    </w:tblPr>
  </w:style>
  <w:style w:type="table" w:customStyle="1" w:styleId="affffffff7">
    <w:basedOn w:val="Standardowy"/>
    <w:tblPr>
      <w:tblStyleRowBandSize w:val="1"/>
      <w:tblStyleColBandSize w:val="1"/>
      <w:tblCellMar>
        <w:left w:w="115" w:type="dxa"/>
        <w:right w:w="115" w:type="dxa"/>
      </w:tblCellMar>
    </w:tblPr>
  </w:style>
  <w:style w:type="table" w:customStyle="1" w:styleId="affffffff8">
    <w:basedOn w:val="Standardowy"/>
    <w:tblPr>
      <w:tblStyleRowBandSize w:val="1"/>
      <w:tblStyleColBandSize w:val="1"/>
      <w:tblCellMar>
        <w:left w:w="284" w:type="dxa"/>
        <w:right w:w="284" w:type="dxa"/>
      </w:tblCellMar>
    </w:tblPr>
  </w:style>
  <w:style w:type="table" w:customStyle="1" w:styleId="affffffff9">
    <w:basedOn w:val="Standardowy"/>
    <w:tblPr>
      <w:tblStyleRowBandSize w:val="1"/>
      <w:tblStyleColBandSize w:val="1"/>
      <w:tblCellMar>
        <w:left w:w="115" w:type="dxa"/>
        <w:right w:w="115" w:type="dxa"/>
      </w:tblCellMar>
    </w:tblPr>
  </w:style>
  <w:style w:type="table" w:customStyle="1" w:styleId="affffffffa">
    <w:basedOn w:val="Standardowy"/>
    <w:tblPr>
      <w:tblStyleRowBandSize w:val="1"/>
      <w:tblStyleColBandSize w:val="1"/>
      <w:tblCellMar>
        <w:left w:w="115" w:type="dxa"/>
        <w:right w:w="115" w:type="dxa"/>
      </w:tblCellMar>
    </w:tblPr>
  </w:style>
  <w:style w:type="table" w:customStyle="1" w:styleId="affffffffb">
    <w:basedOn w:val="Standardowy"/>
    <w:tblPr>
      <w:tblStyleRowBandSize w:val="1"/>
      <w:tblStyleColBandSize w:val="1"/>
      <w:tblCellMar>
        <w:left w:w="115" w:type="dxa"/>
        <w:right w:w="115" w:type="dxa"/>
      </w:tblCellMar>
    </w:tblPr>
  </w:style>
  <w:style w:type="table" w:customStyle="1" w:styleId="affffffffc">
    <w:basedOn w:val="Standardowy"/>
    <w:tblPr>
      <w:tblStyleRowBandSize w:val="1"/>
      <w:tblStyleColBandSize w:val="1"/>
      <w:tblCellMar>
        <w:left w:w="115" w:type="dxa"/>
        <w:right w:w="115" w:type="dxa"/>
      </w:tblCellMar>
    </w:tblPr>
  </w:style>
  <w:style w:type="table" w:customStyle="1" w:styleId="affffffffd">
    <w:basedOn w:val="Standardowy"/>
    <w:tblPr>
      <w:tblStyleRowBandSize w:val="1"/>
      <w:tblStyleColBandSize w:val="1"/>
      <w:tblCellMar>
        <w:left w:w="115" w:type="dxa"/>
        <w:right w:w="115" w:type="dxa"/>
      </w:tblCellMar>
    </w:tblPr>
  </w:style>
  <w:style w:type="table" w:customStyle="1" w:styleId="affffffffe">
    <w:basedOn w:val="Standardowy"/>
    <w:tblPr>
      <w:tblStyleRowBandSize w:val="1"/>
      <w:tblStyleColBandSize w:val="1"/>
      <w:tblCellMar>
        <w:left w:w="115" w:type="dxa"/>
        <w:right w:w="115" w:type="dxa"/>
      </w:tblCellMar>
    </w:tblPr>
  </w:style>
  <w:style w:type="table" w:customStyle="1" w:styleId="afffffffff">
    <w:basedOn w:val="Standardowy"/>
    <w:tblPr>
      <w:tblStyleRowBandSize w:val="1"/>
      <w:tblStyleColBandSize w:val="1"/>
      <w:tblCellMar>
        <w:left w:w="115" w:type="dxa"/>
        <w:right w:w="115" w:type="dxa"/>
      </w:tblCellMar>
    </w:tblPr>
  </w:style>
  <w:style w:type="table" w:customStyle="1" w:styleId="afffffffff0">
    <w:basedOn w:val="Standardowy"/>
    <w:tblPr>
      <w:tblStyleRowBandSize w:val="1"/>
      <w:tblStyleColBandSize w:val="1"/>
      <w:tblCellMar>
        <w:left w:w="115" w:type="dxa"/>
        <w:right w:w="115" w:type="dxa"/>
      </w:tblCellMar>
    </w:tblPr>
  </w:style>
  <w:style w:type="table" w:customStyle="1" w:styleId="afffffffff1">
    <w:basedOn w:val="Standardowy"/>
    <w:tblPr>
      <w:tblStyleRowBandSize w:val="1"/>
      <w:tblStyleColBandSize w:val="1"/>
      <w:tblCellMar>
        <w:left w:w="115" w:type="dxa"/>
        <w:right w:w="115" w:type="dxa"/>
      </w:tblCellMar>
    </w:tblPr>
  </w:style>
  <w:style w:type="table" w:customStyle="1" w:styleId="afffffffff2">
    <w:basedOn w:val="Standardowy"/>
    <w:tblPr>
      <w:tblStyleRowBandSize w:val="1"/>
      <w:tblStyleColBandSize w:val="1"/>
      <w:tblCellMar>
        <w:left w:w="115" w:type="dxa"/>
        <w:right w:w="115" w:type="dxa"/>
      </w:tblCellMar>
    </w:tblPr>
  </w:style>
  <w:style w:type="table" w:customStyle="1" w:styleId="afffffffff3">
    <w:basedOn w:val="Standardowy"/>
    <w:tblPr>
      <w:tblStyleRowBandSize w:val="1"/>
      <w:tblStyleColBandSize w:val="1"/>
      <w:tblCellMar>
        <w:left w:w="115" w:type="dxa"/>
        <w:right w:w="115" w:type="dxa"/>
      </w:tblCellMar>
    </w:tblPr>
  </w:style>
  <w:style w:type="table" w:customStyle="1" w:styleId="afffffffff4">
    <w:basedOn w:val="Standardowy"/>
    <w:tblPr>
      <w:tblStyleRowBandSize w:val="1"/>
      <w:tblStyleColBandSize w:val="1"/>
      <w:tblCellMar>
        <w:left w:w="115" w:type="dxa"/>
        <w:right w:w="115" w:type="dxa"/>
      </w:tblCellMar>
    </w:tblPr>
  </w:style>
  <w:style w:type="table" w:customStyle="1" w:styleId="afffffffff5">
    <w:basedOn w:val="Standardowy"/>
    <w:tblPr>
      <w:tblStyleRowBandSize w:val="1"/>
      <w:tblStyleColBandSize w:val="1"/>
      <w:tblCellMar>
        <w:left w:w="115" w:type="dxa"/>
        <w:right w:w="115" w:type="dxa"/>
      </w:tblCellMar>
    </w:tblPr>
  </w:style>
  <w:style w:type="table" w:customStyle="1" w:styleId="afffffffff6">
    <w:basedOn w:val="Standardowy"/>
    <w:tblPr>
      <w:tblStyleRowBandSize w:val="1"/>
      <w:tblStyleColBandSize w:val="1"/>
      <w:tblCellMar>
        <w:left w:w="115" w:type="dxa"/>
        <w:right w:w="115" w:type="dxa"/>
      </w:tblCellMar>
    </w:tblPr>
  </w:style>
  <w:style w:type="table" w:customStyle="1" w:styleId="afffffffff7">
    <w:basedOn w:val="Standardowy"/>
    <w:tblPr>
      <w:tblStyleRowBandSize w:val="1"/>
      <w:tblStyleColBandSize w:val="1"/>
      <w:tblCellMar>
        <w:left w:w="115" w:type="dxa"/>
        <w:right w:w="115" w:type="dxa"/>
      </w:tblCellMar>
    </w:tblPr>
  </w:style>
  <w:style w:type="table" w:customStyle="1" w:styleId="afffffffff8">
    <w:basedOn w:val="Standardowy"/>
    <w:tblPr>
      <w:tblStyleRowBandSize w:val="1"/>
      <w:tblStyleColBandSize w:val="1"/>
      <w:tblCellMar>
        <w:left w:w="115" w:type="dxa"/>
        <w:right w:w="115" w:type="dxa"/>
      </w:tblCellMar>
    </w:tblPr>
  </w:style>
  <w:style w:type="table" w:customStyle="1" w:styleId="afffffffff9">
    <w:basedOn w:val="Standardowy"/>
    <w:tblPr>
      <w:tblStyleRowBandSize w:val="1"/>
      <w:tblStyleColBandSize w:val="1"/>
      <w:tblCellMar>
        <w:left w:w="115" w:type="dxa"/>
        <w:right w:w="115" w:type="dxa"/>
      </w:tblCellMar>
    </w:tblPr>
  </w:style>
  <w:style w:type="table" w:customStyle="1" w:styleId="afffffffffa">
    <w:basedOn w:val="Standardowy"/>
    <w:tblPr>
      <w:tblStyleRowBandSize w:val="1"/>
      <w:tblStyleColBandSize w:val="1"/>
      <w:tblCellMar>
        <w:left w:w="115" w:type="dxa"/>
        <w:right w:w="115" w:type="dxa"/>
      </w:tblCellMar>
    </w:tblPr>
  </w:style>
  <w:style w:type="table" w:customStyle="1" w:styleId="afffffffffb">
    <w:basedOn w:val="Standardowy"/>
    <w:tblPr>
      <w:tblStyleRowBandSize w:val="1"/>
      <w:tblStyleColBandSize w:val="1"/>
      <w:tblCellMar>
        <w:left w:w="115" w:type="dxa"/>
        <w:right w:w="115" w:type="dxa"/>
      </w:tblCellMar>
    </w:tblPr>
  </w:style>
  <w:style w:type="table" w:customStyle="1" w:styleId="afffffffffc">
    <w:basedOn w:val="Standardowy"/>
    <w:tblPr>
      <w:tblStyleRowBandSize w:val="1"/>
      <w:tblStyleColBandSize w:val="1"/>
      <w:tblCellMar>
        <w:left w:w="115" w:type="dxa"/>
        <w:right w:w="115" w:type="dxa"/>
      </w:tblCellMar>
    </w:tblPr>
  </w:style>
  <w:style w:type="table" w:customStyle="1" w:styleId="afffffffffd">
    <w:basedOn w:val="Standardowy"/>
    <w:tblPr>
      <w:tblStyleRowBandSize w:val="1"/>
      <w:tblStyleColBandSize w:val="1"/>
      <w:tblCellMar>
        <w:left w:w="115" w:type="dxa"/>
        <w:right w:w="115" w:type="dxa"/>
      </w:tblCellMar>
    </w:tblPr>
  </w:style>
  <w:style w:type="table" w:customStyle="1" w:styleId="afffffffffe">
    <w:basedOn w:val="Standardowy"/>
    <w:tblPr>
      <w:tblStyleRowBandSize w:val="1"/>
      <w:tblStyleColBandSize w:val="1"/>
      <w:tblCellMar>
        <w:left w:w="115" w:type="dxa"/>
        <w:right w:w="115" w:type="dxa"/>
      </w:tblCellMar>
    </w:tblPr>
  </w:style>
  <w:style w:type="table" w:customStyle="1" w:styleId="affffffffff">
    <w:basedOn w:val="Standardowy"/>
    <w:tblPr>
      <w:tblStyleRowBandSize w:val="1"/>
      <w:tblStyleColBandSize w:val="1"/>
      <w:tblCellMar>
        <w:left w:w="115" w:type="dxa"/>
        <w:right w:w="115" w:type="dxa"/>
      </w:tblCellMar>
    </w:tblPr>
  </w:style>
  <w:style w:type="table" w:customStyle="1" w:styleId="affffffffff0">
    <w:basedOn w:val="Standardowy"/>
    <w:tblPr>
      <w:tblStyleRowBandSize w:val="1"/>
      <w:tblStyleColBandSize w:val="1"/>
      <w:tblCellMar>
        <w:left w:w="115" w:type="dxa"/>
        <w:right w:w="115" w:type="dxa"/>
      </w:tblCellMar>
    </w:tblPr>
  </w:style>
  <w:style w:type="table" w:customStyle="1" w:styleId="affffffffff1">
    <w:basedOn w:val="Standardowy"/>
    <w:tblPr>
      <w:tblStyleRowBandSize w:val="1"/>
      <w:tblStyleColBandSize w:val="1"/>
      <w:tblCellMar>
        <w:left w:w="115" w:type="dxa"/>
        <w:right w:w="115" w:type="dxa"/>
      </w:tblCellMar>
    </w:tblPr>
  </w:style>
  <w:style w:type="table" w:customStyle="1" w:styleId="affffffffff2">
    <w:basedOn w:val="Standardowy"/>
    <w:tblPr>
      <w:tblStyleRowBandSize w:val="1"/>
      <w:tblStyleColBandSize w:val="1"/>
      <w:tblCellMar>
        <w:left w:w="115" w:type="dxa"/>
        <w:right w:w="115" w:type="dxa"/>
      </w:tblCellMar>
    </w:tblPr>
  </w:style>
  <w:style w:type="table" w:customStyle="1" w:styleId="affffffffff3">
    <w:basedOn w:val="Standardowy"/>
    <w:tblPr>
      <w:tblStyleRowBandSize w:val="1"/>
      <w:tblStyleColBandSize w:val="1"/>
      <w:tblCellMar>
        <w:left w:w="115" w:type="dxa"/>
        <w:right w:w="115" w:type="dxa"/>
      </w:tblCellMar>
    </w:tblPr>
  </w:style>
  <w:style w:type="table" w:customStyle="1" w:styleId="affffffffff4">
    <w:basedOn w:val="Standardowy"/>
    <w:tblPr>
      <w:tblStyleRowBandSize w:val="1"/>
      <w:tblStyleColBandSize w:val="1"/>
      <w:tblCellMar>
        <w:left w:w="115" w:type="dxa"/>
        <w:right w:w="115" w:type="dxa"/>
      </w:tblCellMar>
    </w:tblPr>
  </w:style>
  <w:style w:type="table" w:customStyle="1" w:styleId="affffffffff5">
    <w:basedOn w:val="Standardowy"/>
    <w:tblPr>
      <w:tblStyleRowBandSize w:val="1"/>
      <w:tblStyleColBandSize w:val="1"/>
      <w:tblCellMar>
        <w:left w:w="115" w:type="dxa"/>
        <w:right w:w="115" w:type="dxa"/>
      </w:tblCellMar>
    </w:tblPr>
  </w:style>
  <w:style w:type="table" w:customStyle="1" w:styleId="affffffffff6">
    <w:basedOn w:val="Standardowy"/>
    <w:tblPr>
      <w:tblStyleRowBandSize w:val="1"/>
      <w:tblStyleColBandSize w:val="1"/>
      <w:tblCellMar>
        <w:left w:w="115" w:type="dxa"/>
        <w:right w:w="115" w:type="dxa"/>
      </w:tblCellMar>
    </w:tblPr>
  </w:style>
  <w:style w:type="table" w:customStyle="1" w:styleId="affffffffff7">
    <w:basedOn w:val="Standardowy"/>
    <w:tblPr>
      <w:tblStyleRowBandSize w:val="1"/>
      <w:tblStyleColBandSize w:val="1"/>
      <w:tblCellMar>
        <w:left w:w="115" w:type="dxa"/>
        <w:right w:w="115" w:type="dxa"/>
      </w:tblCellMar>
    </w:tblPr>
  </w:style>
  <w:style w:type="table" w:customStyle="1" w:styleId="affffffffff8">
    <w:basedOn w:val="Standardowy"/>
    <w:tblPr>
      <w:tblStyleRowBandSize w:val="1"/>
      <w:tblStyleColBandSize w:val="1"/>
      <w:tblCellMar>
        <w:left w:w="115" w:type="dxa"/>
        <w:right w:w="115" w:type="dxa"/>
      </w:tblCellMar>
    </w:tblPr>
  </w:style>
  <w:style w:type="table" w:customStyle="1" w:styleId="affffffffff9">
    <w:basedOn w:val="Standardowy"/>
    <w:tblPr>
      <w:tblStyleRowBandSize w:val="1"/>
      <w:tblStyleColBandSize w:val="1"/>
      <w:tblCellMar>
        <w:left w:w="115" w:type="dxa"/>
        <w:right w:w="115" w:type="dxa"/>
      </w:tblCellMar>
    </w:tblPr>
  </w:style>
  <w:style w:type="table" w:customStyle="1" w:styleId="affffffffffa">
    <w:basedOn w:val="Standardowy"/>
    <w:tblPr>
      <w:tblStyleRowBandSize w:val="1"/>
      <w:tblStyleColBandSize w:val="1"/>
      <w:tblCellMar>
        <w:left w:w="115" w:type="dxa"/>
        <w:right w:w="115" w:type="dxa"/>
      </w:tblCellMar>
    </w:tblPr>
  </w:style>
  <w:style w:type="table" w:customStyle="1" w:styleId="affffffffffb">
    <w:basedOn w:val="Standardowy"/>
    <w:tblPr>
      <w:tblStyleRowBandSize w:val="1"/>
      <w:tblStyleColBandSize w:val="1"/>
      <w:tblCellMar>
        <w:left w:w="115" w:type="dxa"/>
        <w:right w:w="115" w:type="dxa"/>
      </w:tblCellMar>
    </w:tblPr>
  </w:style>
  <w:style w:type="table" w:customStyle="1" w:styleId="affffffffffc">
    <w:basedOn w:val="Standardowy"/>
    <w:tblPr>
      <w:tblStyleRowBandSize w:val="1"/>
      <w:tblStyleColBandSize w:val="1"/>
      <w:tblCellMar>
        <w:left w:w="115" w:type="dxa"/>
        <w:right w:w="115" w:type="dxa"/>
      </w:tblCellMar>
    </w:tblPr>
  </w:style>
  <w:style w:type="table" w:customStyle="1" w:styleId="affffffffffd">
    <w:basedOn w:val="Standardowy"/>
    <w:tblPr>
      <w:tblStyleRowBandSize w:val="1"/>
      <w:tblStyleColBandSize w:val="1"/>
      <w:tblCellMar>
        <w:left w:w="115" w:type="dxa"/>
        <w:right w:w="115" w:type="dxa"/>
      </w:tblCellMar>
    </w:tblPr>
  </w:style>
  <w:style w:type="table" w:customStyle="1" w:styleId="affffffffffe">
    <w:basedOn w:val="Standardowy"/>
    <w:tblPr>
      <w:tblStyleRowBandSize w:val="1"/>
      <w:tblStyleColBandSize w:val="1"/>
      <w:tblCellMar>
        <w:left w:w="115" w:type="dxa"/>
        <w:right w:w="115" w:type="dxa"/>
      </w:tblCellMar>
    </w:tblPr>
  </w:style>
  <w:style w:type="table" w:customStyle="1" w:styleId="afffffffffff">
    <w:basedOn w:val="Standardowy"/>
    <w:tblPr>
      <w:tblStyleRowBandSize w:val="1"/>
      <w:tblStyleColBandSize w:val="1"/>
      <w:tblCellMar>
        <w:left w:w="115" w:type="dxa"/>
        <w:right w:w="115" w:type="dxa"/>
      </w:tblCellMar>
    </w:tblPr>
  </w:style>
  <w:style w:type="table" w:customStyle="1" w:styleId="afffffffffff0">
    <w:basedOn w:val="Standardowy"/>
    <w:tblPr>
      <w:tblStyleRowBandSize w:val="1"/>
      <w:tblStyleColBandSize w:val="1"/>
      <w:tblCellMar>
        <w:left w:w="115" w:type="dxa"/>
        <w:right w:w="115" w:type="dxa"/>
      </w:tblCellMar>
    </w:tblPr>
  </w:style>
  <w:style w:type="table" w:customStyle="1" w:styleId="afffffffffff1">
    <w:basedOn w:val="Standardowy"/>
    <w:tblPr>
      <w:tblStyleRowBandSize w:val="1"/>
      <w:tblStyleColBandSize w:val="1"/>
      <w:tblCellMar>
        <w:left w:w="115" w:type="dxa"/>
        <w:right w:w="115" w:type="dxa"/>
      </w:tblCellMar>
    </w:tblPr>
  </w:style>
  <w:style w:type="table" w:customStyle="1" w:styleId="afffffffffff2">
    <w:basedOn w:val="Standardowy"/>
    <w:tblPr>
      <w:tblStyleRowBandSize w:val="1"/>
      <w:tblStyleColBandSize w:val="1"/>
      <w:tblCellMar>
        <w:left w:w="115" w:type="dxa"/>
        <w:right w:w="115" w:type="dxa"/>
      </w:tblCellMar>
    </w:tblPr>
  </w:style>
  <w:style w:type="table" w:customStyle="1" w:styleId="afffffffffff3">
    <w:basedOn w:val="Standardowy"/>
    <w:tblPr>
      <w:tblStyleRowBandSize w:val="1"/>
      <w:tblStyleColBandSize w:val="1"/>
      <w:tblCellMar>
        <w:left w:w="115" w:type="dxa"/>
        <w:right w:w="115" w:type="dxa"/>
      </w:tblCellMar>
    </w:tblPr>
  </w:style>
  <w:style w:type="table" w:customStyle="1" w:styleId="afffffffffff4">
    <w:basedOn w:val="Standardowy"/>
    <w:tblPr>
      <w:tblStyleRowBandSize w:val="1"/>
      <w:tblStyleColBandSize w:val="1"/>
      <w:tblCellMar>
        <w:left w:w="115" w:type="dxa"/>
        <w:right w:w="115" w:type="dxa"/>
      </w:tblCellMar>
    </w:tblPr>
  </w:style>
  <w:style w:type="table" w:customStyle="1" w:styleId="afffffffffff5">
    <w:basedOn w:val="Standardowy"/>
    <w:tblPr>
      <w:tblStyleRowBandSize w:val="1"/>
      <w:tblStyleColBandSize w:val="1"/>
      <w:tblCellMar>
        <w:left w:w="115" w:type="dxa"/>
        <w:right w:w="115" w:type="dxa"/>
      </w:tblCellMar>
    </w:tblPr>
  </w:style>
  <w:style w:type="table" w:customStyle="1" w:styleId="afffffffffff6">
    <w:basedOn w:val="Standardowy"/>
    <w:tblPr>
      <w:tblStyleRowBandSize w:val="1"/>
      <w:tblStyleColBandSize w:val="1"/>
      <w:tblCellMar>
        <w:left w:w="115" w:type="dxa"/>
        <w:right w:w="115" w:type="dxa"/>
      </w:tblCellMar>
    </w:tblPr>
  </w:style>
  <w:style w:type="table" w:customStyle="1" w:styleId="afffffffffff7">
    <w:basedOn w:val="Standardowy"/>
    <w:tblPr>
      <w:tblStyleRowBandSize w:val="1"/>
      <w:tblStyleColBandSize w:val="1"/>
      <w:tblCellMar>
        <w:left w:w="115" w:type="dxa"/>
        <w:right w:w="115" w:type="dxa"/>
      </w:tblCellMar>
    </w:tblPr>
  </w:style>
  <w:style w:type="table" w:customStyle="1" w:styleId="afffffffffff8">
    <w:basedOn w:val="Standardowy"/>
    <w:tblPr>
      <w:tblStyleRowBandSize w:val="1"/>
      <w:tblStyleColBandSize w:val="1"/>
      <w:tblCellMar>
        <w:left w:w="115" w:type="dxa"/>
        <w:right w:w="115" w:type="dxa"/>
      </w:tblCellMar>
    </w:tblPr>
  </w:style>
  <w:style w:type="table" w:customStyle="1" w:styleId="afffffffffff9">
    <w:basedOn w:val="Standardowy"/>
    <w:tblPr>
      <w:tblStyleRowBandSize w:val="1"/>
      <w:tblStyleColBandSize w:val="1"/>
      <w:tblCellMar>
        <w:left w:w="115" w:type="dxa"/>
        <w:right w:w="115" w:type="dxa"/>
      </w:tblCellMar>
    </w:tblPr>
  </w:style>
  <w:style w:type="table" w:customStyle="1" w:styleId="afffffffffffa">
    <w:basedOn w:val="Standardowy"/>
    <w:tblPr>
      <w:tblStyleRowBandSize w:val="1"/>
      <w:tblStyleColBandSize w:val="1"/>
      <w:tblCellMar>
        <w:left w:w="115" w:type="dxa"/>
        <w:right w:w="115" w:type="dxa"/>
      </w:tblCellMar>
    </w:tblPr>
  </w:style>
  <w:style w:type="table" w:customStyle="1" w:styleId="afffffffffffb">
    <w:basedOn w:val="Standardowy"/>
    <w:tblPr>
      <w:tblStyleRowBandSize w:val="1"/>
      <w:tblStyleColBandSize w:val="1"/>
      <w:tblCellMar>
        <w:left w:w="115" w:type="dxa"/>
        <w:right w:w="115" w:type="dxa"/>
      </w:tblCellMar>
    </w:tblPr>
  </w:style>
  <w:style w:type="table" w:customStyle="1" w:styleId="afffffffffffc">
    <w:basedOn w:val="Standardowy"/>
    <w:tblPr>
      <w:tblStyleRowBandSize w:val="1"/>
      <w:tblStyleColBandSize w:val="1"/>
      <w:tblCellMar>
        <w:left w:w="115" w:type="dxa"/>
        <w:right w:w="115" w:type="dxa"/>
      </w:tblCellMar>
    </w:tblPr>
  </w:style>
  <w:style w:type="table" w:customStyle="1" w:styleId="afffffffffffd">
    <w:basedOn w:val="Standardowy"/>
    <w:tblPr>
      <w:tblStyleRowBandSize w:val="1"/>
      <w:tblStyleColBandSize w:val="1"/>
      <w:tblCellMar>
        <w:left w:w="115" w:type="dxa"/>
        <w:right w:w="115" w:type="dxa"/>
      </w:tblCellMar>
    </w:tblPr>
  </w:style>
  <w:style w:type="table" w:customStyle="1" w:styleId="afffffffffffe">
    <w:basedOn w:val="Standardowy"/>
    <w:tblPr>
      <w:tblStyleRowBandSize w:val="1"/>
      <w:tblStyleColBandSize w:val="1"/>
      <w:tblCellMar>
        <w:left w:w="115" w:type="dxa"/>
        <w:right w:w="115" w:type="dxa"/>
      </w:tblCellMar>
    </w:tblPr>
  </w:style>
  <w:style w:type="table" w:customStyle="1" w:styleId="affffffffffff">
    <w:basedOn w:val="Standardowy"/>
    <w:tblPr>
      <w:tblStyleRowBandSize w:val="1"/>
      <w:tblStyleColBandSize w:val="1"/>
      <w:tblCellMar>
        <w:left w:w="115" w:type="dxa"/>
        <w:right w:w="115" w:type="dxa"/>
      </w:tblCellMar>
    </w:tblPr>
  </w:style>
  <w:style w:type="table" w:customStyle="1" w:styleId="affffffffffff0">
    <w:basedOn w:val="Standardowy"/>
    <w:tblPr>
      <w:tblStyleRowBandSize w:val="1"/>
      <w:tblStyleColBandSize w:val="1"/>
      <w:tblCellMar>
        <w:left w:w="115" w:type="dxa"/>
        <w:right w:w="115" w:type="dxa"/>
      </w:tblCellMar>
    </w:tblPr>
  </w:style>
  <w:style w:type="table" w:customStyle="1" w:styleId="affffffffffff1">
    <w:basedOn w:val="Standardowy"/>
    <w:tblPr>
      <w:tblStyleRowBandSize w:val="1"/>
      <w:tblStyleColBandSize w:val="1"/>
      <w:tblCellMar>
        <w:left w:w="115" w:type="dxa"/>
        <w:right w:w="115" w:type="dxa"/>
      </w:tblCellMar>
    </w:tblPr>
  </w:style>
  <w:style w:type="table" w:customStyle="1" w:styleId="affffffffffff2">
    <w:basedOn w:val="Standardowy"/>
    <w:tblPr>
      <w:tblStyleRowBandSize w:val="1"/>
      <w:tblStyleColBandSize w:val="1"/>
      <w:tblCellMar>
        <w:left w:w="115" w:type="dxa"/>
        <w:right w:w="115" w:type="dxa"/>
      </w:tblCellMar>
    </w:tblPr>
  </w:style>
  <w:style w:type="table" w:customStyle="1" w:styleId="affffffffffff3">
    <w:basedOn w:val="Standardowy"/>
    <w:tblPr>
      <w:tblStyleRowBandSize w:val="1"/>
      <w:tblStyleColBandSize w:val="1"/>
      <w:tblCellMar>
        <w:left w:w="115" w:type="dxa"/>
        <w:right w:w="115" w:type="dxa"/>
      </w:tblCellMar>
    </w:tblPr>
  </w:style>
  <w:style w:type="table" w:customStyle="1" w:styleId="affffffffffff4">
    <w:basedOn w:val="Standardowy"/>
    <w:tblPr>
      <w:tblStyleRowBandSize w:val="1"/>
      <w:tblStyleColBandSize w:val="1"/>
      <w:tblCellMar>
        <w:left w:w="115" w:type="dxa"/>
        <w:right w:w="115" w:type="dxa"/>
      </w:tblCellMar>
    </w:tblPr>
  </w:style>
  <w:style w:type="table" w:customStyle="1" w:styleId="affffffffffff5">
    <w:basedOn w:val="Standardowy"/>
    <w:tblPr>
      <w:tblStyleRowBandSize w:val="1"/>
      <w:tblStyleColBandSize w:val="1"/>
      <w:tblCellMar>
        <w:left w:w="115" w:type="dxa"/>
        <w:right w:w="115" w:type="dxa"/>
      </w:tblCellMar>
    </w:tblPr>
  </w:style>
  <w:style w:type="table" w:customStyle="1" w:styleId="affffffffffff6">
    <w:basedOn w:val="Standardowy"/>
    <w:tblPr>
      <w:tblStyleRowBandSize w:val="1"/>
      <w:tblStyleColBandSize w:val="1"/>
      <w:tblCellMar>
        <w:left w:w="115" w:type="dxa"/>
        <w:right w:w="115" w:type="dxa"/>
      </w:tblCellMar>
    </w:tblPr>
  </w:style>
  <w:style w:type="table" w:customStyle="1" w:styleId="affffffffffff7">
    <w:basedOn w:val="Standardowy"/>
    <w:tblPr>
      <w:tblStyleRowBandSize w:val="1"/>
      <w:tblStyleColBandSize w:val="1"/>
      <w:tblCellMar>
        <w:left w:w="115" w:type="dxa"/>
        <w:right w:w="115" w:type="dxa"/>
      </w:tblCellMar>
    </w:tblPr>
  </w:style>
  <w:style w:type="table" w:customStyle="1" w:styleId="affffffffffff8">
    <w:basedOn w:val="Standardowy"/>
    <w:tblPr>
      <w:tblStyleRowBandSize w:val="1"/>
      <w:tblStyleColBandSize w:val="1"/>
      <w:tblCellMar>
        <w:left w:w="115" w:type="dxa"/>
        <w:right w:w="115" w:type="dxa"/>
      </w:tblCellMar>
    </w:tblPr>
  </w:style>
  <w:style w:type="table" w:customStyle="1" w:styleId="affffffffffff9">
    <w:basedOn w:val="Standardowy"/>
    <w:tblPr>
      <w:tblStyleRowBandSize w:val="1"/>
      <w:tblStyleColBandSize w:val="1"/>
      <w:tblCellMar>
        <w:left w:w="115" w:type="dxa"/>
        <w:right w:w="115" w:type="dxa"/>
      </w:tblCellMar>
    </w:tblPr>
  </w:style>
  <w:style w:type="table" w:customStyle="1" w:styleId="affffffffffffa">
    <w:basedOn w:val="Standardowy"/>
    <w:tblPr>
      <w:tblStyleRowBandSize w:val="1"/>
      <w:tblStyleColBandSize w:val="1"/>
      <w:tblCellMar>
        <w:left w:w="115" w:type="dxa"/>
        <w:right w:w="115" w:type="dxa"/>
      </w:tblCellMar>
    </w:tblPr>
  </w:style>
  <w:style w:type="table" w:customStyle="1" w:styleId="affffffffffffb">
    <w:basedOn w:val="Standardowy"/>
    <w:tblPr>
      <w:tblStyleRowBandSize w:val="1"/>
      <w:tblStyleColBandSize w:val="1"/>
      <w:tblCellMar>
        <w:left w:w="115" w:type="dxa"/>
        <w:right w:w="115" w:type="dxa"/>
      </w:tblCellMar>
    </w:tblPr>
  </w:style>
  <w:style w:type="table" w:customStyle="1" w:styleId="affffffffffffc">
    <w:basedOn w:val="Standardowy"/>
    <w:tblPr>
      <w:tblStyleRowBandSize w:val="1"/>
      <w:tblStyleColBandSize w:val="1"/>
      <w:tblCellMar>
        <w:left w:w="115" w:type="dxa"/>
        <w:right w:w="115" w:type="dxa"/>
      </w:tblCellMar>
    </w:tblPr>
  </w:style>
  <w:style w:type="table" w:customStyle="1" w:styleId="affffffffffffd">
    <w:basedOn w:val="Standardowy"/>
    <w:tblPr>
      <w:tblStyleRowBandSize w:val="1"/>
      <w:tblStyleColBandSize w:val="1"/>
      <w:tblCellMar>
        <w:left w:w="115" w:type="dxa"/>
        <w:right w:w="115" w:type="dxa"/>
      </w:tblCellMar>
    </w:tblPr>
  </w:style>
  <w:style w:type="table" w:customStyle="1" w:styleId="affffffffffffe">
    <w:basedOn w:val="Standardowy"/>
    <w:tblPr>
      <w:tblStyleRowBandSize w:val="1"/>
      <w:tblStyleColBandSize w:val="1"/>
      <w:tblCellMar>
        <w:left w:w="115" w:type="dxa"/>
        <w:right w:w="115" w:type="dxa"/>
      </w:tblCellMar>
    </w:tblPr>
  </w:style>
  <w:style w:type="table" w:customStyle="1" w:styleId="afffffffffffff">
    <w:basedOn w:val="Standardowy"/>
    <w:tblPr>
      <w:tblStyleRowBandSize w:val="1"/>
      <w:tblStyleColBandSize w:val="1"/>
      <w:tblCellMar>
        <w:left w:w="115" w:type="dxa"/>
        <w:right w:w="115" w:type="dxa"/>
      </w:tblCellMar>
    </w:tblPr>
  </w:style>
  <w:style w:type="table" w:customStyle="1" w:styleId="afffffffffffff0">
    <w:basedOn w:val="Standardowy"/>
    <w:tblPr>
      <w:tblStyleRowBandSize w:val="1"/>
      <w:tblStyleColBandSize w:val="1"/>
      <w:tblCellMar>
        <w:left w:w="115" w:type="dxa"/>
        <w:right w:w="115" w:type="dxa"/>
      </w:tblCellMar>
    </w:tblPr>
  </w:style>
  <w:style w:type="table" w:customStyle="1" w:styleId="afffffffffffff1">
    <w:basedOn w:val="Standardowy"/>
    <w:tblPr>
      <w:tblStyleRowBandSize w:val="1"/>
      <w:tblStyleColBandSize w:val="1"/>
      <w:tblCellMar>
        <w:left w:w="115" w:type="dxa"/>
        <w:right w:w="115" w:type="dxa"/>
      </w:tblCellMar>
    </w:tblPr>
  </w:style>
  <w:style w:type="table" w:customStyle="1" w:styleId="afffffffffffff2">
    <w:basedOn w:val="Standardowy"/>
    <w:tblPr>
      <w:tblStyleRowBandSize w:val="1"/>
      <w:tblStyleColBandSize w:val="1"/>
      <w:tblCellMar>
        <w:left w:w="115" w:type="dxa"/>
        <w:right w:w="115" w:type="dxa"/>
      </w:tblCellMar>
    </w:tblPr>
  </w:style>
  <w:style w:type="table" w:customStyle="1" w:styleId="afffffffffffff3">
    <w:basedOn w:val="Standardowy"/>
    <w:tblPr>
      <w:tblStyleRowBandSize w:val="1"/>
      <w:tblStyleColBandSize w:val="1"/>
      <w:tblCellMar>
        <w:left w:w="115" w:type="dxa"/>
        <w:right w:w="115" w:type="dxa"/>
      </w:tblCellMar>
    </w:tblPr>
  </w:style>
  <w:style w:type="table" w:customStyle="1" w:styleId="afffffffffffff4">
    <w:basedOn w:val="Standardowy"/>
    <w:tblPr>
      <w:tblStyleRowBandSize w:val="1"/>
      <w:tblStyleColBandSize w:val="1"/>
      <w:tblCellMar>
        <w:left w:w="115" w:type="dxa"/>
        <w:right w:w="115" w:type="dxa"/>
      </w:tblCellMar>
    </w:tblPr>
  </w:style>
  <w:style w:type="table" w:customStyle="1" w:styleId="afffffffffffff5">
    <w:basedOn w:val="Standardowy"/>
    <w:tblPr>
      <w:tblStyleRowBandSize w:val="1"/>
      <w:tblStyleColBandSize w:val="1"/>
      <w:tblCellMar>
        <w:left w:w="115" w:type="dxa"/>
        <w:right w:w="115" w:type="dxa"/>
      </w:tblCellMar>
    </w:tblPr>
  </w:style>
  <w:style w:type="table" w:customStyle="1" w:styleId="afffffffffffff6">
    <w:basedOn w:val="Standardowy"/>
    <w:tblPr>
      <w:tblStyleRowBandSize w:val="1"/>
      <w:tblStyleColBandSize w:val="1"/>
      <w:tblCellMar>
        <w:left w:w="115" w:type="dxa"/>
        <w:right w:w="115" w:type="dxa"/>
      </w:tblCellMar>
    </w:tblPr>
  </w:style>
  <w:style w:type="table" w:customStyle="1" w:styleId="afffffffffffff7">
    <w:basedOn w:val="Standardowy"/>
    <w:tblPr>
      <w:tblStyleRowBandSize w:val="1"/>
      <w:tblStyleColBandSize w:val="1"/>
      <w:tblCellMar>
        <w:left w:w="115" w:type="dxa"/>
        <w:right w:w="115" w:type="dxa"/>
      </w:tblCellMar>
    </w:tblPr>
  </w:style>
  <w:style w:type="table" w:customStyle="1" w:styleId="afffffffffffff8">
    <w:basedOn w:val="Standardowy"/>
    <w:tblPr>
      <w:tblStyleRowBandSize w:val="1"/>
      <w:tblStyleColBandSize w:val="1"/>
      <w:tblCellMar>
        <w:left w:w="115" w:type="dxa"/>
        <w:right w:w="115" w:type="dxa"/>
      </w:tblCellMar>
    </w:tblPr>
  </w:style>
  <w:style w:type="table" w:customStyle="1" w:styleId="afffffffffffff9">
    <w:basedOn w:val="Standardowy"/>
    <w:tblPr>
      <w:tblStyleRowBandSize w:val="1"/>
      <w:tblStyleColBandSize w:val="1"/>
      <w:tblCellMar>
        <w:left w:w="115" w:type="dxa"/>
        <w:right w:w="115" w:type="dxa"/>
      </w:tblCellMar>
    </w:tblPr>
  </w:style>
  <w:style w:type="table" w:customStyle="1" w:styleId="afffffffffffffa">
    <w:basedOn w:val="Standardowy"/>
    <w:tblPr>
      <w:tblStyleRowBandSize w:val="1"/>
      <w:tblStyleColBandSize w:val="1"/>
      <w:tblCellMar>
        <w:left w:w="115" w:type="dxa"/>
        <w:right w:w="115" w:type="dxa"/>
      </w:tblCellMar>
    </w:tblPr>
  </w:style>
  <w:style w:type="table" w:customStyle="1" w:styleId="afffffffffffffb">
    <w:basedOn w:val="Standardowy"/>
    <w:tblPr>
      <w:tblStyleRowBandSize w:val="1"/>
      <w:tblStyleColBandSize w:val="1"/>
      <w:tblCellMar>
        <w:left w:w="115" w:type="dxa"/>
        <w:right w:w="115" w:type="dxa"/>
      </w:tblCellMar>
    </w:tblPr>
  </w:style>
  <w:style w:type="table" w:customStyle="1" w:styleId="afffffffffffffc">
    <w:basedOn w:val="Standardowy"/>
    <w:tblPr>
      <w:tblStyleRowBandSize w:val="1"/>
      <w:tblStyleColBandSize w:val="1"/>
      <w:tblCellMar>
        <w:left w:w="115" w:type="dxa"/>
        <w:right w:w="115" w:type="dxa"/>
      </w:tblCellMar>
    </w:tblPr>
  </w:style>
  <w:style w:type="table" w:customStyle="1" w:styleId="afffffffffffffd">
    <w:basedOn w:val="Standardowy"/>
    <w:tblPr>
      <w:tblStyleRowBandSize w:val="1"/>
      <w:tblStyleColBandSize w:val="1"/>
      <w:tblCellMar>
        <w:left w:w="115" w:type="dxa"/>
        <w:right w:w="115" w:type="dxa"/>
      </w:tblCellMar>
    </w:tblPr>
  </w:style>
  <w:style w:type="table" w:customStyle="1" w:styleId="afffffffffffffe">
    <w:basedOn w:val="Standardowy"/>
    <w:tblPr>
      <w:tblStyleRowBandSize w:val="1"/>
      <w:tblStyleColBandSize w:val="1"/>
      <w:tblCellMar>
        <w:left w:w="115" w:type="dxa"/>
        <w:right w:w="115" w:type="dxa"/>
      </w:tblCellMar>
    </w:tblPr>
  </w:style>
  <w:style w:type="table" w:customStyle="1" w:styleId="affffffffffffff">
    <w:basedOn w:val="Standardowy"/>
    <w:tblPr>
      <w:tblStyleRowBandSize w:val="1"/>
      <w:tblStyleColBandSize w:val="1"/>
      <w:tblCellMar>
        <w:left w:w="115" w:type="dxa"/>
        <w:right w:w="115" w:type="dxa"/>
      </w:tblCellMar>
    </w:tblPr>
  </w:style>
  <w:style w:type="table" w:customStyle="1" w:styleId="affffffffffffff0">
    <w:basedOn w:val="Standardowy"/>
    <w:tblPr>
      <w:tblStyleRowBandSize w:val="1"/>
      <w:tblStyleColBandSize w:val="1"/>
      <w:tblCellMar>
        <w:left w:w="115" w:type="dxa"/>
        <w:right w:w="115" w:type="dxa"/>
      </w:tblCellMar>
    </w:tblPr>
  </w:style>
  <w:style w:type="table" w:customStyle="1" w:styleId="affffffffffffff1">
    <w:basedOn w:val="Standardowy"/>
    <w:tblPr>
      <w:tblStyleRowBandSize w:val="1"/>
      <w:tblStyleColBandSize w:val="1"/>
      <w:tblCellMar>
        <w:left w:w="115" w:type="dxa"/>
        <w:right w:w="115" w:type="dxa"/>
      </w:tblCellMar>
    </w:tblPr>
  </w:style>
  <w:style w:type="table" w:customStyle="1" w:styleId="affffffffffffff2">
    <w:basedOn w:val="Standardowy"/>
    <w:tblPr>
      <w:tblStyleRowBandSize w:val="1"/>
      <w:tblStyleColBandSize w:val="1"/>
      <w:tblCellMar>
        <w:left w:w="115" w:type="dxa"/>
        <w:right w:w="115" w:type="dxa"/>
      </w:tblCellMar>
    </w:tblPr>
  </w:style>
  <w:style w:type="table" w:customStyle="1" w:styleId="affffffffffffff3">
    <w:basedOn w:val="Standardowy"/>
    <w:tblPr>
      <w:tblStyleRowBandSize w:val="1"/>
      <w:tblStyleColBandSize w:val="1"/>
      <w:tblCellMar>
        <w:left w:w="115" w:type="dxa"/>
        <w:right w:w="115" w:type="dxa"/>
      </w:tblCellMar>
    </w:tblPr>
  </w:style>
  <w:style w:type="table" w:customStyle="1" w:styleId="affffffffffffff4">
    <w:basedOn w:val="Standardowy"/>
    <w:tblPr>
      <w:tblStyleRowBandSize w:val="1"/>
      <w:tblStyleColBandSize w:val="1"/>
      <w:tblCellMar>
        <w:left w:w="115" w:type="dxa"/>
        <w:right w:w="115" w:type="dxa"/>
      </w:tblCellMar>
    </w:tblPr>
  </w:style>
  <w:style w:type="table" w:customStyle="1" w:styleId="affffffffffffff5">
    <w:basedOn w:val="Standardowy"/>
    <w:tblPr>
      <w:tblStyleRowBandSize w:val="1"/>
      <w:tblStyleColBandSize w:val="1"/>
      <w:tblCellMar>
        <w:left w:w="115" w:type="dxa"/>
        <w:right w:w="115" w:type="dxa"/>
      </w:tblCellMar>
    </w:tblPr>
  </w:style>
  <w:style w:type="table" w:customStyle="1" w:styleId="affffffffffffff6">
    <w:basedOn w:val="Standardowy"/>
    <w:tblPr>
      <w:tblStyleRowBandSize w:val="1"/>
      <w:tblStyleColBandSize w:val="1"/>
      <w:tblCellMar>
        <w:left w:w="115" w:type="dxa"/>
        <w:right w:w="115" w:type="dxa"/>
      </w:tblCellMar>
    </w:tblPr>
  </w:style>
  <w:style w:type="table" w:customStyle="1" w:styleId="affffffffffffff7">
    <w:basedOn w:val="Standardowy"/>
    <w:tblPr>
      <w:tblStyleRowBandSize w:val="1"/>
      <w:tblStyleColBandSize w:val="1"/>
      <w:tblCellMar>
        <w:left w:w="115" w:type="dxa"/>
        <w:right w:w="115" w:type="dxa"/>
      </w:tblCellMar>
    </w:tblPr>
  </w:style>
  <w:style w:type="table" w:customStyle="1" w:styleId="affffffffffffff8">
    <w:basedOn w:val="Standardowy"/>
    <w:tblPr>
      <w:tblStyleRowBandSize w:val="1"/>
      <w:tblStyleColBandSize w:val="1"/>
      <w:tblCellMar>
        <w:left w:w="115" w:type="dxa"/>
        <w:right w:w="115" w:type="dxa"/>
      </w:tblCellMar>
    </w:tblPr>
  </w:style>
  <w:style w:type="table" w:customStyle="1" w:styleId="affffffffffffff9">
    <w:basedOn w:val="Standardowy"/>
    <w:tblPr>
      <w:tblStyleRowBandSize w:val="1"/>
      <w:tblStyleColBandSize w:val="1"/>
      <w:tblCellMar>
        <w:left w:w="115" w:type="dxa"/>
        <w:right w:w="115" w:type="dxa"/>
      </w:tblCellMar>
    </w:tblPr>
  </w:style>
  <w:style w:type="table" w:customStyle="1" w:styleId="affffffffffffffa">
    <w:basedOn w:val="Standardowy"/>
    <w:tblPr>
      <w:tblStyleRowBandSize w:val="1"/>
      <w:tblStyleColBandSize w:val="1"/>
      <w:tblCellMar>
        <w:left w:w="115" w:type="dxa"/>
        <w:right w:w="115" w:type="dxa"/>
      </w:tblCellMar>
    </w:tblPr>
  </w:style>
  <w:style w:type="table" w:customStyle="1" w:styleId="affffffffffffffb">
    <w:basedOn w:val="Standardowy"/>
    <w:tblPr>
      <w:tblStyleRowBandSize w:val="1"/>
      <w:tblStyleColBandSize w:val="1"/>
      <w:tblCellMar>
        <w:left w:w="115" w:type="dxa"/>
        <w:right w:w="115" w:type="dxa"/>
      </w:tblCellMar>
    </w:tblPr>
  </w:style>
  <w:style w:type="table" w:customStyle="1" w:styleId="affffffffffffffc">
    <w:basedOn w:val="Standardowy"/>
    <w:tblPr>
      <w:tblStyleRowBandSize w:val="1"/>
      <w:tblStyleColBandSize w:val="1"/>
      <w:tblCellMar>
        <w:left w:w="115" w:type="dxa"/>
        <w:right w:w="115" w:type="dxa"/>
      </w:tblCellMar>
    </w:tblPr>
  </w:style>
  <w:style w:type="table" w:customStyle="1" w:styleId="affffffffffffffd">
    <w:basedOn w:val="Standardowy"/>
    <w:tblPr>
      <w:tblStyleRowBandSize w:val="1"/>
      <w:tblStyleColBandSize w:val="1"/>
      <w:tblCellMar>
        <w:left w:w="115" w:type="dxa"/>
        <w:right w:w="115" w:type="dxa"/>
      </w:tblCellMar>
    </w:tblPr>
  </w:style>
  <w:style w:type="table" w:customStyle="1" w:styleId="affffffffffffffe">
    <w:basedOn w:val="Standardowy"/>
    <w:tblPr>
      <w:tblStyleRowBandSize w:val="1"/>
      <w:tblStyleColBandSize w:val="1"/>
      <w:tblCellMar>
        <w:left w:w="115" w:type="dxa"/>
        <w:right w:w="115" w:type="dxa"/>
      </w:tblCellMar>
    </w:tblPr>
  </w:style>
  <w:style w:type="table" w:customStyle="1" w:styleId="afffffffffffffff">
    <w:basedOn w:val="Standardowy"/>
    <w:tblPr>
      <w:tblStyleRowBandSize w:val="1"/>
      <w:tblStyleColBandSize w:val="1"/>
      <w:tblCellMar>
        <w:left w:w="115" w:type="dxa"/>
        <w:right w:w="115" w:type="dxa"/>
      </w:tblCellMar>
    </w:tblPr>
  </w:style>
  <w:style w:type="table" w:customStyle="1" w:styleId="afffffffffffffff0">
    <w:basedOn w:val="Standardowy"/>
    <w:tblPr>
      <w:tblStyleRowBandSize w:val="1"/>
      <w:tblStyleColBandSize w:val="1"/>
      <w:tblCellMar>
        <w:left w:w="115" w:type="dxa"/>
        <w:right w:w="115" w:type="dxa"/>
      </w:tblCellMar>
    </w:tblPr>
  </w:style>
  <w:style w:type="table" w:customStyle="1" w:styleId="afffffffffffffff1">
    <w:basedOn w:val="Standardowy"/>
    <w:tblPr>
      <w:tblStyleRowBandSize w:val="1"/>
      <w:tblStyleColBandSize w:val="1"/>
      <w:tblCellMar>
        <w:left w:w="115" w:type="dxa"/>
        <w:right w:w="115" w:type="dxa"/>
      </w:tblCellMar>
    </w:tblPr>
  </w:style>
  <w:style w:type="table" w:customStyle="1" w:styleId="afffffffffffffff2">
    <w:basedOn w:val="Standardowy"/>
    <w:tblPr>
      <w:tblStyleRowBandSize w:val="1"/>
      <w:tblStyleColBandSize w:val="1"/>
      <w:tblCellMar>
        <w:left w:w="115" w:type="dxa"/>
        <w:right w:w="115" w:type="dxa"/>
      </w:tblCellMar>
    </w:tblPr>
  </w:style>
  <w:style w:type="table" w:customStyle="1" w:styleId="afffffffffffffff3">
    <w:basedOn w:val="Standardowy"/>
    <w:tblPr>
      <w:tblStyleRowBandSize w:val="1"/>
      <w:tblStyleColBandSize w:val="1"/>
      <w:tblCellMar>
        <w:left w:w="115" w:type="dxa"/>
        <w:right w:w="115" w:type="dxa"/>
      </w:tblCellMar>
    </w:tblPr>
  </w:style>
  <w:style w:type="table" w:customStyle="1" w:styleId="afffffffffffffff4">
    <w:basedOn w:val="Standardowy"/>
    <w:tblPr>
      <w:tblStyleRowBandSize w:val="1"/>
      <w:tblStyleColBandSize w:val="1"/>
      <w:tblCellMar>
        <w:left w:w="115" w:type="dxa"/>
        <w:right w:w="115" w:type="dxa"/>
      </w:tblCellMar>
    </w:tblPr>
  </w:style>
  <w:style w:type="table" w:customStyle="1" w:styleId="afffffffffffffff5">
    <w:basedOn w:val="Standardowy"/>
    <w:tblPr>
      <w:tblStyleRowBandSize w:val="1"/>
      <w:tblStyleColBandSize w:val="1"/>
      <w:tblCellMar>
        <w:left w:w="115" w:type="dxa"/>
        <w:right w:w="115" w:type="dxa"/>
      </w:tblCellMar>
    </w:tblPr>
  </w:style>
  <w:style w:type="table" w:customStyle="1" w:styleId="afffffffffffffff6">
    <w:basedOn w:val="Standardowy"/>
    <w:tblPr>
      <w:tblStyleRowBandSize w:val="1"/>
      <w:tblStyleColBandSize w:val="1"/>
      <w:tblCellMar>
        <w:left w:w="115" w:type="dxa"/>
        <w:right w:w="115" w:type="dxa"/>
      </w:tblCellMar>
    </w:tblPr>
  </w:style>
  <w:style w:type="table" w:customStyle="1" w:styleId="afffffffffffffff7">
    <w:basedOn w:val="Standardowy"/>
    <w:tblPr>
      <w:tblStyleRowBandSize w:val="1"/>
      <w:tblStyleColBandSize w:val="1"/>
      <w:tblCellMar>
        <w:left w:w="115" w:type="dxa"/>
        <w:right w:w="115" w:type="dxa"/>
      </w:tblCellMar>
    </w:tblPr>
  </w:style>
  <w:style w:type="table" w:customStyle="1" w:styleId="afffffffffffffff8">
    <w:basedOn w:val="Standardowy"/>
    <w:tblPr>
      <w:tblStyleRowBandSize w:val="1"/>
      <w:tblStyleColBandSize w:val="1"/>
      <w:tblCellMar>
        <w:left w:w="115" w:type="dxa"/>
        <w:right w:w="115" w:type="dxa"/>
      </w:tblCellMar>
    </w:tblPr>
  </w:style>
  <w:style w:type="table" w:customStyle="1" w:styleId="afffffffffffffff9">
    <w:basedOn w:val="Standardowy"/>
    <w:tblPr>
      <w:tblStyleRowBandSize w:val="1"/>
      <w:tblStyleColBandSize w:val="1"/>
      <w:tblCellMar>
        <w:left w:w="115" w:type="dxa"/>
        <w:right w:w="115" w:type="dxa"/>
      </w:tblCellMar>
    </w:tblPr>
  </w:style>
  <w:style w:type="table" w:customStyle="1" w:styleId="afffffffffffffffa">
    <w:basedOn w:val="Standardowy"/>
    <w:tblPr>
      <w:tblStyleRowBandSize w:val="1"/>
      <w:tblStyleColBandSize w:val="1"/>
      <w:tblCellMar>
        <w:left w:w="115" w:type="dxa"/>
        <w:right w:w="115" w:type="dxa"/>
      </w:tblCellMar>
    </w:tblPr>
  </w:style>
  <w:style w:type="table" w:customStyle="1" w:styleId="afffffffffffffffb">
    <w:basedOn w:val="Standardowy"/>
    <w:tblPr>
      <w:tblStyleRowBandSize w:val="1"/>
      <w:tblStyleColBandSize w:val="1"/>
      <w:tblCellMar>
        <w:left w:w="115" w:type="dxa"/>
        <w:right w:w="115" w:type="dxa"/>
      </w:tblCellMar>
    </w:tblPr>
  </w:style>
  <w:style w:type="table" w:customStyle="1" w:styleId="afffffffffffffffc">
    <w:basedOn w:val="Standardowy"/>
    <w:tblPr>
      <w:tblStyleRowBandSize w:val="1"/>
      <w:tblStyleColBandSize w:val="1"/>
      <w:tblCellMar>
        <w:left w:w="115" w:type="dxa"/>
        <w:right w:w="115" w:type="dxa"/>
      </w:tblCellMar>
    </w:tblPr>
  </w:style>
  <w:style w:type="table" w:customStyle="1" w:styleId="afffffffffffffffd">
    <w:basedOn w:val="Standardowy"/>
    <w:tblPr>
      <w:tblStyleRowBandSize w:val="1"/>
      <w:tblStyleColBandSize w:val="1"/>
      <w:tblCellMar>
        <w:left w:w="115" w:type="dxa"/>
        <w:right w:w="115" w:type="dxa"/>
      </w:tblCellMar>
    </w:tblPr>
  </w:style>
  <w:style w:type="table" w:customStyle="1" w:styleId="afffffffffffffffe">
    <w:basedOn w:val="Standardowy"/>
    <w:tblPr>
      <w:tblStyleRowBandSize w:val="1"/>
      <w:tblStyleColBandSize w:val="1"/>
      <w:tblCellMar>
        <w:left w:w="115" w:type="dxa"/>
        <w:right w:w="115" w:type="dxa"/>
      </w:tblCellMar>
    </w:tblPr>
  </w:style>
  <w:style w:type="table" w:customStyle="1" w:styleId="affffffffffffffff">
    <w:basedOn w:val="Standardowy"/>
    <w:tblPr>
      <w:tblStyleRowBandSize w:val="1"/>
      <w:tblStyleColBandSize w:val="1"/>
      <w:tblCellMar>
        <w:left w:w="115" w:type="dxa"/>
        <w:right w:w="115" w:type="dxa"/>
      </w:tblCellMar>
    </w:tblPr>
  </w:style>
  <w:style w:type="table" w:customStyle="1" w:styleId="affffffffffffffff0">
    <w:basedOn w:val="Standardowy"/>
    <w:tblPr>
      <w:tblStyleRowBandSize w:val="1"/>
      <w:tblStyleColBandSize w:val="1"/>
      <w:tblCellMar>
        <w:left w:w="115" w:type="dxa"/>
        <w:right w:w="115" w:type="dxa"/>
      </w:tblCellMar>
    </w:tblPr>
  </w:style>
  <w:style w:type="table" w:customStyle="1" w:styleId="affffffffffffffff1">
    <w:basedOn w:val="Standardowy"/>
    <w:tblPr>
      <w:tblStyleRowBandSize w:val="1"/>
      <w:tblStyleColBandSize w:val="1"/>
      <w:tblCellMar>
        <w:left w:w="115" w:type="dxa"/>
        <w:right w:w="115" w:type="dxa"/>
      </w:tblCellMar>
    </w:tblPr>
  </w:style>
  <w:style w:type="table" w:customStyle="1" w:styleId="affffffffffffffff2">
    <w:basedOn w:val="Standardowy"/>
    <w:tblPr>
      <w:tblStyleRowBandSize w:val="1"/>
      <w:tblStyleColBandSize w:val="1"/>
      <w:tblCellMar>
        <w:left w:w="115" w:type="dxa"/>
        <w:right w:w="115" w:type="dxa"/>
      </w:tblCellMar>
    </w:tblPr>
  </w:style>
  <w:style w:type="table" w:customStyle="1" w:styleId="affffffffffffffff3">
    <w:basedOn w:val="Standardowy"/>
    <w:tblPr>
      <w:tblStyleRowBandSize w:val="1"/>
      <w:tblStyleColBandSize w:val="1"/>
      <w:tblCellMar>
        <w:left w:w="115" w:type="dxa"/>
        <w:right w:w="115" w:type="dxa"/>
      </w:tblCellMar>
    </w:tblPr>
  </w:style>
  <w:style w:type="table" w:customStyle="1" w:styleId="affffffffffffffff4">
    <w:basedOn w:val="Standardowy"/>
    <w:tblPr>
      <w:tblStyleRowBandSize w:val="1"/>
      <w:tblStyleColBandSize w:val="1"/>
      <w:tblCellMar>
        <w:left w:w="115" w:type="dxa"/>
        <w:right w:w="115" w:type="dxa"/>
      </w:tblCellMar>
    </w:tblPr>
  </w:style>
  <w:style w:type="table" w:customStyle="1" w:styleId="affffffffffffffff5">
    <w:basedOn w:val="Standardowy"/>
    <w:tblPr>
      <w:tblStyleRowBandSize w:val="1"/>
      <w:tblStyleColBandSize w:val="1"/>
      <w:tblCellMar>
        <w:left w:w="115" w:type="dxa"/>
        <w:right w:w="115" w:type="dxa"/>
      </w:tblCellMar>
    </w:tblPr>
  </w:style>
  <w:style w:type="table" w:customStyle="1" w:styleId="affffffffffffffff6">
    <w:basedOn w:val="Standardowy"/>
    <w:tblPr>
      <w:tblStyleRowBandSize w:val="1"/>
      <w:tblStyleColBandSize w:val="1"/>
      <w:tblCellMar>
        <w:left w:w="115" w:type="dxa"/>
        <w:right w:w="115" w:type="dxa"/>
      </w:tblCellMar>
    </w:tblPr>
  </w:style>
  <w:style w:type="table" w:customStyle="1" w:styleId="affffffffffffffff7">
    <w:basedOn w:val="Standardowy"/>
    <w:tblPr>
      <w:tblStyleRowBandSize w:val="1"/>
      <w:tblStyleColBandSize w:val="1"/>
      <w:tblCellMar>
        <w:left w:w="115" w:type="dxa"/>
        <w:right w:w="115" w:type="dxa"/>
      </w:tblCellMar>
    </w:tblPr>
  </w:style>
  <w:style w:type="table" w:customStyle="1" w:styleId="affffffffffffffff8">
    <w:basedOn w:val="Standardowy"/>
    <w:tblPr>
      <w:tblStyleRowBandSize w:val="1"/>
      <w:tblStyleColBandSize w:val="1"/>
      <w:tblCellMar>
        <w:left w:w="115" w:type="dxa"/>
        <w:right w:w="115" w:type="dxa"/>
      </w:tblCellMar>
    </w:tblPr>
  </w:style>
  <w:style w:type="table" w:customStyle="1" w:styleId="affffffffffffffff9">
    <w:basedOn w:val="Standardowy"/>
    <w:tblPr>
      <w:tblStyleRowBandSize w:val="1"/>
      <w:tblStyleColBandSize w:val="1"/>
      <w:tblCellMar>
        <w:left w:w="115" w:type="dxa"/>
        <w:right w:w="115" w:type="dxa"/>
      </w:tblCellMar>
    </w:tblPr>
  </w:style>
  <w:style w:type="table" w:customStyle="1" w:styleId="affffffffffffffffa">
    <w:basedOn w:val="Standardowy"/>
    <w:tblPr>
      <w:tblStyleRowBandSize w:val="1"/>
      <w:tblStyleColBandSize w:val="1"/>
      <w:tblCellMar>
        <w:left w:w="115" w:type="dxa"/>
        <w:right w:w="115" w:type="dxa"/>
      </w:tblCellMar>
    </w:tblPr>
  </w:style>
  <w:style w:type="table" w:customStyle="1" w:styleId="affffffffffffffffb">
    <w:basedOn w:val="Standardowy"/>
    <w:tblPr>
      <w:tblStyleRowBandSize w:val="1"/>
      <w:tblStyleColBandSize w:val="1"/>
      <w:tblCellMar>
        <w:left w:w="115" w:type="dxa"/>
        <w:right w:w="115" w:type="dxa"/>
      </w:tblCellMar>
    </w:tblPr>
  </w:style>
  <w:style w:type="table" w:customStyle="1" w:styleId="affffffffffffffffc">
    <w:basedOn w:val="Standardowy"/>
    <w:tblPr>
      <w:tblStyleRowBandSize w:val="1"/>
      <w:tblStyleColBandSize w:val="1"/>
      <w:tblCellMar>
        <w:left w:w="115" w:type="dxa"/>
        <w:right w:w="115" w:type="dxa"/>
      </w:tblCellMar>
    </w:tblPr>
  </w:style>
  <w:style w:type="table" w:customStyle="1" w:styleId="affffffffffffffffd">
    <w:basedOn w:val="Standardowy"/>
    <w:tblPr>
      <w:tblStyleRowBandSize w:val="1"/>
      <w:tblStyleColBandSize w:val="1"/>
      <w:tblCellMar>
        <w:left w:w="115" w:type="dxa"/>
        <w:right w:w="115" w:type="dxa"/>
      </w:tblCellMar>
    </w:tblPr>
  </w:style>
  <w:style w:type="table" w:customStyle="1" w:styleId="affffffffffffffffe">
    <w:basedOn w:val="Standardowy"/>
    <w:tblPr>
      <w:tblStyleRowBandSize w:val="1"/>
      <w:tblStyleColBandSize w:val="1"/>
      <w:tblCellMar>
        <w:left w:w="115" w:type="dxa"/>
        <w:right w:w="115" w:type="dxa"/>
      </w:tblCellMar>
    </w:tblPr>
  </w:style>
  <w:style w:type="table" w:customStyle="1" w:styleId="afffffffffffffffff">
    <w:basedOn w:val="Standardowy"/>
    <w:tblPr>
      <w:tblStyleRowBandSize w:val="1"/>
      <w:tblStyleColBandSize w:val="1"/>
      <w:tblCellMar>
        <w:left w:w="115" w:type="dxa"/>
        <w:right w:w="115" w:type="dxa"/>
      </w:tblCellMar>
    </w:tblPr>
  </w:style>
  <w:style w:type="table" w:customStyle="1" w:styleId="afffffffffffffffff0">
    <w:basedOn w:val="Standardowy"/>
    <w:tblPr>
      <w:tblStyleRowBandSize w:val="1"/>
      <w:tblStyleColBandSize w:val="1"/>
      <w:tblCellMar>
        <w:left w:w="115" w:type="dxa"/>
        <w:right w:w="115" w:type="dxa"/>
      </w:tblCellMar>
    </w:tblPr>
  </w:style>
  <w:style w:type="table" w:customStyle="1" w:styleId="afffffffffffffffff1">
    <w:basedOn w:val="Standardowy"/>
    <w:tblPr>
      <w:tblStyleRowBandSize w:val="1"/>
      <w:tblStyleColBandSize w:val="1"/>
      <w:tblCellMar>
        <w:left w:w="115" w:type="dxa"/>
        <w:right w:w="115" w:type="dxa"/>
      </w:tblCellMar>
    </w:tblPr>
  </w:style>
  <w:style w:type="table" w:customStyle="1" w:styleId="afffffffffffffffff2">
    <w:basedOn w:val="Standardowy"/>
    <w:tblPr>
      <w:tblStyleRowBandSize w:val="1"/>
      <w:tblStyleColBandSize w:val="1"/>
      <w:tblCellMar>
        <w:left w:w="115" w:type="dxa"/>
        <w:right w:w="115" w:type="dxa"/>
      </w:tblCellMar>
    </w:tblPr>
  </w:style>
  <w:style w:type="table" w:customStyle="1" w:styleId="afffffffffffffffff3">
    <w:basedOn w:val="Standardowy"/>
    <w:tblPr>
      <w:tblStyleRowBandSize w:val="1"/>
      <w:tblStyleColBandSize w:val="1"/>
      <w:tblCellMar>
        <w:left w:w="115" w:type="dxa"/>
        <w:right w:w="115" w:type="dxa"/>
      </w:tblCellMar>
    </w:tblPr>
  </w:style>
  <w:style w:type="table" w:customStyle="1" w:styleId="afffffffffffffffff4">
    <w:basedOn w:val="Standardowy"/>
    <w:tblPr>
      <w:tblStyleRowBandSize w:val="1"/>
      <w:tblStyleColBandSize w:val="1"/>
      <w:tblCellMar>
        <w:left w:w="115" w:type="dxa"/>
        <w:right w:w="115" w:type="dxa"/>
      </w:tblCellMar>
    </w:tblPr>
  </w:style>
  <w:style w:type="table" w:customStyle="1" w:styleId="afffffffffffffffff5">
    <w:basedOn w:val="Standardowy"/>
    <w:tblPr>
      <w:tblStyleRowBandSize w:val="1"/>
      <w:tblStyleColBandSize w:val="1"/>
      <w:tblCellMar>
        <w:left w:w="115" w:type="dxa"/>
        <w:right w:w="115" w:type="dxa"/>
      </w:tblCellMar>
    </w:tblPr>
  </w:style>
  <w:style w:type="table" w:customStyle="1" w:styleId="afffffffffffffffff6">
    <w:basedOn w:val="Standardowy"/>
    <w:tblPr>
      <w:tblStyleRowBandSize w:val="1"/>
      <w:tblStyleColBandSize w:val="1"/>
      <w:tblCellMar>
        <w:left w:w="115" w:type="dxa"/>
        <w:right w:w="115" w:type="dxa"/>
      </w:tblCellMar>
    </w:tblPr>
  </w:style>
  <w:style w:type="table" w:customStyle="1" w:styleId="afffffffffffffffff7">
    <w:basedOn w:val="Standardowy"/>
    <w:tblPr>
      <w:tblStyleRowBandSize w:val="1"/>
      <w:tblStyleColBandSize w:val="1"/>
      <w:tblCellMar>
        <w:left w:w="115" w:type="dxa"/>
        <w:right w:w="115" w:type="dxa"/>
      </w:tblCellMar>
    </w:tblPr>
  </w:style>
  <w:style w:type="table" w:customStyle="1" w:styleId="afffffffffffffffff8">
    <w:basedOn w:val="Standardowy"/>
    <w:tblPr>
      <w:tblStyleRowBandSize w:val="1"/>
      <w:tblStyleColBandSize w:val="1"/>
      <w:tblCellMar>
        <w:left w:w="115" w:type="dxa"/>
        <w:right w:w="115" w:type="dxa"/>
      </w:tblCellMar>
    </w:tblPr>
  </w:style>
  <w:style w:type="table" w:customStyle="1" w:styleId="afffffffffffffffff9">
    <w:basedOn w:val="Standardowy"/>
    <w:tblPr>
      <w:tblStyleRowBandSize w:val="1"/>
      <w:tblStyleColBandSize w:val="1"/>
      <w:tblCellMar>
        <w:left w:w="115" w:type="dxa"/>
        <w:right w:w="115" w:type="dxa"/>
      </w:tblCellMar>
    </w:tblPr>
  </w:style>
  <w:style w:type="table" w:customStyle="1" w:styleId="afffffffffffffffffa">
    <w:basedOn w:val="Standardowy"/>
    <w:tblPr>
      <w:tblStyleRowBandSize w:val="1"/>
      <w:tblStyleColBandSize w:val="1"/>
      <w:tblCellMar>
        <w:left w:w="115" w:type="dxa"/>
        <w:right w:w="115" w:type="dxa"/>
      </w:tblCellMar>
    </w:tblPr>
  </w:style>
  <w:style w:type="table" w:customStyle="1" w:styleId="afffffffffffffffffb">
    <w:basedOn w:val="Standardowy"/>
    <w:tblPr>
      <w:tblStyleRowBandSize w:val="1"/>
      <w:tblStyleColBandSize w:val="1"/>
      <w:tblCellMar>
        <w:left w:w="115" w:type="dxa"/>
        <w:right w:w="115" w:type="dxa"/>
      </w:tblCellMar>
    </w:tblPr>
  </w:style>
  <w:style w:type="table" w:customStyle="1" w:styleId="afffffffffffffffffc">
    <w:basedOn w:val="Standardowy"/>
    <w:tblPr>
      <w:tblStyleRowBandSize w:val="1"/>
      <w:tblStyleColBandSize w:val="1"/>
      <w:tblCellMar>
        <w:left w:w="115" w:type="dxa"/>
        <w:right w:w="115" w:type="dxa"/>
      </w:tblCellMar>
    </w:tblPr>
  </w:style>
  <w:style w:type="table" w:customStyle="1" w:styleId="afffffffffffffffffd">
    <w:basedOn w:val="Standardowy"/>
    <w:tblPr>
      <w:tblStyleRowBandSize w:val="1"/>
      <w:tblStyleColBandSize w:val="1"/>
      <w:tblCellMar>
        <w:left w:w="115" w:type="dxa"/>
        <w:right w:w="115" w:type="dxa"/>
      </w:tblCellMar>
    </w:tblPr>
  </w:style>
  <w:style w:type="table" w:customStyle="1" w:styleId="afffffffffffffffffe">
    <w:basedOn w:val="Standardowy"/>
    <w:tblPr>
      <w:tblStyleRowBandSize w:val="1"/>
      <w:tblStyleColBandSize w:val="1"/>
      <w:tblCellMar>
        <w:left w:w="115" w:type="dxa"/>
        <w:right w:w="115" w:type="dxa"/>
      </w:tblCellMar>
    </w:tblPr>
  </w:style>
  <w:style w:type="table" w:customStyle="1" w:styleId="affffffffffffffffff">
    <w:basedOn w:val="Standardowy"/>
    <w:tblPr>
      <w:tblStyleRowBandSize w:val="1"/>
      <w:tblStyleColBandSize w:val="1"/>
      <w:tblCellMar>
        <w:left w:w="115" w:type="dxa"/>
        <w:right w:w="115" w:type="dxa"/>
      </w:tblCellMar>
    </w:tblPr>
  </w:style>
  <w:style w:type="character" w:customStyle="1" w:styleId="Nierozpoznanawzmianka2">
    <w:name w:val="Nierozpoznana wzmianka2"/>
    <w:basedOn w:val="Domylnaczcionkaakapitu"/>
    <w:uiPriority w:val="99"/>
    <w:semiHidden/>
    <w:unhideWhenUsed/>
    <w:rsid w:val="00932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44351">
      <w:bodyDiv w:val="1"/>
      <w:marLeft w:val="0"/>
      <w:marRight w:val="0"/>
      <w:marTop w:val="0"/>
      <w:marBottom w:val="0"/>
      <w:divBdr>
        <w:top w:val="none" w:sz="0" w:space="0" w:color="auto"/>
        <w:left w:val="none" w:sz="0" w:space="0" w:color="auto"/>
        <w:bottom w:val="none" w:sz="0" w:space="0" w:color="auto"/>
        <w:right w:val="none" w:sz="0" w:space="0" w:color="auto"/>
      </w:divBdr>
    </w:div>
    <w:div w:id="485707947">
      <w:bodyDiv w:val="1"/>
      <w:marLeft w:val="0"/>
      <w:marRight w:val="0"/>
      <w:marTop w:val="0"/>
      <w:marBottom w:val="0"/>
      <w:divBdr>
        <w:top w:val="none" w:sz="0" w:space="0" w:color="auto"/>
        <w:left w:val="none" w:sz="0" w:space="0" w:color="auto"/>
        <w:bottom w:val="none" w:sz="0" w:space="0" w:color="auto"/>
        <w:right w:val="none" w:sz="0" w:space="0" w:color="auto"/>
      </w:divBdr>
    </w:div>
    <w:div w:id="1854342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bin"/><Relationship Id="rId63" Type="http://schemas.openxmlformats.org/officeDocument/2006/relationships/image" Target="media/image54.png"/><Relationship Id="rId68" Type="http://schemas.openxmlformats.org/officeDocument/2006/relationships/image" Target="media/image40.png"/><Relationship Id="rId112" Type="http://schemas.openxmlformats.org/officeDocument/2006/relationships/image" Target="media/image8.wmf"/><Relationship Id="rId133" Type="http://schemas.openxmlformats.org/officeDocument/2006/relationships/oleObject" Target="embeddings/oleObject14.bin"/><Relationship Id="rId138" Type="http://schemas.openxmlformats.org/officeDocument/2006/relationships/image" Target="media/image18.wmf"/><Relationship Id="rId154" Type="http://schemas.openxmlformats.org/officeDocument/2006/relationships/hyperlink" Target="https://www.oponeo.pl/artykul/ile-kosztuje-wymiana-opon" TargetMode="External"/><Relationship Id="rId159" Type="http://schemas.openxmlformats.org/officeDocument/2006/relationships/hyperlink" Target="https://firetms.com/pl/blog/jak-wyznaczyc-stawke-za-km-zlecenia-transportowego/" TargetMode="External"/><Relationship Id="rId170" Type="http://schemas.openxmlformats.org/officeDocument/2006/relationships/header" Target="header6.xml"/><Relationship Id="rId107" Type="http://schemas.openxmlformats.org/officeDocument/2006/relationships/image" Target="media/image6.wmf"/><Relationship Id="rId11" Type="http://schemas.openxmlformats.org/officeDocument/2006/relationships/header" Target="header2.xml"/><Relationship Id="rId58" Type="http://schemas.openxmlformats.org/officeDocument/2006/relationships/image" Target="media/image32.png"/><Relationship Id="rId79" Type="http://schemas.openxmlformats.org/officeDocument/2006/relationships/image" Target="media/image31.png"/><Relationship Id="rId102" Type="http://schemas.openxmlformats.org/officeDocument/2006/relationships/image" Target="media/image4.png"/><Relationship Id="rId123" Type="http://schemas.openxmlformats.org/officeDocument/2006/relationships/image" Target="media/image13.wmf"/><Relationship Id="rId128" Type="http://schemas.openxmlformats.org/officeDocument/2006/relationships/image" Target="media/image15.wmf"/><Relationship Id="rId144" Type="http://schemas.openxmlformats.org/officeDocument/2006/relationships/hyperlink" Target="http://www.gddkia.gov.pl/pl/992/zalozenia-do-prognoz-ruchu" TargetMode="External"/><Relationship Id="rId149" Type="http://schemas.openxmlformats.org/officeDocument/2006/relationships/hyperlink" Target="http://www.gddkia.gov.pl" TargetMode="External"/><Relationship Id="rId5" Type="http://schemas.openxmlformats.org/officeDocument/2006/relationships/settings" Target="settings.xml"/><Relationship Id="rId160" Type="http://schemas.openxmlformats.org/officeDocument/2006/relationships/hyperlink" Target="https://rankomat.pl/samochod/ile-kosztuje-ubezpieczenie-samochodu-1" TargetMode="External"/><Relationship Id="rId165" Type="http://schemas.openxmlformats.org/officeDocument/2006/relationships/hyperlink" Target="https://www.acea.be/statistics/article/average-vehicleage" TargetMode="External"/><Relationship Id="rId64" Type="http://schemas.openxmlformats.org/officeDocument/2006/relationships/image" Target="media/image81.png"/><Relationship Id="rId113" Type="http://schemas.openxmlformats.org/officeDocument/2006/relationships/oleObject" Target="embeddings/oleObject5.bin"/><Relationship Id="rId118" Type="http://schemas.openxmlformats.org/officeDocument/2006/relationships/image" Target="media/image11.wmf"/><Relationship Id="rId134" Type="http://schemas.openxmlformats.org/officeDocument/2006/relationships/hyperlink" Target="https://op.europa.eu/en/publication-detail/-/publication/23a24b21-16d0-11ec-b4fe-01aa75ed71a1/language-en" TargetMode="External"/><Relationship Id="rId139" Type="http://schemas.openxmlformats.org/officeDocument/2006/relationships/oleObject" Target="embeddings/oleObject15.bin"/><Relationship Id="rId80" Type="http://schemas.openxmlformats.org/officeDocument/2006/relationships/image" Target="media/image49.png"/><Relationship Id="rId150" Type="http://schemas.openxmlformats.org/officeDocument/2006/relationships/image" Target="media/image20.png"/><Relationship Id="rId155" Type="http://schemas.openxmlformats.org/officeDocument/2006/relationships/hyperlink" Target="https://kb.pl/porady/ile-kosztuje-przeglad-samochodu-sprawdz-aktualne-ceny-_mot/" TargetMode="External"/><Relationship Id="rId171" Type="http://schemas.openxmlformats.org/officeDocument/2006/relationships/fontTable" Target="fontTable.xml"/><Relationship Id="rId12" Type="http://schemas.openxmlformats.org/officeDocument/2006/relationships/footer" Target="footer1.xml"/><Relationship Id="rId103" Type="http://schemas.openxmlformats.org/officeDocument/2006/relationships/hyperlink" Target="https://www.eib.org/en/publications/the-eib-group-climate-bank-roadmap" TargetMode="External"/><Relationship Id="rId108" Type="http://schemas.openxmlformats.org/officeDocument/2006/relationships/oleObject" Target="embeddings/oleObject2.bin"/><Relationship Id="rId124" Type="http://schemas.openxmlformats.org/officeDocument/2006/relationships/oleObject" Target="embeddings/oleObject10.bin"/><Relationship Id="rId129" Type="http://schemas.openxmlformats.org/officeDocument/2006/relationships/oleObject" Target="embeddings/oleObject12.bin"/><Relationship Id="rId54" Type="http://schemas.openxmlformats.org/officeDocument/2006/relationships/image" Target="media/image56.png"/><Relationship Id="rId91" Type="http://schemas.openxmlformats.org/officeDocument/2006/relationships/image" Target="media/image62.png"/><Relationship Id="rId96" Type="http://schemas.openxmlformats.org/officeDocument/2006/relationships/image" Target="media/image27.png"/><Relationship Id="rId140" Type="http://schemas.openxmlformats.org/officeDocument/2006/relationships/oleObject" Target="embeddings/oleObject16.bin"/><Relationship Id="rId145" Type="http://schemas.openxmlformats.org/officeDocument/2006/relationships/image" Target="media/image19.wmf"/><Relationship Id="rId161" Type="http://schemas.openxmlformats.org/officeDocument/2006/relationships/hyperlink" Target="https://www.oponeo.pl/artykul/ile-kosztuje-wymiana-opon" TargetMode="External"/><Relationship Id="rId166" Type="http://schemas.openxmlformats.org/officeDocument/2006/relationships/hyperlink" Target="https://firetms.com/pl/blog/jak-wyznaczyc-stawke-za-km-zlecenia-transportoweg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57" Type="http://schemas.openxmlformats.org/officeDocument/2006/relationships/image" Target="media/image93.png"/><Relationship Id="rId106" Type="http://schemas.openxmlformats.org/officeDocument/2006/relationships/oleObject" Target="embeddings/oleObject1.bin"/><Relationship Id="rId114" Type="http://schemas.openxmlformats.org/officeDocument/2006/relationships/image" Target="media/image9.wmf"/><Relationship Id="rId119" Type="http://schemas.openxmlformats.org/officeDocument/2006/relationships/oleObject" Target="embeddings/oleObject8.bin"/><Relationship Id="rId127" Type="http://schemas.openxmlformats.org/officeDocument/2006/relationships/oleObject" Target="embeddings/oleObject11.bin"/><Relationship Id="rId10" Type="http://schemas.openxmlformats.org/officeDocument/2006/relationships/header" Target="header1.xml"/><Relationship Id="rId52" Type="http://schemas.openxmlformats.org/officeDocument/2006/relationships/image" Target="media/image37.png"/><Relationship Id="rId60" Type="http://schemas.openxmlformats.org/officeDocument/2006/relationships/image" Target="media/image42.png"/><Relationship Id="rId78" Type="http://schemas.openxmlformats.org/officeDocument/2006/relationships/image" Target="media/image59.png"/><Relationship Id="rId99" Type="http://schemas.openxmlformats.org/officeDocument/2006/relationships/image" Target="media/image41.png"/><Relationship Id="rId101" Type="http://schemas.openxmlformats.org/officeDocument/2006/relationships/image" Target="media/image3.png"/><Relationship Id="rId122" Type="http://schemas.openxmlformats.org/officeDocument/2006/relationships/hyperlink" Target="https://www.krbrd.gov.pl/baza-wiedzy/raporty-o-stanie-brd/" TargetMode="External"/><Relationship Id="rId130" Type="http://schemas.openxmlformats.org/officeDocument/2006/relationships/image" Target="media/image16.wmf"/><Relationship Id="rId135" Type="http://schemas.openxmlformats.org/officeDocument/2006/relationships/hyperlink" Target="https://op.europa.eu/en/publication-detail/-/publication/23a24b21-16d0-11ec-b4fe-01aa75ed71a1/language-en" TargetMode="External"/><Relationship Id="rId143" Type="http://schemas.openxmlformats.org/officeDocument/2006/relationships/hyperlink" Target="http://www.gddkia.gov.pl/pl/992/zalozenia-do-prognoz-ruchu" TargetMode="External"/><Relationship Id="rId148" Type="http://schemas.openxmlformats.org/officeDocument/2006/relationships/oleObject" Target="embeddings/oleObject18.bin"/><Relationship Id="rId151" Type="http://schemas.openxmlformats.org/officeDocument/2006/relationships/image" Target="media/image21.png"/><Relationship Id="rId156" Type="http://schemas.openxmlformats.org/officeDocument/2006/relationships/hyperlink" Target="https://www.motofakty.pl/artykul/ile-kosztuje-wymiana-oleju-w-samochodzie.html" TargetMode="External"/><Relationship Id="rId164" Type="http://schemas.openxmlformats.org/officeDocument/2006/relationships/hyperlink" Target="https://www.motofakty.pl/artykul/ceny-aut-w-2019-r-nowe-samochody-w-polsce-byly-drozsze-niz-w-2018.html" TargetMode="External"/><Relationship Id="rId16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theme" Target="theme/theme1.xml"/><Relationship Id="rId13" Type="http://schemas.openxmlformats.org/officeDocument/2006/relationships/footer" Target="footer2.xml"/><Relationship Id="rId109" Type="http://schemas.openxmlformats.org/officeDocument/2006/relationships/image" Target="media/image7.wmf"/><Relationship Id="rId76" Type="http://schemas.openxmlformats.org/officeDocument/2006/relationships/image" Target="media/image63.png"/><Relationship Id="rId104" Type="http://schemas.openxmlformats.org/officeDocument/2006/relationships/hyperlink" Target="https://www.eib.org/en/publications/the-eib-group-climate-bank-roadmap" TargetMode="External"/><Relationship Id="rId120" Type="http://schemas.openxmlformats.org/officeDocument/2006/relationships/image" Target="media/image12.wmf"/><Relationship Id="rId125" Type="http://schemas.openxmlformats.org/officeDocument/2006/relationships/hyperlink" Target="https://www.krbrd.gov.pl/baza-wiedzy/raporty-o-stanie-brd/" TargetMode="External"/><Relationship Id="rId141" Type="http://schemas.openxmlformats.org/officeDocument/2006/relationships/hyperlink" Target="http://www.gddkia.gov.pl/pl/992/zalozenia-do-prognoz-ruchu" TargetMode="External"/><Relationship Id="rId146" Type="http://schemas.openxmlformats.org/officeDocument/2006/relationships/oleObject" Target="embeddings/oleObject17.bin"/><Relationship Id="rId167" Type="http://schemas.openxmlformats.org/officeDocument/2006/relationships/hyperlink" Target="https://journals.sagepub.com/doi/full/10.1177/1687814017694116" TargetMode="External"/><Relationship Id="rId7" Type="http://schemas.openxmlformats.org/officeDocument/2006/relationships/footnotes" Target="footnotes.xml"/><Relationship Id="rId71" Type="http://schemas.openxmlformats.org/officeDocument/2006/relationships/image" Target="media/image84.png"/><Relationship Id="rId162" Type="http://schemas.openxmlformats.org/officeDocument/2006/relationships/hyperlink" Target="https://kb.pl/porady/ile-kosztuje-przeglad-samochodu-sprawdz-aktualne-ceny-_mot/" TargetMode="External"/><Relationship Id="rId2" Type="http://schemas.openxmlformats.org/officeDocument/2006/relationships/customXml" Target="../customXml/item2.xml"/><Relationship Id="rId66" Type="http://schemas.openxmlformats.org/officeDocument/2006/relationships/image" Target="media/image36.png"/><Relationship Id="rId110" Type="http://schemas.openxmlformats.org/officeDocument/2006/relationships/oleObject" Target="embeddings/oleObject3.bin"/><Relationship Id="rId115" Type="http://schemas.openxmlformats.org/officeDocument/2006/relationships/oleObject" Target="embeddings/oleObject6.bin"/><Relationship Id="rId131" Type="http://schemas.openxmlformats.org/officeDocument/2006/relationships/oleObject" Target="embeddings/oleObject13.bin"/><Relationship Id="rId136" Type="http://schemas.openxmlformats.org/officeDocument/2006/relationships/hyperlink" Target="https://op.europa.eu/en/publication-detail/-/publication/23a24b21-16d0-11ec-b4fe-01aa75ed71a1/language-en" TargetMode="External"/><Relationship Id="rId157" Type="http://schemas.openxmlformats.org/officeDocument/2006/relationships/hyperlink" Target="https://www.motofakty.pl/artykul/ceny-aut-w-2019-r-nowe-samochody-w-polsce-byly-drozsze-niz-w-2018.html" TargetMode="External"/><Relationship Id="rId61" Type="http://schemas.openxmlformats.org/officeDocument/2006/relationships/image" Target="media/image66.png"/><Relationship Id="rId152" Type="http://schemas.openxmlformats.org/officeDocument/2006/relationships/image" Target="media/image22.png"/><Relationship Id="rId14" Type="http://schemas.openxmlformats.org/officeDocument/2006/relationships/header" Target="header3.xml"/><Relationship Id="rId77" Type="http://schemas.openxmlformats.org/officeDocument/2006/relationships/image" Target="media/image88.png"/><Relationship Id="rId100" Type="http://schemas.openxmlformats.org/officeDocument/2006/relationships/image" Target="media/image24.png"/><Relationship Id="rId105" Type="http://schemas.openxmlformats.org/officeDocument/2006/relationships/image" Target="media/image5.wmf"/><Relationship Id="rId126" Type="http://schemas.openxmlformats.org/officeDocument/2006/relationships/image" Target="media/image14.wmf"/><Relationship Id="rId147" Type="http://schemas.openxmlformats.org/officeDocument/2006/relationships/hyperlink" Target="http://www.gddkia.gov.pl" TargetMode="External"/><Relationship Id="rId168" Type="http://schemas.openxmlformats.org/officeDocument/2006/relationships/header" Target="header4.xml"/><Relationship Id="rId8" Type="http://schemas.openxmlformats.org/officeDocument/2006/relationships/endnotes" Target="endnotes.xml"/><Relationship Id="rId72" Type="http://schemas.openxmlformats.org/officeDocument/2006/relationships/image" Target="media/image55.png"/><Relationship Id="rId121" Type="http://schemas.openxmlformats.org/officeDocument/2006/relationships/oleObject" Target="embeddings/oleObject9.bin"/><Relationship Id="rId142" Type="http://schemas.openxmlformats.org/officeDocument/2006/relationships/hyperlink" Target="http://www.gddkia.gov.pl/pl/992/zalozenia-do-prognoz-ruchu" TargetMode="External"/><Relationship Id="rId163" Type="http://schemas.openxmlformats.org/officeDocument/2006/relationships/hyperlink" Target="https://www.motofakty.pl/artykul/ile-kosztuje-wymiana-oleju-w-samochodzie.html" TargetMode="External"/><Relationship Id="rId3" Type="http://schemas.openxmlformats.org/officeDocument/2006/relationships/numbering" Target="numbering.xml"/><Relationship Id="rId116" Type="http://schemas.openxmlformats.org/officeDocument/2006/relationships/image" Target="media/image10.wmf"/><Relationship Id="rId137" Type="http://schemas.openxmlformats.org/officeDocument/2006/relationships/hyperlink" Target="https://op.europa.eu/en/publication-detail/-/publication/23a24b21-16d0-11ec-b4fe-01aa75ed71a1/language-en" TargetMode="External"/><Relationship Id="rId158" Type="http://schemas.openxmlformats.org/officeDocument/2006/relationships/hyperlink" Target="https://www.acea.be/statistics/article/average-vehicleage" TargetMode="External"/><Relationship Id="rId62" Type="http://schemas.openxmlformats.org/officeDocument/2006/relationships/image" Target="media/image38.png"/><Relationship Id="rId88" Type="http://schemas.openxmlformats.org/officeDocument/2006/relationships/image" Target="media/image47.png"/><Relationship Id="rId111" Type="http://schemas.openxmlformats.org/officeDocument/2006/relationships/oleObject" Target="embeddings/oleObject4.bin"/><Relationship Id="rId132" Type="http://schemas.openxmlformats.org/officeDocument/2006/relationships/image" Target="media/image17.wmf"/><Relationship Id="rId153" Type="http://schemas.openxmlformats.org/officeDocument/2006/relationships/hyperlink" Target="https://rankomat.pl/samochod/ile-kosztuje-ubezpieczenie-samochodu-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kobize.pl/uploads/materialy/materialy_do_pobrania/wskazniki_emisyjnosci/Wskazniki_emisyjnosci_grudzien_2020.pdf" TargetMode="External"/><Relationship Id="rId3" Type="http://schemas.openxmlformats.org/officeDocument/2006/relationships/hyperlink" Target="http://www.mir.gov.pl/fundusze/wytyczne_mrr/Wytyczne_2014_2020/Obowiazujace/Documents/Wytyczne_PGD_PH_2014_2020_podpisane_032015.pdf" TargetMode="External"/><Relationship Id="rId7" Type="http://schemas.openxmlformats.org/officeDocument/2006/relationships/hyperlink" Target="https://op.europa.eu/en/publication-detail/-/publication/23a24b21-16d0-11ec-b4fe-01aa75ed71a1/language-en" TargetMode="External"/><Relationship Id="rId2" Type="http://schemas.openxmlformats.org/officeDocument/2006/relationships/hyperlink" Target="http://ec.europa.eu/regional_policy/sources/docgener/studies/pdf/cba_guide.pdf" TargetMode="External"/><Relationship Id="rId1" Type="http://schemas.openxmlformats.org/officeDocument/2006/relationships/hyperlink" Target="https://ec.europa.eu/regional_policy/en/information/publications/guides/2021/economic-appraisal-vademecum-2021-2027-general-principles-and-sector-applications" TargetMode="External"/><Relationship Id="rId6" Type="http://schemas.openxmlformats.org/officeDocument/2006/relationships/hyperlink" Target="http://www.pois.gov.pl/strony/wiadomosci/opublikowano-niebieska-ksiege-dla-projektow-infrastruktury-drogowej/" TargetMode="External"/><Relationship Id="rId5" Type="http://schemas.openxmlformats.org/officeDocument/2006/relationships/hyperlink" Target="http://www.pois.gov.pl/strony/wiadomosci/opublikowano-niebieska-ksiege-dla-projektow-infrastruktury-drogowej/" TargetMode="External"/><Relationship Id="rId4" Type="http://schemas.openxmlformats.org/officeDocument/2006/relationships/hyperlink" Target="http://www.pois.gov.pl/WstepDoFunduszyEuropejskich/Strony/Inicjatywa_JASPERS.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_rels/header6.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zz1Ckbcqf23dnM+qqCU0aqb4/Q==">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DF6554-7AFD-424A-BB73-D728C1E8D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194</Pages>
  <Words>80989</Words>
  <Characters>485935</Characters>
  <Application>Microsoft Office Word</Application>
  <DocSecurity>4</DocSecurity>
  <Lines>4049</Lines>
  <Paragraphs>1131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565793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POPLAWSKA Aneta</dc:creator>
  <cp:lastModifiedBy>Milwicz Monika</cp:lastModifiedBy>
  <cp:revision>2</cp:revision>
  <dcterms:created xsi:type="dcterms:W3CDTF">2022-03-16T13:51:00Z</dcterms:created>
  <dcterms:modified xsi:type="dcterms:W3CDTF">2022-03-16T13:51:00Z</dcterms:modified>
</cp:coreProperties>
</file>